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CE" w:rsidRDefault="00A806CE"/>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701"/>
        <w:gridCol w:w="3827"/>
        <w:gridCol w:w="2835"/>
      </w:tblGrid>
      <w:tr w:rsidR="003C3936" w:rsidRPr="00262A7E" w:rsidTr="005B5AED">
        <w:trPr>
          <w:cantSplit/>
          <w:trHeight w:hRule="exact" w:val="851"/>
        </w:trPr>
        <w:tc>
          <w:tcPr>
            <w:tcW w:w="1276" w:type="dxa"/>
            <w:tcBorders>
              <w:bottom w:val="single" w:sz="4" w:space="0" w:color="auto"/>
            </w:tcBorders>
            <w:vAlign w:val="bottom"/>
          </w:tcPr>
          <w:p w:rsidR="003C3936" w:rsidRPr="00262A7E" w:rsidRDefault="003C3936" w:rsidP="003B67BB">
            <w:pPr>
              <w:rPr>
                <w:lang w:val="fr-FR"/>
              </w:rPr>
            </w:pPr>
          </w:p>
        </w:tc>
        <w:tc>
          <w:tcPr>
            <w:tcW w:w="1701" w:type="dxa"/>
            <w:tcBorders>
              <w:bottom w:val="single" w:sz="4" w:space="0" w:color="auto"/>
            </w:tcBorders>
            <w:vAlign w:val="bottom"/>
          </w:tcPr>
          <w:p w:rsidR="003C3936" w:rsidRPr="00262A7E" w:rsidRDefault="003C3936" w:rsidP="003C3936">
            <w:pPr>
              <w:rPr>
                <w:b/>
                <w:sz w:val="24"/>
                <w:szCs w:val="24"/>
                <w:lang w:val="fr-FR"/>
              </w:rPr>
            </w:pPr>
          </w:p>
        </w:tc>
        <w:tc>
          <w:tcPr>
            <w:tcW w:w="6662" w:type="dxa"/>
            <w:gridSpan w:val="2"/>
            <w:tcBorders>
              <w:bottom w:val="single" w:sz="4" w:space="0" w:color="auto"/>
            </w:tcBorders>
            <w:vAlign w:val="bottom"/>
          </w:tcPr>
          <w:p w:rsidR="003C3936" w:rsidRPr="00262A7E" w:rsidRDefault="00CB5FF3" w:rsidP="003A312E">
            <w:pPr>
              <w:jc w:val="right"/>
              <w:rPr>
                <w:lang w:val="fr-FR"/>
              </w:rPr>
            </w:pPr>
            <w:r w:rsidRPr="00262A7E">
              <w:rPr>
                <w:sz w:val="40"/>
                <w:lang w:val="fr-FR"/>
              </w:rPr>
              <w:t>Document informel</w:t>
            </w:r>
            <w:r w:rsidR="00B760AD" w:rsidRPr="0022631B">
              <w:rPr>
                <w:sz w:val="40"/>
                <w:lang w:val="fr-FR"/>
              </w:rPr>
              <w:t xml:space="preserve"> </w:t>
            </w:r>
            <w:r w:rsidR="002A6A49">
              <w:rPr>
                <w:sz w:val="40"/>
                <w:lang w:val="fr-FR"/>
              </w:rPr>
              <w:t xml:space="preserve">CTI </w:t>
            </w:r>
            <w:r w:rsidR="003A312E">
              <w:rPr>
                <w:sz w:val="40"/>
                <w:lang w:val="fr-FR"/>
              </w:rPr>
              <w:t xml:space="preserve">(2017) </w:t>
            </w:r>
            <w:r w:rsidR="00112E5B">
              <w:rPr>
                <w:sz w:val="40"/>
                <w:lang w:val="fr-FR"/>
              </w:rPr>
              <w:t xml:space="preserve">No. </w:t>
            </w:r>
            <w:r w:rsidR="003A312E">
              <w:rPr>
                <w:sz w:val="40"/>
                <w:lang w:val="fr-FR"/>
              </w:rPr>
              <w:t>11</w:t>
            </w:r>
          </w:p>
        </w:tc>
      </w:tr>
      <w:tr w:rsidR="003C3936" w:rsidRPr="00262A7E">
        <w:trPr>
          <w:cantSplit/>
          <w:trHeight w:hRule="exact" w:val="2835"/>
        </w:trPr>
        <w:tc>
          <w:tcPr>
            <w:tcW w:w="1276" w:type="dxa"/>
            <w:tcBorders>
              <w:top w:val="single" w:sz="4" w:space="0" w:color="auto"/>
              <w:bottom w:val="single" w:sz="12" w:space="0" w:color="auto"/>
            </w:tcBorders>
          </w:tcPr>
          <w:p w:rsidR="003C3936" w:rsidRPr="00262A7E" w:rsidRDefault="003C3936" w:rsidP="003C3936">
            <w:pPr>
              <w:spacing w:before="120"/>
              <w:rPr>
                <w:lang w:val="fr-FR"/>
              </w:rPr>
            </w:pPr>
          </w:p>
        </w:tc>
        <w:tc>
          <w:tcPr>
            <w:tcW w:w="5528" w:type="dxa"/>
            <w:gridSpan w:val="2"/>
            <w:tcBorders>
              <w:top w:val="single" w:sz="4" w:space="0" w:color="auto"/>
              <w:bottom w:val="single" w:sz="12" w:space="0" w:color="auto"/>
            </w:tcBorders>
          </w:tcPr>
          <w:p w:rsidR="003C3936" w:rsidRPr="00262A7E" w:rsidRDefault="003C3936" w:rsidP="003C3936">
            <w:pPr>
              <w:spacing w:before="120"/>
              <w:rPr>
                <w:lang w:val="fr-FR"/>
              </w:rPr>
            </w:pPr>
          </w:p>
        </w:tc>
        <w:tc>
          <w:tcPr>
            <w:tcW w:w="2835" w:type="dxa"/>
            <w:tcBorders>
              <w:top w:val="single" w:sz="4" w:space="0" w:color="auto"/>
              <w:bottom w:val="single" w:sz="12" w:space="0" w:color="auto"/>
            </w:tcBorders>
          </w:tcPr>
          <w:p w:rsidR="00DC4E37" w:rsidRPr="000D3518" w:rsidRDefault="00BC0E73" w:rsidP="00DC4E37">
            <w:pPr>
              <w:spacing w:before="240" w:line="240" w:lineRule="exact"/>
              <w:rPr>
                <w:lang w:val="fr-CH"/>
              </w:rPr>
            </w:pPr>
            <w:r w:rsidRPr="000D3518">
              <w:rPr>
                <w:lang w:val="fr-CH"/>
              </w:rPr>
              <w:t>Distr.: gé</w:t>
            </w:r>
            <w:r w:rsidR="00DC4E37" w:rsidRPr="000D3518">
              <w:rPr>
                <w:lang w:val="fr-CH"/>
              </w:rPr>
              <w:t>n</w:t>
            </w:r>
            <w:r w:rsidRPr="000D3518">
              <w:rPr>
                <w:lang w:val="fr-CH"/>
              </w:rPr>
              <w:t>é</w:t>
            </w:r>
            <w:r w:rsidR="00DC4E37" w:rsidRPr="000D3518">
              <w:rPr>
                <w:lang w:val="fr-CH"/>
              </w:rPr>
              <w:t>ral</w:t>
            </w:r>
            <w:r w:rsidRPr="000D3518">
              <w:rPr>
                <w:lang w:val="fr-CH"/>
              </w:rPr>
              <w:t>e</w:t>
            </w:r>
          </w:p>
          <w:p w:rsidR="00DC4E37" w:rsidRPr="000D3518" w:rsidRDefault="00D93381" w:rsidP="00DC4E37">
            <w:pPr>
              <w:spacing w:line="240" w:lineRule="exact"/>
              <w:rPr>
                <w:lang w:val="fr-CH"/>
              </w:rPr>
            </w:pPr>
            <w:r>
              <w:rPr>
                <w:lang w:val="fr-CH"/>
              </w:rPr>
              <w:t>24</w:t>
            </w:r>
            <w:r w:rsidR="00CB1ACB">
              <w:rPr>
                <w:lang w:val="fr-CH"/>
              </w:rPr>
              <w:t xml:space="preserve"> </w:t>
            </w:r>
            <w:r w:rsidR="000D3518">
              <w:rPr>
                <w:lang w:val="fr-CH"/>
              </w:rPr>
              <w:t>février</w:t>
            </w:r>
            <w:r w:rsidR="00DC4E37" w:rsidRPr="000D3518">
              <w:rPr>
                <w:lang w:val="fr-CH"/>
              </w:rPr>
              <w:t xml:space="preserve"> 201</w:t>
            </w:r>
            <w:r w:rsidR="00CA2EB9">
              <w:rPr>
                <w:lang w:val="fr-CH"/>
              </w:rPr>
              <w:t>7</w:t>
            </w:r>
          </w:p>
          <w:p w:rsidR="00DC4E37" w:rsidRPr="000D3518" w:rsidRDefault="00D93381" w:rsidP="00DC4E37">
            <w:pPr>
              <w:spacing w:line="240" w:lineRule="exact"/>
              <w:rPr>
                <w:lang w:val="fr-CH"/>
              </w:rPr>
            </w:pPr>
            <w:r>
              <w:rPr>
                <w:lang w:val="fr-CH"/>
              </w:rPr>
              <w:t>F</w:t>
            </w:r>
            <w:r w:rsidR="00DC4E37" w:rsidRPr="000D3518">
              <w:rPr>
                <w:lang w:val="fr-CH"/>
              </w:rPr>
              <w:t>rançais</w:t>
            </w:r>
          </w:p>
          <w:p w:rsidR="003C3936" w:rsidRPr="00262A7E" w:rsidRDefault="00DC4E37" w:rsidP="003A1467">
            <w:pPr>
              <w:spacing w:line="240" w:lineRule="exact"/>
              <w:rPr>
                <w:lang w:val="fr-FR"/>
              </w:rPr>
            </w:pPr>
            <w:r w:rsidRPr="000D3518">
              <w:rPr>
                <w:lang w:val="fr-CH"/>
              </w:rPr>
              <w:t xml:space="preserve">Original: </w:t>
            </w:r>
            <w:r w:rsidR="00964F91">
              <w:rPr>
                <w:lang w:val="fr-CH"/>
              </w:rPr>
              <w:t>A</w:t>
            </w:r>
            <w:r w:rsidRPr="000D3518">
              <w:rPr>
                <w:lang w:val="fr-CH"/>
              </w:rPr>
              <w:t>nglais</w:t>
            </w:r>
          </w:p>
        </w:tc>
      </w:tr>
    </w:tbl>
    <w:p w:rsidR="00D95385" w:rsidRPr="00FD0B93" w:rsidRDefault="00CD1380" w:rsidP="00D95385">
      <w:pPr>
        <w:spacing w:before="120"/>
        <w:rPr>
          <w:bCs/>
          <w:sz w:val="28"/>
          <w:szCs w:val="28"/>
          <w:lang w:val="fr-FR"/>
        </w:rPr>
      </w:pPr>
      <w:r w:rsidRPr="00262A7E">
        <w:rPr>
          <w:b/>
          <w:bCs/>
          <w:sz w:val="28"/>
          <w:szCs w:val="28"/>
          <w:lang w:val="fr-FR"/>
        </w:rPr>
        <w:t>Commission économique pour l’Europe</w:t>
      </w:r>
    </w:p>
    <w:p w:rsidR="00D95385" w:rsidRPr="00262A7E" w:rsidRDefault="00CB5FF3" w:rsidP="005828C7">
      <w:pPr>
        <w:spacing w:before="120"/>
        <w:outlineLvl w:val="0"/>
        <w:rPr>
          <w:sz w:val="28"/>
          <w:szCs w:val="28"/>
          <w:lang w:val="fr-FR"/>
        </w:rPr>
      </w:pPr>
      <w:r w:rsidRPr="00262A7E">
        <w:rPr>
          <w:sz w:val="28"/>
          <w:szCs w:val="28"/>
          <w:lang w:val="fr-FR"/>
        </w:rPr>
        <w:t>Comité des transports intérieurs</w:t>
      </w:r>
    </w:p>
    <w:p w:rsidR="00D95385" w:rsidRPr="00262A7E" w:rsidRDefault="00D95385" w:rsidP="005828C7">
      <w:pPr>
        <w:spacing w:before="120"/>
        <w:outlineLvl w:val="0"/>
        <w:rPr>
          <w:b/>
          <w:bCs/>
          <w:lang w:val="fr-FR"/>
        </w:rPr>
      </w:pPr>
      <w:r w:rsidRPr="00262A7E">
        <w:rPr>
          <w:b/>
          <w:bCs/>
          <w:lang w:val="fr-FR"/>
        </w:rPr>
        <w:t>S</w:t>
      </w:r>
      <w:r w:rsidR="00CB5FF3" w:rsidRPr="00262A7E">
        <w:rPr>
          <w:b/>
          <w:bCs/>
          <w:lang w:val="fr-FR"/>
        </w:rPr>
        <w:t>oixante-</w:t>
      </w:r>
      <w:r w:rsidR="00964F91">
        <w:rPr>
          <w:b/>
          <w:bCs/>
          <w:lang w:val="fr-FR"/>
        </w:rPr>
        <w:t>dix-</w:t>
      </w:r>
      <w:r w:rsidR="00CA2EB9">
        <w:rPr>
          <w:b/>
          <w:bCs/>
          <w:lang w:val="fr-FR"/>
        </w:rPr>
        <w:t>neuvi</w:t>
      </w:r>
      <w:r w:rsidR="00EA1452" w:rsidRPr="00262A7E">
        <w:rPr>
          <w:b/>
          <w:bCs/>
          <w:lang w:val="fr-FR"/>
        </w:rPr>
        <w:t>ème</w:t>
      </w:r>
      <w:r w:rsidR="00CB5FF3" w:rsidRPr="00262A7E">
        <w:rPr>
          <w:b/>
          <w:bCs/>
          <w:lang w:val="fr-FR"/>
        </w:rPr>
        <w:t xml:space="preserve"> session</w:t>
      </w:r>
    </w:p>
    <w:p w:rsidR="00CB5FF3" w:rsidRPr="00262A7E" w:rsidRDefault="00D95385" w:rsidP="00D95385">
      <w:pPr>
        <w:rPr>
          <w:b/>
          <w:bCs/>
          <w:lang w:val="fr-FR"/>
        </w:rPr>
      </w:pPr>
      <w:r w:rsidRPr="00262A7E">
        <w:rPr>
          <w:lang w:val="fr-FR"/>
        </w:rPr>
        <w:t>Gen</w:t>
      </w:r>
      <w:r w:rsidR="00CB5FF3" w:rsidRPr="00262A7E">
        <w:rPr>
          <w:lang w:val="fr-FR"/>
        </w:rPr>
        <w:t>ève</w:t>
      </w:r>
      <w:r w:rsidRPr="00262A7E">
        <w:rPr>
          <w:lang w:val="fr-FR"/>
        </w:rPr>
        <w:t xml:space="preserve">, </w:t>
      </w:r>
      <w:r w:rsidR="005828C7">
        <w:rPr>
          <w:lang w:val="fr-FR"/>
        </w:rPr>
        <w:t>2</w:t>
      </w:r>
      <w:r w:rsidR="00CA2EB9">
        <w:rPr>
          <w:lang w:val="fr-FR"/>
        </w:rPr>
        <w:t>1</w:t>
      </w:r>
      <w:r w:rsidR="00BB22D5">
        <w:rPr>
          <w:lang w:val="fr-FR"/>
        </w:rPr>
        <w:t>-2</w:t>
      </w:r>
      <w:r w:rsidR="00CA2EB9">
        <w:rPr>
          <w:lang w:val="fr-FR"/>
        </w:rPr>
        <w:t>4</w:t>
      </w:r>
      <w:r w:rsidR="005828C7">
        <w:rPr>
          <w:lang w:val="fr-FR"/>
        </w:rPr>
        <w:t xml:space="preserve"> février</w:t>
      </w:r>
      <w:r w:rsidR="00B6510E">
        <w:rPr>
          <w:lang w:val="fr-FR"/>
        </w:rPr>
        <w:t xml:space="preserve"> 201</w:t>
      </w:r>
      <w:r w:rsidR="00CA2EB9">
        <w:rPr>
          <w:lang w:val="fr-FR"/>
        </w:rPr>
        <w:t>7</w:t>
      </w:r>
      <w:r w:rsidR="00B6510E">
        <w:rPr>
          <w:lang w:val="fr-FR"/>
        </w:rPr>
        <w:t xml:space="preserve"> </w:t>
      </w:r>
      <w:r w:rsidRPr="00262A7E">
        <w:rPr>
          <w:lang w:val="fr-FR"/>
        </w:rPr>
        <w:br/>
      </w:r>
      <w:r w:rsidR="00CB5FF3" w:rsidRPr="00262A7E">
        <w:rPr>
          <w:lang w:val="fr-FR"/>
        </w:rPr>
        <w:t>Point</w:t>
      </w:r>
      <w:r w:rsidRPr="00262A7E">
        <w:rPr>
          <w:lang w:val="fr-FR"/>
        </w:rPr>
        <w:t xml:space="preserve"> </w:t>
      </w:r>
      <w:r w:rsidR="00CA2EB9">
        <w:rPr>
          <w:lang w:val="fr-FR"/>
        </w:rPr>
        <w:t>17</w:t>
      </w:r>
      <w:r w:rsidRPr="00262A7E">
        <w:rPr>
          <w:lang w:val="fr-FR"/>
        </w:rPr>
        <w:t xml:space="preserve"> </w:t>
      </w:r>
      <w:r w:rsidR="00CB5FF3" w:rsidRPr="00262A7E">
        <w:rPr>
          <w:lang w:val="fr-FR"/>
        </w:rPr>
        <w:t>de l’ordre du jour provisoire</w:t>
      </w:r>
      <w:r w:rsidRPr="00262A7E">
        <w:rPr>
          <w:lang w:val="fr-FR"/>
        </w:rPr>
        <w:br/>
      </w:r>
      <w:r w:rsidR="003F7299" w:rsidRPr="00262A7E">
        <w:rPr>
          <w:b/>
          <w:bCs/>
          <w:lang w:val="fr-FR"/>
        </w:rPr>
        <w:t xml:space="preserve">Adoption de la liste des décisions </w:t>
      </w:r>
      <w:r w:rsidR="00EA196C" w:rsidRPr="00262A7E">
        <w:rPr>
          <w:b/>
          <w:bCs/>
          <w:lang w:val="fr-FR"/>
        </w:rPr>
        <w:t xml:space="preserve">principales </w:t>
      </w:r>
      <w:r w:rsidR="003F7299" w:rsidRPr="00262A7E">
        <w:rPr>
          <w:b/>
          <w:bCs/>
          <w:lang w:val="fr-FR"/>
        </w:rPr>
        <w:t xml:space="preserve">prises </w:t>
      </w:r>
      <w:r w:rsidR="00CB5FF3" w:rsidRPr="00262A7E">
        <w:rPr>
          <w:b/>
          <w:bCs/>
          <w:lang w:val="fr-FR"/>
        </w:rPr>
        <w:t>par le Comité</w:t>
      </w:r>
    </w:p>
    <w:p w:rsidR="003F7299" w:rsidRPr="00262A7E" w:rsidRDefault="003F7299" w:rsidP="00D95385">
      <w:pPr>
        <w:rPr>
          <w:b/>
          <w:bCs/>
          <w:lang w:val="fr-FR"/>
        </w:rPr>
      </w:pPr>
      <w:r w:rsidRPr="00262A7E">
        <w:rPr>
          <w:b/>
          <w:bCs/>
          <w:lang w:val="fr-FR"/>
        </w:rPr>
        <w:t xml:space="preserve">lors de </w:t>
      </w:r>
      <w:r w:rsidR="00CB5FF3" w:rsidRPr="00262A7E">
        <w:rPr>
          <w:b/>
          <w:bCs/>
          <w:lang w:val="fr-FR"/>
        </w:rPr>
        <w:t>sa s</w:t>
      </w:r>
      <w:r w:rsidRPr="00262A7E">
        <w:rPr>
          <w:b/>
          <w:bCs/>
          <w:lang w:val="fr-FR"/>
        </w:rPr>
        <w:t>oixante-</w:t>
      </w:r>
      <w:r w:rsidR="00964F91">
        <w:rPr>
          <w:b/>
          <w:bCs/>
          <w:lang w:val="fr-FR"/>
        </w:rPr>
        <w:t>dix-</w:t>
      </w:r>
      <w:r w:rsidR="00704445">
        <w:rPr>
          <w:b/>
          <w:bCs/>
          <w:lang w:val="fr-FR"/>
        </w:rPr>
        <w:t>neuv</w:t>
      </w:r>
      <w:r w:rsidR="002A6A49">
        <w:rPr>
          <w:b/>
          <w:bCs/>
          <w:lang w:val="fr-FR"/>
        </w:rPr>
        <w:t>i</w:t>
      </w:r>
      <w:r w:rsidRPr="00262A7E">
        <w:rPr>
          <w:b/>
          <w:bCs/>
          <w:lang w:val="fr-FR"/>
        </w:rPr>
        <w:t xml:space="preserve">ème session </w:t>
      </w:r>
    </w:p>
    <w:p w:rsidR="00D95385" w:rsidRPr="00BB22D5" w:rsidRDefault="0094245E" w:rsidP="00DD3EA7">
      <w:pPr>
        <w:pStyle w:val="HChG"/>
        <w:spacing w:line="360" w:lineRule="auto"/>
        <w:rPr>
          <w:lang w:val="fr-CH"/>
        </w:rPr>
      </w:pPr>
      <w:r>
        <w:rPr>
          <w:lang w:val="fr-FR"/>
        </w:rPr>
        <w:tab/>
      </w:r>
      <w:r>
        <w:rPr>
          <w:lang w:val="fr-FR"/>
        </w:rPr>
        <w:tab/>
      </w:r>
      <w:r w:rsidR="00242D42">
        <w:rPr>
          <w:lang w:val="fr-FR"/>
        </w:rPr>
        <w:t>L</w:t>
      </w:r>
      <w:r w:rsidR="00EF4906" w:rsidRPr="00BB22D5">
        <w:rPr>
          <w:lang w:val="fr-CH"/>
        </w:rPr>
        <w:t>iste des décisions</w:t>
      </w:r>
      <w:r w:rsidR="00EA196C" w:rsidRPr="00EA196C">
        <w:rPr>
          <w:lang w:val="fr-CH"/>
        </w:rPr>
        <w:t xml:space="preserve"> </w:t>
      </w:r>
      <w:r w:rsidR="00EA196C" w:rsidRPr="00BB22D5">
        <w:rPr>
          <w:lang w:val="fr-CH"/>
        </w:rPr>
        <w:t>principales</w:t>
      </w:r>
      <w:r w:rsidR="00960817">
        <w:rPr>
          <w:rStyle w:val="FootnoteReference"/>
          <w:lang w:val="fr-CH"/>
        </w:rPr>
        <w:footnoteReference w:id="2"/>
      </w:r>
    </w:p>
    <w:p w:rsidR="00D95385" w:rsidRPr="002F399B" w:rsidRDefault="00EA1452" w:rsidP="006D1D80">
      <w:pPr>
        <w:pStyle w:val="H1G"/>
        <w:spacing w:line="240" w:lineRule="auto"/>
        <w:rPr>
          <w:szCs w:val="24"/>
          <w:lang w:val="fr-FR"/>
        </w:rPr>
      </w:pPr>
      <w:r>
        <w:rPr>
          <w:lang w:val="fr-FR"/>
        </w:rPr>
        <w:tab/>
      </w:r>
      <w:r>
        <w:rPr>
          <w:lang w:val="fr-FR"/>
        </w:rPr>
        <w:tab/>
      </w:r>
      <w:r w:rsidR="00D95385" w:rsidRPr="002F399B">
        <w:rPr>
          <w:szCs w:val="24"/>
          <w:lang w:val="fr-FR"/>
        </w:rPr>
        <w:t xml:space="preserve">Note </w:t>
      </w:r>
      <w:r w:rsidR="00B04832" w:rsidRPr="002F399B">
        <w:rPr>
          <w:szCs w:val="24"/>
          <w:lang w:val="fr-FR"/>
        </w:rPr>
        <w:t>du</w:t>
      </w:r>
      <w:r w:rsidR="00D95385" w:rsidRPr="002F399B">
        <w:rPr>
          <w:szCs w:val="24"/>
          <w:lang w:val="fr-FR"/>
        </w:rPr>
        <w:t xml:space="preserve"> </w:t>
      </w:r>
      <w:r w:rsidR="00D95385" w:rsidRPr="002F399B">
        <w:rPr>
          <w:szCs w:val="24"/>
          <w:lang w:val="fr-CH"/>
        </w:rPr>
        <w:t>secr</w:t>
      </w:r>
      <w:r w:rsidR="00B04832" w:rsidRPr="002F399B">
        <w:rPr>
          <w:szCs w:val="24"/>
          <w:lang w:val="fr-CH"/>
        </w:rPr>
        <w:t>é</w:t>
      </w:r>
      <w:r w:rsidR="00D95385" w:rsidRPr="002F399B">
        <w:rPr>
          <w:szCs w:val="24"/>
          <w:lang w:val="fr-CH"/>
        </w:rPr>
        <w:t>tariat</w:t>
      </w:r>
    </w:p>
    <w:p w:rsidR="00D95385" w:rsidRPr="002F399B" w:rsidRDefault="00883A17" w:rsidP="006D1D80">
      <w:pPr>
        <w:pStyle w:val="SingleTxtG"/>
        <w:spacing w:line="240" w:lineRule="auto"/>
        <w:rPr>
          <w:lang w:val="fr-FR"/>
        </w:rPr>
      </w:pPr>
      <w:r w:rsidRPr="002F399B">
        <w:rPr>
          <w:lang w:val="fr-FR"/>
        </w:rPr>
        <w:t xml:space="preserve">Lors de </w:t>
      </w:r>
      <w:r w:rsidR="00B04832" w:rsidRPr="002F399B">
        <w:rPr>
          <w:lang w:val="fr-FR"/>
        </w:rPr>
        <w:t>sa soixante-</w:t>
      </w:r>
      <w:r w:rsidR="00964F91" w:rsidRPr="002F399B">
        <w:rPr>
          <w:lang w:val="fr-FR"/>
        </w:rPr>
        <w:t>dix-</w:t>
      </w:r>
      <w:r w:rsidR="00704445">
        <w:rPr>
          <w:lang w:val="fr-FR"/>
        </w:rPr>
        <w:t>neuvi</w:t>
      </w:r>
      <w:r w:rsidR="00B04832" w:rsidRPr="002F399B">
        <w:rPr>
          <w:lang w:val="fr-FR"/>
        </w:rPr>
        <w:t>ème</w:t>
      </w:r>
      <w:r w:rsidR="008D54E1" w:rsidRPr="002F399B">
        <w:rPr>
          <w:lang w:val="fr-FR"/>
        </w:rPr>
        <w:t xml:space="preserve"> </w:t>
      </w:r>
      <w:r w:rsidR="00D95385" w:rsidRPr="002F399B">
        <w:rPr>
          <w:lang w:val="fr-FR"/>
        </w:rPr>
        <w:t xml:space="preserve">session, </w:t>
      </w:r>
      <w:r w:rsidR="00262A7E" w:rsidRPr="002F399B">
        <w:rPr>
          <w:lang w:val="fr-FR"/>
        </w:rPr>
        <w:t>le C</w:t>
      </w:r>
      <w:r w:rsidR="00EA1452" w:rsidRPr="002F399B">
        <w:rPr>
          <w:lang w:val="fr-FR"/>
        </w:rPr>
        <w:t xml:space="preserve">omité des </w:t>
      </w:r>
      <w:r w:rsidR="00DD1335" w:rsidRPr="002F399B">
        <w:rPr>
          <w:lang w:val="fr-FR"/>
        </w:rPr>
        <w:t>t</w:t>
      </w:r>
      <w:r w:rsidR="00EA1452" w:rsidRPr="002F399B">
        <w:rPr>
          <w:lang w:val="fr-FR"/>
        </w:rPr>
        <w:t xml:space="preserve">ransports </w:t>
      </w:r>
      <w:r w:rsidR="00DD1335" w:rsidRPr="002F399B">
        <w:rPr>
          <w:lang w:val="fr-FR"/>
        </w:rPr>
        <w:t>i</w:t>
      </w:r>
      <w:r w:rsidR="00EA1452" w:rsidRPr="002F399B">
        <w:rPr>
          <w:lang w:val="fr-FR"/>
        </w:rPr>
        <w:t>ntérieurs</w:t>
      </w:r>
      <w:r w:rsidR="00D95385" w:rsidRPr="002F399B">
        <w:rPr>
          <w:lang w:val="fr-FR"/>
        </w:rPr>
        <w:t xml:space="preserve">: </w:t>
      </w:r>
    </w:p>
    <w:p w:rsidR="00B41964" w:rsidRPr="002F399B" w:rsidRDefault="00975406" w:rsidP="006D1D80">
      <w:pPr>
        <w:pStyle w:val="SingleTxtG"/>
        <w:spacing w:line="240" w:lineRule="auto"/>
        <w:rPr>
          <w:lang w:val="fr-FR"/>
        </w:rPr>
      </w:pPr>
      <w:r w:rsidRPr="002F399B">
        <w:rPr>
          <w:lang w:val="fr-FR"/>
        </w:rPr>
        <w:t>1.</w:t>
      </w:r>
      <w:r w:rsidRPr="002F399B">
        <w:rPr>
          <w:b/>
          <w:lang w:val="fr-FR"/>
        </w:rPr>
        <w:tab/>
      </w:r>
      <w:r w:rsidR="00D95385" w:rsidRPr="002F399B">
        <w:rPr>
          <w:b/>
          <w:lang w:val="fr-FR"/>
        </w:rPr>
        <w:t>A</w:t>
      </w:r>
      <w:r w:rsidR="00262A7E" w:rsidRPr="002F399B">
        <w:rPr>
          <w:b/>
          <w:lang w:val="fr-FR"/>
        </w:rPr>
        <w:t xml:space="preserve"> adopté </w:t>
      </w:r>
      <w:r w:rsidR="00262A7E" w:rsidRPr="002F399B">
        <w:rPr>
          <w:lang w:val="fr-FR"/>
        </w:rPr>
        <w:t>l’ordre du jour provisoire</w:t>
      </w:r>
      <w:r w:rsidR="00964F91" w:rsidRPr="002F399B">
        <w:rPr>
          <w:lang w:val="fr-FR"/>
        </w:rPr>
        <w:t xml:space="preserve"> (ECE/TRANS/2</w:t>
      </w:r>
      <w:r w:rsidR="00704445">
        <w:rPr>
          <w:lang w:val="fr-FR"/>
        </w:rPr>
        <w:t>69</w:t>
      </w:r>
      <w:r w:rsidR="00964F91" w:rsidRPr="002F399B">
        <w:rPr>
          <w:lang w:val="fr-FR"/>
        </w:rPr>
        <w:t xml:space="preserve"> et Add.1)</w:t>
      </w:r>
      <w:r w:rsidR="00EF66E6">
        <w:rPr>
          <w:lang w:val="fr-FR"/>
        </w:rPr>
        <w:t>;</w:t>
      </w:r>
    </w:p>
    <w:p w:rsidR="00112E5B" w:rsidRDefault="00112E5B" w:rsidP="006B3608">
      <w:pPr>
        <w:pStyle w:val="SingleTxtG"/>
        <w:spacing w:line="240" w:lineRule="auto"/>
        <w:jc w:val="left"/>
        <w:rPr>
          <w:lang w:val="fr-CH"/>
        </w:rPr>
      </w:pPr>
      <w:r>
        <w:rPr>
          <w:lang w:val="fr-CH"/>
        </w:rPr>
        <w:t>2.</w:t>
      </w:r>
      <w:r>
        <w:rPr>
          <w:lang w:val="fr-CH"/>
        </w:rPr>
        <w:tab/>
      </w:r>
      <w:r w:rsidRPr="00112E5B">
        <w:rPr>
          <w:b/>
          <w:lang w:val="fr-CH"/>
        </w:rPr>
        <w:t xml:space="preserve">A </w:t>
      </w:r>
      <w:r w:rsidR="00015654">
        <w:rPr>
          <w:b/>
          <w:lang w:val="fr-CH"/>
        </w:rPr>
        <w:t xml:space="preserve">salué et </w:t>
      </w:r>
      <w:r w:rsidR="004039ED">
        <w:rPr>
          <w:b/>
          <w:lang w:val="fr-CH"/>
        </w:rPr>
        <w:t>approuvé</w:t>
      </w:r>
      <w:r w:rsidR="00704445" w:rsidRPr="00704445">
        <w:rPr>
          <w:lang w:val="fr-CH"/>
        </w:rPr>
        <w:t xml:space="preserve"> la</w:t>
      </w:r>
      <w:r w:rsidR="00704445">
        <w:rPr>
          <w:lang w:val="fr-FR"/>
        </w:rPr>
        <w:t xml:space="preserve"> résolution ministérielle</w:t>
      </w:r>
      <w:r w:rsidR="00704445" w:rsidRPr="00704445">
        <w:rPr>
          <w:lang w:val="fr-FR"/>
        </w:rPr>
        <w:t xml:space="preserve"> </w:t>
      </w:r>
      <w:r w:rsidR="00704445">
        <w:rPr>
          <w:lang w:val="fr-FR"/>
        </w:rPr>
        <w:t>«</w:t>
      </w:r>
      <w:r w:rsidR="001A38BA" w:rsidRPr="001A38BA">
        <w:rPr>
          <w:lang w:val="fr-CH"/>
        </w:rPr>
        <w:t xml:space="preserve"> </w:t>
      </w:r>
      <w:r w:rsidR="00FA0435">
        <w:rPr>
          <w:lang w:val="fr-CH"/>
        </w:rPr>
        <w:t>Embrasser l’ère</w:t>
      </w:r>
      <w:r w:rsidR="00B13736">
        <w:rPr>
          <w:lang w:val="fr-CH"/>
        </w:rPr>
        <w:t xml:space="preserve"> nouvelle </w:t>
      </w:r>
      <w:r w:rsidR="00FA0435">
        <w:rPr>
          <w:lang w:val="fr-CH"/>
        </w:rPr>
        <w:t>de</w:t>
      </w:r>
      <w:r w:rsidR="00B13736">
        <w:rPr>
          <w:lang w:val="fr-CH"/>
        </w:rPr>
        <w:t xml:space="preserve"> </w:t>
      </w:r>
      <w:r w:rsidR="001A38BA" w:rsidRPr="001A38BA">
        <w:rPr>
          <w:lang w:val="fr-CH"/>
        </w:rPr>
        <w:t>la viabilité des transports intérieurs et de la mobilité </w:t>
      </w:r>
      <w:r w:rsidR="00704445">
        <w:rPr>
          <w:lang w:val="fr-FR"/>
        </w:rPr>
        <w:t>»</w:t>
      </w:r>
      <w:r w:rsidR="00015654">
        <w:rPr>
          <w:lang w:val="fr-FR"/>
        </w:rPr>
        <w:t xml:space="preserve">; </w:t>
      </w:r>
      <w:r w:rsidR="00015654" w:rsidRPr="00015654">
        <w:rPr>
          <w:b/>
          <w:lang w:val="fr-FR"/>
        </w:rPr>
        <w:t>s’est engagé</w:t>
      </w:r>
      <w:r w:rsidR="00015654">
        <w:rPr>
          <w:lang w:val="fr-FR"/>
        </w:rPr>
        <w:t xml:space="preserve"> </w:t>
      </w:r>
      <w:r w:rsidR="00015654" w:rsidRPr="00EF66E6">
        <w:rPr>
          <w:b/>
          <w:lang w:val="fr-FR"/>
        </w:rPr>
        <w:t>à mettre en œuvre</w:t>
      </w:r>
      <w:r w:rsidR="00015654">
        <w:rPr>
          <w:lang w:val="fr-FR"/>
        </w:rPr>
        <w:t xml:space="preserve"> les décisions de cette résolution, </w:t>
      </w:r>
      <w:r w:rsidR="00015654" w:rsidRPr="002C432B">
        <w:rPr>
          <w:b/>
          <w:lang w:val="fr-FR"/>
        </w:rPr>
        <w:t>a approuvé</w:t>
      </w:r>
      <w:r w:rsidR="00015654">
        <w:rPr>
          <w:lang w:val="fr-FR"/>
        </w:rPr>
        <w:t xml:space="preserve"> le projet de contribution pour la session de la Commission</w:t>
      </w:r>
      <w:r w:rsidR="002C432B">
        <w:rPr>
          <w:lang w:val="fr-FR"/>
        </w:rPr>
        <w:t xml:space="preserve"> </w:t>
      </w:r>
      <w:r w:rsidR="00731242">
        <w:rPr>
          <w:lang w:val="fr-FR"/>
        </w:rPr>
        <w:t xml:space="preserve">sur </w:t>
      </w:r>
      <w:r w:rsidR="002C432B">
        <w:rPr>
          <w:lang w:val="fr-FR"/>
        </w:rPr>
        <w:t xml:space="preserve"> la décision 1 de la résolution </w:t>
      </w:r>
      <w:r w:rsidR="00704445">
        <w:rPr>
          <w:lang w:val="fr-FR"/>
        </w:rPr>
        <w:t xml:space="preserve">et </w:t>
      </w:r>
      <w:r w:rsidR="00704445" w:rsidRPr="002C432B">
        <w:rPr>
          <w:b/>
          <w:lang w:val="fr-FR"/>
        </w:rPr>
        <w:t>a décidé</w:t>
      </w:r>
      <w:r w:rsidR="00704445">
        <w:rPr>
          <w:lang w:val="fr-FR"/>
        </w:rPr>
        <w:t xml:space="preserve"> </w:t>
      </w:r>
      <w:r w:rsidR="00704445" w:rsidRPr="00731242">
        <w:rPr>
          <w:b/>
          <w:lang w:val="fr-FR"/>
        </w:rPr>
        <w:t>de joindre</w:t>
      </w:r>
      <w:r w:rsidR="002C432B" w:rsidRPr="00731242">
        <w:rPr>
          <w:b/>
          <w:lang w:val="fr-FR"/>
        </w:rPr>
        <w:t xml:space="preserve"> la résolution ministérielle et le projet de contribution à la session d’avril 2017 de la Commission économique pour l’Europe</w:t>
      </w:r>
      <w:r w:rsidR="00F11314">
        <w:rPr>
          <w:b/>
          <w:lang w:val="fr-FR"/>
        </w:rPr>
        <w:t>,</w:t>
      </w:r>
      <w:r w:rsidR="002C432B" w:rsidRPr="00731242">
        <w:rPr>
          <w:b/>
          <w:lang w:val="fr-FR"/>
        </w:rPr>
        <w:t xml:space="preserve"> </w:t>
      </w:r>
      <w:r w:rsidRPr="00731242">
        <w:rPr>
          <w:b/>
          <w:lang w:val="fr-CH"/>
        </w:rPr>
        <w:t>en annexe</w:t>
      </w:r>
      <w:r w:rsidRPr="002F399B">
        <w:rPr>
          <w:lang w:val="fr-CH"/>
        </w:rPr>
        <w:t xml:space="preserve"> au rapport de la </w:t>
      </w:r>
      <w:r w:rsidR="00704445">
        <w:rPr>
          <w:lang w:val="fr-CH"/>
        </w:rPr>
        <w:t>soixante-dix-neuvième s</w:t>
      </w:r>
      <w:r w:rsidRPr="002F399B">
        <w:rPr>
          <w:lang w:val="fr-CH"/>
        </w:rPr>
        <w:t>ession du Comité</w:t>
      </w:r>
      <w:r w:rsidR="00731242">
        <w:rPr>
          <w:lang w:val="fr-CH"/>
        </w:rPr>
        <w:t>;</w:t>
      </w:r>
    </w:p>
    <w:p w:rsidR="00704445" w:rsidRPr="00271989" w:rsidRDefault="00704445" w:rsidP="0071143C">
      <w:pPr>
        <w:pStyle w:val="SingleTxtG"/>
        <w:rPr>
          <w:lang w:val="fr-CH"/>
        </w:rPr>
      </w:pPr>
      <w:r>
        <w:rPr>
          <w:lang w:val="fr-FR"/>
        </w:rPr>
        <w:t>3.</w:t>
      </w:r>
      <w:r>
        <w:rPr>
          <w:lang w:val="fr-FR"/>
        </w:rPr>
        <w:tab/>
      </w:r>
      <w:r w:rsidR="00271989" w:rsidRPr="00271989">
        <w:rPr>
          <w:b/>
          <w:lang w:val="fr-FR"/>
        </w:rPr>
        <w:t xml:space="preserve">A </w:t>
      </w:r>
      <w:r w:rsidR="0071143C">
        <w:rPr>
          <w:lang w:val="fr-FR"/>
        </w:rPr>
        <w:t>également</w:t>
      </w:r>
      <w:r w:rsidR="0071143C" w:rsidRPr="00271989">
        <w:rPr>
          <w:b/>
          <w:lang w:val="fr-FR"/>
        </w:rPr>
        <w:t xml:space="preserve"> </w:t>
      </w:r>
      <w:r w:rsidR="00271989" w:rsidRPr="00271989">
        <w:rPr>
          <w:b/>
          <w:lang w:val="fr-FR"/>
        </w:rPr>
        <w:t>demandé</w:t>
      </w:r>
      <w:r w:rsidR="00271989">
        <w:rPr>
          <w:lang w:val="fr-FR"/>
        </w:rPr>
        <w:t xml:space="preserve"> à la Commission économique pour l’Europe et au Conseil économique et social </w:t>
      </w:r>
      <w:r w:rsidR="00575CF0">
        <w:rPr>
          <w:lang w:val="fr-FR"/>
        </w:rPr>
        <w:t xml:space="preserve">(ECOSOC) </w:t>
      </w:r>
      <w:r w:rsidR="00271989">
        <w:rPr>
          <w:lang w:val="fr-FR"/>
        </w:rPr>
        <w:t xml:space="preserve">des Nations Unies, </w:t>
      </w:r>
      <w:r w:rsidR="0071143C">
        <w:rPr>
          <w:lang w:val="fr-FR"/>
        </w:rPr>
        <w:t>conformément à</w:t>
      </w:r>
      <w:r w:rsidR="00271989">
        <w:rPr>
          <w:lang w:val="fr-FR"/>
        </w:rPr>
        <w:t xml:space="preserve"> la décision 1 de la résolution ministérielle, </w:t>
      </w:r>
      <w:r w:rsidR="00271989" w:rsidRPr="00271989">
        <w:rPr>
          <w:lang w:val="fr-CH"/>
        </w:rPr>
        <w:t xml:space="preserve">d’examiner la question de charger le Comité de </w:t>
      </w:r>
      <w:r w:rsidR="00E84BCD">
        <w:rPr>
          <w:lang w:val="fr-CH"/>
        </w:rPr>
        <w:t>présenter un rapport d’activité</w:t>
      </w:r>
      <w:r w:rsidR="00B26B85">
        <w:rPr>
          <w:lang w:val="fr-CH"/>
        </w:rPr>
        <w:t>,</w:t>
      </w:r>
      <w:r w:rsidR="0071143C">
        <w:rPr>
          <w:lang w:val="fr-CH"/>
        </w:rPr>
        <w:t xml:space="preserve"> </w:t>
      </w:r>
      <w:r w:rsidR="00E84BCD">
        <w:rPr>
          <w:lang w:val="fr-CH"/>
        </w:rPr>
        <w:t xml:space="preserve">sur une base </w:t>
      </w:r>
      <w:r w:rsidR="0071143C">
        <w:rPr>
          <w:lang w:val="fr-CH"/>
        </w:rPr>
        <w:t xml:space="preserve">annuelle, </w:t>
      </w:r>
      <w:r w:rsidR="00271989" w:rsidRPr="00271989">
        <w:rPr>
          <w:lang w:val="fr-CH"/>
        </w:rPr>
        <w:t>à la Commission</w:t>
      </w:r>
      <w:r w:rsidR="00575CF0">
        <w:rPr>
          <w:lang w:val="fr-CH"/>
        </w:rPr>
        <w:t xml:space="preserve"> et</w:t>
      </w:r>
      <w:r w:rsidR="0071143C">
        <w:rPr>
          <w:lang w:val="fr-CH"/>
        </w:rPr>
        <w:t>,</w:t>
      </w:r>
      <w:r w:rsidR="0071143C" w:rsidRPr="0071143C">
        <w:rPr>
          <w:lang w:val="fr-CH"/>
        </w:rPr>
        <w:t xml:space="preserve"> </w:t>
      </w:r>
      <w:r w:rsidR="0071143C">
        <w:rPr>
          <w:lang w:val="fr-CH"/>
        </w:rPr>
        <w:t>à titre d’information,</w:t>
      </w:r>
      <w:r w:rsidR="00575CF0">
        <w:rPr>
          <w:lang w:val="fr-CH"/>
        </w:rPr>
        <w:t xml:space="preserve"> à l’ECOSOC</w:t>
      </w:r>
      <w:r w:rsidR="00731242">
        <w:rPr>
          <w:lang w:val="fr-CH"/>
        </w:rPr>
        <w:t>;</w:t>
      </w:r>
    </w:p>
    <w:p w:rsidR="0086020E" w:rsidRPr="00271989" w:rsidRDefault="00575CF0" w:rsidP="00B657A1">
      <w:pPr>
        <w:pStyle w:val="SingleTxtG"/>
        <w:rPr>
          <w:lang w:val="fr-CH"/>
        </w:rPr>
      </w:pPr>
      <w:r>
        <w:rPr>
          <w:lang w:val="fr-CH"/>
        </w:rPr>
        <w:t>4.</w:t>
      </w:r>
      <w:r>
        <w:rPr>
          <w:lang w:val="fr-CH"/>
        </w:rPr>
        <w:tab/>
        <w:t xml:space="preserve">A cet effet, </w:t>
      </w:r>
      <w:r w:rsidRPr="002C432B">
        <w:rPr>
          <w:b/>
          <w:lang w:val="fr-CH"/>
        </w:rPr>
        <w:t>a</w:t>
      </w:r>
      <w:r>
        <w:rPr>
          <w:lang w:val="fr-CH"/>
        </w:rPr>
        <w:t xml:space="preserve"> </w:t>
      </w:r>
      <w:r w:rsidRPr="005567CE">
        <w:rPr>
          <w:b/>
          <w:lang w:val="fr-CH"/>
        </w:rPr>
        <w:t xml:space="preserve">invité </w:t>
      </w:r>
      <w:r>
        <w:rPr>
          <w:lang w:val="fr-CH"/>
        </w:rPr>
        <w:t xml:space="preserve">la Commission à a) </w:t>
      </w:r>
      <w:r w:rsidRPr="005567CE">
        <w:rPr>
          <w:lang w:val="fr-CH"/>
        </w:rPr>
        <w:t>examiner</w:t>
      </w:r>
      <w:r w:rsidRPr="005567CE">
        <w:rPr>
          <w:b/>
          <w:lang w:val="fr-CH"/>
        </w:rPr>
        <w:t xml:space="preserve"> </w:t>
      </w:r>
      <w:r>
        <w:rPr>
          <w:lang w:val="fr-CH"/>
        </w:rPr>
        <w:t>i) la résolution ministérielle, ii) le rapport</w:t>
      </w:r>
      <w:r w:rsidR="00B657A1">
        <w:rPr>
          <w:lang w:val="fr-CH"/>
        </w:rPr>
        <w:t>/</w:t>
      </w:r>
      <w:r>
        <w:rPr>
          <w:lang w:val="fr-CH"/>
        </w:rPr>
        <w:t xml:space="preserve">décisions du Comité et iii) le projet de résolution de l’ECOSOC  soumis par la Commission pour approbation par l’ECOSOC «Résolution de l’ECOSOC» et b) </w:t>
      </w:r>
      <w:r w:rsidR="00B657A1">
        <w:rPr>
          <w:lang w:val="fr-CH"/>
        </w:rPr>
        <w:t xml:space="preserve">si la décision est favorable, </w:t>
      </w:r>
      <w:r w:rsidR="00731242">
        <w:rPr>
          <w:lang w:val="fr-CH"/>
        </w:rPr>
        <w:t xml:space="preserve">inviter </w:t>
      </w:r>
      <w:r w:rsidR="005567CE">
        <w:rPr>
          <w:lang w:val="fr-CH"/>
        </w:rPr>
        <w:t xml:space="preserve">l’ECOSOC </w:t>
      </w:r>
      <w:r w:rsidR="00731242">
        <w:rPr>
          <w:lang w:val="fr-CH"/>
        </w:rPr>
        <w:t xml:space="preserve">à </w:t>
      </w:r>
      <w:r w:rsidR="005567CE">
        <w:rPr>
          <w:lang w:val="fr-CH"/>
        </w:rPr>
        <w:t>adopter cette résolution</w:t>
      </w:r>
      <w:r w:rsidR="00731242">
        <w:rPr>
          <w:lang w:val="fr-CH"/>
        </w:rPr>
        <w:t>;</w:t>
      </w:r>
    </w:p>
    <w:p w:rsidR="0086020E" w:rsidRPr="00271989" w:rsidRDefault="005567CE" w:rsidP="00D41F0D">
      <w:pPr>
        <w:pStyle w:val="SingleTxtG"/>
        <w:rPr>
          <w:lang w:val="fr-CH"/>
        </w:rPr>
      </w:pPr>
      <w:r>
        <w:rPr>
          <w:lang w:val="fr-FR"/>
        </w:rPr>
        <w:t>5</w:t>
      </w:r>
      <w:r w:rsidR="00854B5D" w:rsidRPr="00854B5D">
        <w:rPr>
          <w:lang w:val="fr-FR"/>
        </w:rPr>
        <w:t>.</w:t>
      </w:r>
      <w:r w:rsidR="00854B5D">
        <w:rPr>
          <w:b/>
          <w:lang w:val="fr-FR"/>
        </w:rPr>
        <w:tab/>
      </w:r>
      <w:r w:rsidR="00132D8E">
        <w:rPr>
          <w:b/>
          <w:color w:val="222222"/>
          <w:lang w:val="fr-FR"/>
        </w:rPr>
        <w:t>A</w:t>
      </w:r>
      <w:r w:rsidR="0082446E" w:rsidRPr="0082446E">
        <w:rPr>
          <w:b/>
          <w:color w:val="222222"/>
          <w:lang w:val="fr-FR"/>
        </w:rPr>
        <w:t xml:space="preserve"> pris note</w:t>
      </w:r>
      <w:r w:rsidR="0082446E">
        <w:rPr>
          <w:color w:val="222222"/>
          <w:lang w:val="fr-FR"/>
        </w:rPr>
        <w:t xml:space="preserve"> que le résumé des débats, à savoir la note du Président, serait annexé au rapport du Comité après approbation par les délégués participants </w:t>
      </w:r>
      <w:r w:rsidR="00D41F0D">
        <w:rPr>
          <w:color w:val="222222"/>
          <w:lang w:val="fr-FR"/>
        </w:rPr>
        <w:t xml:space="preserve">lors de </w:t>
      </w:r>
      <w:r w:rsidR="0082446E">
        <w:rPr>
          <w:color w:val="222222"/>
          <w:lang w:val="fr-FR"/>
        </w:rPr>
        <w:t>la session restreinte</w:t>
      </w:r>
      <w:r w:rsidR="00731242">
        <w:rPr>
          <w:color w:val="222222"/>
          <w:lang w:val="fr-FR"/>
        </w:rPr>
        <w:t>;</w:t>
      </w:r>
      <w:r w:rsidR="0086020E">
        <w:rPr>
          <w:color w:val="222222"/>
          <w:lang w:val="fr-FR"/>
        </w:rPr>
        <w:t xml:space="preserve"> </w:t>
      </w:r>
    </w:p>
    <w:p w:rsidR="006632F6" w:rsidRPr="007F76C1" w:rsidRDefault="0082446E" w:rsidP="00D1429E">
      <w:pPr>
        <w:pStyle w:val="SingleTxtG"/>
        <w:rPr>
          <w:lang w:val="fr-CH"/>
        </w:rPr>
      </w:pPr>
      <w:r>
        <w:rPr>
          <w:lang w:val="fr-CH"/>
        </w:rPr>
        <w:lastRenderedPageBreak/>
        <w:t>6.</w:t>
      </w:r>
      <w:r>
        <w:rPr>
          <w:lang w:val="fr-CH"/>
        </w:rPr>
        <w:tab/>
      </w:r>
      <w:r w:rsidR="00F12299" w:rsidRPr="00B26B85">
        <w:rPr>
          <w:b/>
          <w:bCs/>
          <w:lang w:val="fr-CH"/>
        </w:rPr>
        <w:t>S’est félicité</w:t>
      </w:r>
      <w:r w:rsidR="00F12299">
        <w:rPr>
          <w:lang w:val="fr-CH"/>
        </w:rPr>
        <w:t xml:space="preserve"> des débats sur l’accroissement du rôle du Comité</w:t>
      </w:r>
      <w:r w:rsidR="00D0619E">
        <w:rPr>
          <w:lang w:val="fr-CH"/>
        </w:rPr>
        <w:t>,</w:t>
      </w:r>
      <w:r w:rsidR="00F12299">
        <w:rPr>
          <w:lang w:val="fr-CH"/>
        </w:rPr>
        <w:t xml:space="preserve"> lors de la réunion des présidents des organes subsidiaires</w:t>
      </w:r>
      <w:r w:rsidR="00D0619E">
        <w:rPr>
          <w:lang w:val="fr-CH"/>
        </w:rPr>
        <w:t>,</w:t>
      </w:r>
      <w:r w:rsidR="00F12299">
        <w:rPr>
          <w:lang w:val="fr-CH"/>
        </w:rPr>
        <w:t xml:space="preserve"> dans une conjoncture mondiale en mutation rapide</w:t>
      </w:r>
      <w:r w:rsidR="00132D8E">
        <w:rPr>
          <w:lang w:val="fr-CH"/>
        </w:rPr>
        <w:t xml:space="preserve">; </w:t>
      </w:r>
      <w:r w:rsidR="00132D8E" w:rsidRPr="00D0619E">
        <w:rPr>
          <w:b/>
          <w:bCs/>
          <w:lang w:val="fr-CH"/>
        </w:rPr>
        <w:t>a</w:t>
      </w:r>
      <w:r w:rsidR="006632F6" w:rsidRPr="00D0619E">
        <w:rPr>
          <w:b/>
          <w:bCs/>
          <w:lang w:val="fr-CH"/>
        </w:rPr>
        <w:t xml:space="preserve"> examiné</w:t>
      </w:r>
      <w:r w:rsidR="006632F6" w:rsidRPr="00740CC6">
        <w:rPr>
          <w:lang w:val="fr-CH"/>
        </w:rPr>
        <w:t xml:space="preserve"> les moyens d'accroître l'influence du Comité et de ses organes face aux défis actuels et aux nouvelles perspectives au niveau mondial, conformément à la résolution ministérielle du 21 février 2017</w:t>
      </w:r>
      <w:r w:rsidR="00D0619E">
        <w:rPr>
          <w:lang w:val="fr-CH"/>
        </w:rPr>
        <w:t>,</w:t>
      </w:r>
      <w:r w:rsidR="006632F6" w:rsidRPr="00740CC6">
        <w:rPr>
          <w:lang w:val="fr-CH"/>
        </w:rPr>
        <w:t xml:space="preserve"> adopté</w:t>
      </w:r>
      <w:r w:rsidR="00D0619E">
        <w:rPr>
          <w:lang w:val="fr-CH"/>
        </w:rPr>
        <w:t>e</w:t>
      </w:r>
      <w:r w:rsidR="006632F6" w:rsidRPr="00740CC6">
        <w:rPr>
          <w:lang w:val="fr-CH"/>
        </w:rPr>
        <w:t xml:space="preserve"> lors de la </w:t>
      </w:r>
      <w:r w:rsidR="00D0619E">
        <w:rPr>
          <w:lang w:val="fr-CH"/>
        </w:rPr>
        <w:t xml:space="preserve">soixante-dix-neuvième </w:t>
      </w:r>
      <w:r w:rsidR="006632F6" w:rsidRPr="00740CC6">
        <w:rPr>
          <w:lang w:val="fr-CH"/>
        </w:rPr>
        <w:t xml:space="preserve"> session du Comité, notamment en faisant référence, dans les mandats des groupes de travail, aux questions relatives à la mise en œuvre des objectifs de développement durable axés sur les transports. À cet égard, les groupes de travail devraient envisager de préparer des contributions au projet de stratégie du Comité des transports intérieurs qui sera examiné par le Comité à sa session de 2018 et, si nécessaire, </w:t>
      </w:r>
      <w:r w:rsidR="001B453A">
        <w:rPr>
          <w:lang w:val="fr-CH"/>
        </w:rPr>
        <w:t xml:space="preserve">préparer également </w:t>
      </w:r>
      <w:r w:rsidR="006632F6" w:rsidRPr="00740CC6">
        <w:rPr>
          <w:lang w:val="fr-CH"/>
        </w:rPr>
        <w:t xml:space="preserve">des feuilles de route pour atteindre ces objectifs. À </w:t>
      </w:r>
      <w:r w:rsidR="001B453A">
        <w:rPr>
          <w:lang w:val="fr-CH"/>
        </w:rPr>
        <w:t>cet effet</w:t>
      </w:r>
      <w:r w:rsidR="006632F6" w:rsidRPr="00740CC6">
        <w:rPr>
          <w:lang w:val="fr-CH"/>
        </w:rPr>
        <w:t>, a décidé de partager</w:t>
      </w:r>
      <w:r w:rsidR="001B453A">
        <w:rPr>
          <w:lang w:val="fr-CH"/>
        </w:rPr>
        <w:t xml:space="preserve">, </w:t>
      </w:r>
      <w:r w:rsidR="001B453A" w:rsidRPr="00740CC6">
        <w:rPr>
          <w:lang w:val="fr-CH"/>
        </w:rPr>
        <w:t>avec tous les groupes de travail</w:t>
      </w:r>
      <w:r w:rsidR="001B453A">
        <w:rPr>
          <w:lang w:val="fr-CH"/>
        </w:rPr>
        <w:t>,</w:t>
      </w:r>
      <w:r w:rsidR="006632F6" w:rsidRPr="00740CC6">
        <w:rPr>
          <w:lang w:val="fr-CH"/>
        </w:rPr>
        <w:t xml:space="preserve"> le résumé </w:t>
      </w:r>
      <w:r w:rsidR="00132D8E" w:rsidRPr="00740CC6">
        <w:rPr>
          <w:lang w:val="fr-CH"/>
        </w:rPr>
        <w:t>de rapport</w:t>
      </w:r>
      <w:r w:rsidR="006632F6" w:rsidRPr="00740CC6">
        <w:rPr>
          <w:lang w:val="fr-CH"/>
        </w:rPr>
        <w:t xml:space="preserve"> du document de stratégie (ECE / TRANS / 2017 / R.1) et les a invités à soumettre leurs commentaires et recommandations. Lors de la préparation d'un document de stratégie ou d’une feuille de route, les groupes de travail doivent </w:t>
      </w:r>
      <w:r w:rsidR="001B453A">
        <w:rPr>
          <w:lang w:val="fr-CH"/>
        </w:rPr>
        <w:t>tenir</w:t>
      </w:r>
      <w:r w:rsidR="006632F6" w:rsidRPr="00740CC6">
        <w:rPr>
          <w:lang w:val="fr-CH"/>
        </w:rPr>
        <w:t xml:space="preserve"> compte </w:t>
      </w:r>
      <w:r w:rsidR="001B453A">
        <w:rPr>
          <w:lang w:val="fr-CH"/>
        </w:rPr>
        <w:t xml:space="preserve">de </w:t>
      </w:r>
      <w:r w:rsidR="006632F6" w:rsidRPr="00740CC6">
        <w:rPr>
          <w:lang w:val="fr-CH"/>
        </w:rPr>
        <w:t>la disponibilité limitée des ressources et savoir que toute nouvelle activité doit être assortie d</w:t>
      </w:r>
      <w:r w:rsidR="00D1429E">
        <w:rPr>
          <w:lang w:val="fr-CH"/>
        </w:rPr>
        <w:t xml:space="preserve">e la </w:t>
      </w:r>
      <w:r w:rsidR="006632F6" w:rsidRPr="00740CC6">
        <w:rPr>
          <w:lang w:val="fr-CH"/>
        </w:rPr>
        <w:t>réduction ou d</w:t>
      </w:r>
      <w:r w:rsidR="00D1429E">
        <w:rPr>
          <w:lang w:val="fr-CH"/>
        </w:rPr>
        <w:t>e</w:t>
      </w:r>
      <w:r w:rsidR="006632F6" w:rsidRPr="00740CC6">
        <w:rPr>
          <w:lang w:val="fr-CH"/>
        </w:rPr>
        <w:t xml:space="preserve"> </w:t>
      </w:r>
      <w:r w:rsidR="001B453A">
        <w:rPr>
          <w:lang w:val="fr-CH"/>
        </w:rPr>
        <w:t>l’</w:t>
      </w:r>
      <w:r w:rsidR="006632F6" w:rsidRPr="00740CC6">
        <w:rPr>
          <w:lang w:val="fr-CH"/>
        </w:rPr>
        <w:t>interruption d'une ou de plusieurs autres activités, à moins de bénéficier d’un financement extrabudgétaire;</w:t>
      </w:r>
    </w:p>
    <w:p w:rsidR="006632F6" w:rsidRPr="00271989" w:rsidRDefault="006632F6" w:rsidP="00FF0593">
      <w:pPr>
        <w:pStyle w:val="SingleTxtG"/>
        <w:rPr>
          <w:lang w:val="fr-CH"/>
        </w:rPr>
      </w:pPr>
      <w:r>
        <w:rPr>
          <w:lang w:val="fr-CH"/>
        </w:rPr>
        <w:t>7.</w:t>
      </w:r>
      <w:r>
        <w:rPr>
          <w:lang w:val="fr-CH"/>
        </w:rPr>
        <w:tab/>
      </w:r>
      <w:r w:rsidRPr="00232C92">
        <w:rPr>
          <w:b/>
          <w:lang w:val="fr-CH"/>
        </w:rPr>
        <w:t>A pris note</w:t>
      </w:r>
      <w:r>
        <w:rPr>
          <w:lang w:val="fr-CH"/>
        </w:rPr>
        <w:t xml:space="preserve"> de l’importance d’un solide cadre</w:t>
      </w:r>
      <w:r>
        <w:rPr>
          <w:lang w:val="fr-FR"/>
        </w:rPr>
        <w:t xml:space="preserve"> réglementaire pour les transports intérieurs sur le plan international, compte tenu notamment des objectifs de développement durable (ODD), à travers la promotion de l’accélération des adhésions aux conventions et accords de l’ONU relatifs aux transports qui relèvent du Comité </w:t>
      </w:r>
      <w:r w:rsidR="0079150B">
        <w:rPr>
          <w:lang w:val="fr-FR"/>
        </w:rPr>
        <w:t>et le renforcement de leur mise en œuvre</w:t>
      </w:r>
      <w:r>
        <w:rPr>
          <w:lang w:val="fr-FR"/>
        </w:rPr>
        <w:t xml:space="preserve">; </w:t>
      </w:r>
    </w:p>
    <w:p w:rsidR="002B1238" w:rsidRPr="00271989" w:rsidRDefault="0082446E" w:rsidP="00113DD7">
      <w:pPr>
        <w:pStyle w:val="SingleTxtG"/>
        <w:rPr>
          <w:lang w:val="fr-CH"/>
        </w:rPr>
      </w:pPr>
      <w:r>
        <w:rPr>
          <w:lang w:val="fr-FR"/>
        </w:rPr>
        <w:t xml:space="preserve"> </w:t>
      </w:r>
      <w:r w:rsidR="002F4667">
        <w:rPr>
          <w:lang w:val="fr-FR"/>
        </w:rPr>
        <w:t>8.</w:t>
      </w:r>
      <w:r w:rsidR="000B7654">
        <w:rPr>
          <w:lang w:val="fr-FR"/>
        </w:rPr>
        <w:tab/>
      </w:r>
      <w:r w:rsidR="00ED5FDE">
        <w:rPr>
          <w:lang w:val="fr-FR"/>
        </w:rPr>
        <w:t>Pour y parvenir</w:t>
      </w:r>
      <w:r w:rsidR="000B7654">
        <w:rPr>
          <w:lang w:val="fr-FR"/>
        </w:rPr>
        <w:t xml:space="preserve">, </w:t>
      </w:r>
      <w:r w:rsidR="000B7654" w:rsidRPr="002F399B">
        <w:rPr>
          <w:b/>
          <w:lang w:val="fr-CH"/>
        </w:rPr>
        <w:t>a</w:t>
      </w:r>
      <w:r w:rsidR="000B7654" w:rsidRPr="002F399B">
        <w:rPr>
          <w:lang w:val="fr-CH"/>
        </w:rPr>
        <w:t xml:space="preserve"> </w:t>
      </w:r>
      <w:r w:rsidR="000B7654" w:rsidRPr="002F399B">
        <w:rPr>
          <w:b/>
          <w:lang w:val="fr-CH"/>
        </w:rPr>
        <w:t>invité</w:t>
      </w:r>
      <w:r w:rsidR="000B7654" w:rsidRPr="002F399B">
        <w:rPr>
          <w:lang w:val="fr-CH"/>
        </w:rPr>
        <w:t xml:space="preserve"> les pays qui ne l’ont pas encore fait à adhérer aux conventions </w:t>
      </w:r>
      <w:r w:rsidR="003B744D">
        <w:rPr>
          <w:lang w:val="fr-CH"/>
        </w:rPr>
        <w:t xml:space="preserve">des Nations Unies </w:t>
      </w:r>
      <w:r w:rsidR="000B7654" w:rsidRPr="002F399B">
        <w:rPr>
          <w:lang w:val="fr-CH"/>
        </w:rPr>
        <w:t>et autres instruments juridiques</w:t>
      </w:r>
      <w:r w:rsidR="003B744D" w:rsidRPr="003B744D">
        <w:rPr>
          <w:lang w:val="fr-CH"/>
        </w:rPr>
        <w:t xml:space="preserve"> </w:t>
      </w:r>
      <w:r w:rsidR="003B744D" w:rsidRPr="002F399B">
        <w:rPr>
          <w:lang w:val="fr-CH"/>
        </w:rPr>
        <w:t xml:space="preserve">relatifs aux transports intérieurs </w:t>
      </w:r>
      <w:r w:rsidR="003B744D">
        <w:rPr>
          <w:lang w:val="fr-CH"/>
        </w:rPr>
        <w:t>administrés par le Comité et ses organes subsidiaires</w:t>
      </w:r>
      <w:r w:rsidR="006B3608">
        <w:rPr>
          <w:lang w:val="fr-CH"/>
        </w:rPr>
        <w:t>;</w:t>
      </w:r>
      <w:r w:rsidR="0086020E">
        <w:rPr>
          <w:lang w:val="fr-FR"/>
        </w:rPr>
        <w:t xml:space="preserve"> </w:t>
      </w:r>
      <w:r w:rsidR="00232C92" w:rsidRPr="00232C92">
        <w:rPr>
          <w:b/>
          <w:lang w:val="fr-FR"/>
        </w:rPr>
        <w:t>s’</w:t>
      </w:r>
      <w:r w:rsidR="003B744D" w:rsidRPr="0086020E">
        <w:rPr>
          <w:b/>
          <w:lang w:val="fr-FR"/>
        </w:rPr>
        <w:t>est montré satisfait</w:t>
      </w:r>
      <w:r w:rsidR="003B744D">
        <w:rPr>
          <w:lang w:val="fr-FR"/>
        </w:rPr>
        <w:t xml:space="preserve"> </w:t>
      </w:r>
      <w:r w:rsidR="00113DD7">
        <w:rPr>
          <w:lang w:val="fr-FR"/>
        </w:rPr>
        <w:t>de l’impact positif</w:t>
      </w:r>
      <w:r w:rsidR="003B744D">
        <w:rPr>
          <w:lang w:val="fr-FR"/>
        </w:rPr>
        <w:t xml:space="preserve"> des activités de l’Envoyé spécial du Secrétaire général de l’ONU pour la sécurité routière en matière de sensibilisation aux instruments juridiques relatifs à la sécurité routière</w:t>
      </w:r>
      <w:r w:rsidR="002F4667">
        <w:rPr>
          <w:lang w:val="fr-FR"/>
        </w:rPr>
        <w:t>;</w:t>
      </w:r>
    </w:p>
    <w:p w:rsidR="002B1238" w:rsidRPr="00271989" w:rsidRDefault="002F4667" w:rsidP="00113DD7">
      <w:pPr>
        <w:pStyle w:val="SingleTxtG"/>
        <w:rPr>
          <w:lang w:val="fr-CH"/>
        </w:rPr>
      </w:pPr>
      <w:r>
        <w:rPr>
          <w:lang w:val="fr-FR"/>
        </w:rPr>
        <w:t>9.</w:t>
      </w:r>
      <w:r w:rsidR="004125DD">
        <w:rPr>
          <w:lang w:val="fr-FR"/>
        </w:rPr>
        <w:tab/>
      </w:r>
      <w:r w:rsidR="004125DD" w:rsidRPr="00DE1DEA">
        <w:rPr>
          <w:b/>
          <w:color w:val="222222"/>
          <w:lang w:val="fr-FR"/>
        </w:rPr>
        <w:t>A réaffirmé son appréciation et son soutien</w:t>
      </w:r>
      <w:r w:rsidR="004125DD">
        <w:rPr>
          <w:color w:val="222222"/>
          <w:lang w:val="fr-FR"/>
        </w:rPr>
        <w:t xml:space="preserve"> </w:t>
      </w:r>
      <w:r w:rsidR="002B1238">
        <w:rPr>
          <w:color w:val="222222"/>
          <w:lang w:val="fr-FR"/>
        </w:rPr>
        <w:t>aux</w:t>
      </w:r>
      <w:r w:rsidR="004125DD">
        <w:rPr>
          <w:color w:val="222222"/>
          <w:lang w:val="fr-FR"/>
        </w:rPr>
        <w:t xml:space="preserve"> </w:t>
      </w:r>
      <w:r w:rsidR="000810FE">
        <w:rPr>
          <w:color w:val="222222"/>
          <w:lang w:val="fr-FR"/>
        </w:rPr>
        <w:t xml:space="preserve">travaux </w:t>
      </w:r>
      <w:r w:rsidR="00412C1A">
        <w:rPr>
          <w:color w:val="222222"/>
          <w:lang w:val="fr-FR"/>
        </w:rPr>
        <w:t>d’analyses</w:t>
      </w:r>
      <w:r w:rsidR="000810FE">
        <w:rPr>
          <w:color w:val="222222"/>
          <w:lang w:val="fr-FR"/>
        </w:rPr>
        <w:t xml:space="preserve"> </w:t>
      </w:r>
      <w:r w:rsidR="004125DD">
        <w:rPr>
          <w:color w:val="222222"/>
          <w:lang w:val="fr-FR"/>
        </w:rPr>
        <w:t xml:space="preserve">accomplies dans le cadre du </w:t>
      </w:r>
      <w:r w:rsidR="004125DD">
        <w:rPr>
          <w:lang w:val="fr-FR"/>
        </w:rPr>
        <w:t>Groupe de travail chargé d’examiner les tendances et l’économie des transports (WP.5)</w:t>
      </w:r>
      <w:r w:rsidR="002B1238">
        <w:rPr>
          <w:lang w:val="fr-FR"/>
        </w:rPr>
        <w:t xml:space="preserve"> et par la Division</w:t>
      </w:r>
      <w:r w:rsidR="000810FE">
        <w:rPr>
          <w:lang w:val="fr-FR"/>
        </w:rPr>
        <w:t xml:space="preserve"> en général,</w:t>
      </w:r>
      <w:r>
        <w:rPr>
          <w:lang w:val="fr-CH"/>
        </w:rPr>
        <w:t xml:space="preserve"> </w:t>
      </w:r>
      <w:r w:rsidR="00232C92">
        <w:rPr>
          <w:lang w:val="fr-CH"/>
        </w:rPr>
        <w:t>et</w:t>
      </w:r>
      <w:r>
        <w:rPr>
          <w:lang w:val="fr-CH"/>
        </w:rPr>
        <w:t xml:space="preserve"> </w:t>
      </w:r>
      <w:r w:rsidRPr="00232C92">
        <w:rPr>
          <w:b/>
          <w:lang w:val="fr-CH"/>
        </w:rPr>
        <w:t>a demandé</w:t>
      </w:r>
      <w:r>
        <w:rPr>
          <w:lang w:val="fr-CH"/>
        </w:rPr>
        <w:t xml:space="preserve"> au WP.5 </w:t>
      </w:r>
      <w:r>
        <w:rPr>
          <w:color w:val="222222"/>
          <w:lang w:val="fr-FR"/>
        </w:rPr>
        <w:t>d'examiner la question des liens entre transport et développement urbain, en modifiant</w:t>
      </w:r>
      <w:r w:rsidR="00113DD7">
        <w:rPr>
          <w:color w:val="222222"/>
          <w:lang w:val="fr-FR"/>
        </w:rPr>
        <w:t xml:space="preserve">, le cas échéant, </w:t>
      </w:r>
      <w:r>
        <w:rPr>
          <w:color w:val="222222"/>
          <w:lang w:val="fr-FR"/>
        </w:rPr>
        <w:t xml:space="preserve"> son programme de travail</w:t>
      </w:r>
      <w:r w:rsidR="00364B8A">
        <w:rPr>
          <w:color w:val="222222"/>
          <w:lang w:val="fr-FR"/>
        </w:rPr>
        <w:t xml:space="preserve"> et de </w:t>
      </w:r>
      <w:r w:rsidR="00113DD7">
        <w:rPr>
          <w:color w:val="222222"/>
          <w:lang w:val="fr-FR"/>
        </w:rPr>
        <w:t xml:space="preserve">poursuivre activement </w:t>
      </w:r>
      <w:r w:rsidR="00364B8A">
        <w:rPr>
          <w:color w:val="222222"/>
          <w:lang w:val="fr-FR"/>
        </w:rPr>
        <w:t>sa participation aux travaux du</w:t>
      </w:r>
      <w:r w:rsidR="00364B8A" w:rsidRPr="00364B8A">
        <w:rPr>
          <w:lang w:val="fr-FR"/>
        </w:rPr>
        <w:t xml:space="preserve"> </w:t>
      </w:r>
      <w:r w:rsidR="00364B8A">
        <w:rPr>
          <w:lang w:val="fr-FR"/>
        </w:rPr>
        <w:t>Programme tripartite paneuropéen sur les transports, la santé et l’environnement (PPE-TSE)</w:t>
      </w:r>
      <w:r>
        <w:rPr>
          <w:color w:val="222222"/>
          <w:lang w:val="fr-FR"/>
        </w:rPr>
        <w:t>;  </w:t>
      </w:r>
      <w:r>
        <w:rPr>
          <w:lang w:val="fr-CH"/>
        </w:rPr>
        <w:t xml:space="preserve"> </w:t>
      </w:r>
    </w:p>
    <w:p w:rsidR="00D76E66" w:rsidRPr="00271989" w:rsidRDefault="00DE1DEA" w:rsidP="00A13A7F">
      <w:pPr>
        <w:pStyle w:val="SingleTxtG"/>
        <w:rPr>
          <w:lang w:val="fr-CH"/>
        </w:rPr>
      </w:pPr>
      <w:r>
        <w:rPr>
          <w:lang w:val="fr-FR"/>
        </w:rPr>
        <w:t>1</w:t>
      </w:r>
      <w:r w:rsidR="00511BFE">
        <w:rPr>
          <w:lang w:val="fr-FR"/>
        </w:rPr>
        <w:t>0</w:t>
      </w:r>
      <w:r w:rsidR="0008569E">
        <w:rPr>
          <w:lang w:val="fr-FR"/>
        </w:rPr>
        <w:t>.</w:t>
      </w:r>
      <w:r w:rsidR="0008569E">
        <w:rPr>
          <w:lang w:val="fr-FR"/>
        </w:rPr>
        <w:tab/>
      </w:r>
      <w:r w:rsidR="003225E2" w:rsidRPr="003225E2">
        <w:rPr>
          <w:color w:val="222222"/>
          <w:lang w:val="fr-FR"/>
        </w:rPr>
        <w:t xml:space="preserve"> </w:t>
      </w:r>
      <w:r w:rsidR="00364B8A">
        <w:rPr>
          <w:color w:val="222222"/>
          <w:lang w:val="fr-FR"/>
        </w:rPr>
        <w:t xml:space="preserve">Suite à la déclaration ministérielle, </w:t>
      </w:r>
      <w:r w:rsidR="00364B8A" w:rsidRPr="00364B8A">
        <w:rPr>
          <w:b/>
          <w:color w:val="222222"/>
          <w:lang w:val="fr-FR"/>
        </w:rPr>
        <w:t>a décidé</w:t>
      </w:r>
      <w:r w:rsidR="00364B8A">
        <w:rPr>
          <w:color w:val="222222"/>
          <w:lang w:val="fr-FR"/>
        </w:rPr>
        <w:t xml:space="preserve">, </w:t>
      </w:r>
      <w:r w:rsidR="00A13A7F">
        <w:rPr>
          <w:color w:val="222222"/>
          <w:lang w:val="fr-FR"/>
        </w:rPr>
        <w:t>dans la limite des</w:t>
      </w:r>
      <w:r w:rsidR="00364B8A">
        <w:rPr>
          <w:color w:val="222222"/>
          <w:lang w:val="fr-FR"/>
        </w:rPr>
        <w:t xml:space="preserve"> ressources existantes, </w:t>
      </w:r>
      <w:r w:rsidR="003225E2">
        <w:rPr>
          <w:color w:val="222222"/>
          <w:lang w:val="fr-FR"/>
        </w:rPr>
        <w:t xml:space="preserve">de renforcer sa contribution à la mise en œuvre des objectifs </w:t>
      </w:r>
      <w:r w:rsidR="00C801D4">
        <w:rPr>
          <w:color w:val="222222"/>
          <w:lang w:val="fr-FR"/>
        </w:rPr>
        <w:t xml:space="preserve">de l'Agenda 2030 </w:t>
      </w:r>
      <w:r w:rsidR="003225E2">
        <w:rPr>
          <w:color w:val="222222"/>
          <w:lang w:val="fr-FR"/>
        </w:rPr>
        <w:t xml:space="preserve">relatifs au transport, l'Accord de Paris et </w:t>
      </w:r>
      <w:r w:rsidR="00A13A7F">
        <w:rPr>
          <w:color w:val="222222"/>
          <w:lang w:val="fr-FR"/>
        </w:rPr>
        <w:t xml:space="preserve">le </w:t>
      </w:r>
      <w:r w:rsidR="003225E2">
        <w:rPr>
          <w:color w:val="222222"/>
          <w:lang w:val="fr-FR"/>
        </w:rPr>
        <w:t>Nouvel Ordre du jour Urbain</w:t>
      </w:r>
      <w:r w:rsidR="00364B8A">
        <w:rPr>
          <w:color w:val="222222"/>
          <w:lang w:val="fr-FR"/>
        </w:rPr>
        <w:t xml:space="preserve">, </w:t>
      </w:r>
      <w:r w:rsidR="00A13A7F">
        <w:rPr>
          <w:color w:val="222222"/>
          <w:lang w:val="fr-FR"/>
        </w:rPr>
        <w:t>et les</w:t>
      </w:r>
      <w:r w:rsidR="00364B8A">
        <w:rPr>
          <w:color w:val="222222"/>
          <w:lang w:val="fr-FR"/>
        </w:rPr>
        <w:t xml:space="preserve"> objectifs de développement durable</w:t>
      </w:r>
      <w:r w:rsidR="003225E2">
        <w:rPr>
          <w:color w:val="222222"/>
          <w:lang w:val="fr-FR"/>
        </w:rPr>
        <w:t xml:space="preserve"> et a) </w:t>
      </w:r>
      <w:r w:rsidR="003225E2" w:rsidRPr="003225E2">
        <w:rPr>
          <w:b/>
          <w:color w:val="222222"/>
          <w:lang w:val="fr-FR"/>
        </w:rPr>
        <w:t>a demandé</w:t>
      </w:r>
      <w:r w:rsidR="003225E2">
        <w:rPr>
          <w:color w:val="222222"/>
          <w:lang w:val="fr-FR"/>
        </w:rPr>
        <w:t xml:space="preserve"> </w:t>
      </w:r>
      <w:r w:rsidR="00364B8A">
        <w:rPr>
          <w:color w:val="222222"/>
          <w:lang w:val="fr-FR"/>
        </w:rPr>
        <w:t>à ses organes subsidiaires</w:t>
      </w:r>
      <w:r w:rsidR="006B3608">
        <w:rPr>
          <w:color w:val="222222"/>
          <w:lang w:val="fr-FR"/>
        </w:rPr>
        <w:t xml:space="preserve"> </w:t>
      </w:r>
      <w:r w:rsidR="00364B8A">
        <w:rPr>
          <w:color w:val="222222"/>
          <w:lang w:val="fr-FR"/>
        </w:rPr>
        <w:t xml:space="preserve">i) </w:t>
      </w:r>
      <w:r w:rsidR="003225E2">
        <w:rPr>
          <w:color w:val="222222"/>
          <w:lang w:val="fr-FR"/>
        </w:rPr>
        <w:t xml:space="preserve">d'aligner </w:t>
      </w:r>
      <w:r w:rsidR="00364B8A">
        <w:rPr>
          <w:color w:val="222222"/>
          <w:lang w:val="fr-FR"/>
        </w:rPr>
        <w:t>leur</w:t>
      </w:r>
      <w:r w:rsidR="003225E2">
        <w:rPr>
          <w:color w:val="222222"/>
          <w:lang w:val="fr-FR"/>
        </w:rPr>
        <w:t xml:space="preserve"> travail en conséquence; </w:t>
      </w:r>
      <w:r w:rsidR="00364B8A">
        <w:rPr>
          <w:color w:val="222222"/>
          <w:lang w:val="fr-FR"/>
        </w:rPr>
        <w:t>ii</w:t>
      </w:r>
      <w:r w:rsidR="003225E2">
        <w:rPr>
          <w:color w:val="222222"/>
          <w:lang w:val="fr-FR"/>
        </w:rPr>
        <w:t xml:space="preserve">) </w:t>
      </w:r>
      <w:r w:rsidR="00D76E66">
        <w:rPr>
          <w:color w:val="222222"/>
          <w:lang w:val="fr-FR"/>
        </w:rPr>
        <w:t xml:space="preserve"> de </w:t>
      </w:r>
      <w:r w:rsidR="00C801D4">
        <w:rPr>
          <w:color w:val="222222"/>
          <w:lang w:val="fr-FR"/>
        </w:rPr>
        <w:t>poursuivre l’examen</w:t>
      </w:r>
      <w:r w:rsidR="00D76E66">
        <w:rPr>
          <w:color w:val="222222"/>
          <w:lang w:val="fr-FR"/>
        </w:rPr>
        <w:t>, d’</w:t>
      </w:r>
      <w:r w:rsidR="003225E2">
        <w:rPr>
          <w:color w:val="222222"/>
          <w:lang w:val="fr-FR"/>
        </w:rPr>
        <w:t>analyser et, si possible, d'établir une feuille de route sur la contribution de</w:t>
      </w:r>
      <w:r w:rsidR="00364B8A">
        <w:rPr>
          <w:color w:val="222222"/>
          <w:lang w:val="fr-FR"/>
        </w:rPr>
        <w:t>s</w:t>
      </w:r>
      <w:r w:rsidR="003225E2">
        <w:rPr>
          <w:color w:val="222222"/>
          <w:lang w:val="fr-FR"/>
        </w:rPr>
        <w:t xml:space="preserve"> </w:t>
      </w:r>
      <w:r w:rsidR="00364B8A">
        <w:rPr>
          <w:color w:val="222222"/>
          <w:lang w:val="fr-FR"/>
        </w:rPr>
        <w:t>états Membres</w:t>
      </w:r>
      <w:r w:rsidR="003225E2">
        <w:rPr>
          <w:color w:val="222222"/>
          <w:lang w:val="fr-FR"/>
        </w:rPr>
        <w:t xml:space="preserve"> à la mise en œuvre des objectifs </w:t>
      </w:r>
      <w:r w:rsidR="00C801D4">
        <w:rPr>
          <w:color w:val="222222"/>
          <w:lang w:val="fr-FR"/>
        </w:rPr>
        <w:t xml:space="preserve">de l'Agenda 2030 </w:t>
      </w:r>
      <w:r w:rsidR="003225E2">
        <w:rPr>
          <w:color w:val="222222"/>
          <w:lang w:val="fr-FR"/>
        </w:rPr>
        <w:t>et d</w:t>
      </w:r>
      <w:r w:rsidR="00D76E66">
        <w:rPr>
          <w:color w:val="222222"/>
          <w:lang w:val="fr-FR"/>
        </w:rPr>
        <w:t>’en</w:t>
      </w:r>
      <w:r w:rsidR="003225E2">
        <w:rPr>
          <w:color w:val="222222"/>
          <w:lang w:val="fr-FR"/>
        </w:rPr>
        <w:t xml:space="preserve"> rendre compte au Comité; </w:t>
      </w:r>
      <w:r w:rsidR="00D76E66">
        <w:rPr>
          <w:color w:val="222222"/>
          <w:lang w:val="fr-FR"/>
        </w:rPr>
        <w:t xml:space="preserve">et </w:t>
      </w:r>
      <w:r w:rsidR="00364B8A">
        <w:rPr>
          <w:color w:val="222222"/>
          <w:lang w:val="fr-FR"/>
        </w:rPr>
        <w:t>b</w:t>
      </w:r>
      <w:r w:rsidR="003225E2">
        <w:rPr>
          <w:color w:val="222222"/>
          <w:lang w:val="fr-FR"/>
        </w:rPr>
        <w:t xml:space="preserve">) </w:t>
      </w:r>
      <w:r w:rsidR="00C801D4">
        <w:rPr>
          <w:b/>
          <w:color w:val="222222"/>
          <w:lang w:val="fr-FR"/>
        </w:rPr>
        <w:t>a</w:t>
      </w:r>
      <w:r w:rsidR="00C801D4" w:rsidRPr="00D76E66">
        <w:rPr>
          <w:b/>
          <w:color w:val="222222"/>
          <w:lang w:val="fr-FR"/>
        </w:rPr>
        <w:t xml:space="preserve"> </w:t>
      </w:r>
      <w:r w:rsidR="003225E2" w:rsidRPr="00D76E66">
        <w:rPr>
          <w:b/>
          <w:color w:val="222222"/>
          <w:lang w:val="fr-FR"/>
        </w:rPr>
        <w:t>encourag</w:t>
      </w:r>
      <w:r w:rsidR="00C801D4">
        <w:rPr>
          <w:b/>
          <w:color w:val="222222"/>
          <w:lang w:val="fr-FR"/>
        </w:rPr>
        <w:t>é</w:t>
      </w:r>
      <w:r w:rsidR="003225E2">
        <w:rPr>
          <w:color w:val="222222"/>
          <w:lang w:val="fr-FR"/>
        </w:rPr>
        <w:t xml:space="preserve"> les États membres à assurer le suivi </w:t>
      </w:r>
      <w:r w:rsidR="00C801D4">
        <w:rPr>
          <w:color w:val="222222"/>
          <w:lang w:val="fr-FR"/>
        </w:rPr>
        <w:t>auprès des</w:t>
      </w:r>
      <w:r w:rsidR="00D76E66">
        <w:rPr>
          <w:color w:val="222222"/>
          <w:lang w:val="fr-FR"/>
        </w:rPr>
        <w:t xml:space="preserve"> </w:t>
      </w:r>
      <w:r w:rsidR="00CA05CE">
        <w:rPr>
          <w:color w:val="222222"/>
          <w:lang w:val="fr-FR"/>
        </w:rPr>
        <w:t>coordonnateurs</w:t>
      </w:r>
      <w:r w:rsidR="003225E2">
        <w:rPr>
          <w:color w:val="222222"/>
          <w:lang w:val="fr-FR"/>
        </w:rPr>
        <w:t xml:space="preserve"> nationaux </w:t>
      </w:r>
      <w:r w:rsidR="00C801D4">
        <w:rPr>
          <w:color w:val="222222"/>
          <w:lang w:val="fr-FR"/>
        </w:rPr>
        <w:t xml:space="preserve">en ce qui concerne </w:t>
      </w:r>
      <w:r w:rsidR="00D76E66">
        <w:rPr>
          <w:color w:val="222222"/>
          <w:lang w:val="fr-FR"/>
        </w:rPr>
        <w:t>l’Agenda</w:t>
      </w:r>
      <w:r w:rsidR="003225E2">
        <w:rPr>
          <w:color w:val="222222"/>
          <w:lang w:val="fr-FR"/>
        </w:rPr>
        <w:t xml:space="preserve"> 2030</w:t>
      </w:r>
      <w:r w:rsidR="00364B8A">
        <w:rPr>
          <w:color w:val="222222"/>
          <w:lang w:val="fr-FR"/>
        </w:rPr>
        <w:t>;</w:t>
      </w:r>
    </w:p>
    <w:p w:rsidR="00EB3F80" w:rsidRPr="00271989" w:rsidRDefault="00D76E66" w:rsidP="00196A13">
      <w:pPr>
        <w:pStyle w:val="SingleTxtG"/>
        <w:rPr>
          <w:lang w:val="fr-CH"/>
        </w:rPr>
      </w:pPr>
      <w:r>
        <w:rPr>
          <w:lang w:val="fr-CH"/>
        </w:rPr>
        <w:t>1</w:t>
      </w:r>
      <w:r w:rsidR="00511BFE">
        <w:rPr>
          <w:lang w:val="fr-CH"/>
        </w:rPr>
        <w:t>1</w:t>
      </w:r>
      <w:r>
        <w:rPr>
          <w:lang w:val="fr-CH"/>
        </w:rPr>
        <w:t xml:space="preserve">. </w:t>
      </w:r>
      <w:r>
        <w:rPr>
          <w:lang w:val="fr-CH"/>
        </w:rPr>
        <w:tab/>
      </w:r>
      <w:r w:rsidRPr="00D76E66">
        <w:rPr>
          <w:b/>
          <w:lang w:val="fr-CH"/>
        </w:rPr>
        <w:t>A demandé</w:t>
      </w:r>
      <w:r>
        <w:rPr>
          <w:lang w:val="fr-CH"/>
        </w:rPr>
        <w:t xml:space="preserve"> au secrétariat de </w:t>
      </w:r>
      <w:r>
        <w:rPr>
          <w:color w:val="222222"/>
          <w:lang w:val="fr-FR"/>
        </w:rPr>
        <w:t xml:space="preserve">procéder à une collecte de fonds plus efficace </w:t>
      </w:r>
      <w:r w:rsidR="00EB3F80">
        <w:rPr>
          <w:color w:val="222222"/>
          <w:lang w:val="fr-FR"/>
        </w:rPr>
        <w:t>afin de diffuser plus largement l’utilisation et le développement d</w:t>
      </w:r>
      <w:r w:rsidR="00EB3F80">
        <w:rPr>
          <w:lang w:val="fr-FR"/>
        </w:rPr>
        <w:t>e l’outil de modélisation des futurs systèmes de transport intérieur (ForFITS)</w:t>
      </w:r>
      <w:r w:rsidR="00511BFE">
        <w:rPr>
          <w:lang w:val="fr-FR"/>
        </w:rPr>
        <w:t>;</w:t>
      </w:r>
    </w:p>
    <w:p w:rsidR="00EB3F80" w:rsidRPr="00271989" w:rsidRDefault="00D04332" w:rsidP="00B97954">
      <w:pPr>
        <w:pStyle w:val="SingleTxtG"/>
        <w:rPr>
          <w:lang w:val="fr-CH"/>
        </w:rPr>
      </w:pPr>
      <w:r>
        <w:rPr>
          <w:lang w:val="fr-FR"/>
        </w:rPr>
        <w:t>1</w:t>
      </w:r>
      <w:r w:rsidR="00511BFE">
        <w:rPr>
          <w:lang w:val="fr-FR"/>
        </w:rPr>
        <w:t>2</w:t>
      </w:r>
      <w:r>
        <w:rPr>
          <w:lang w:val="fr-FR"/>
        </w:rPr>
        <w:t xml:space="preserve">. </w:t>
      </w:r>
      <w:r>
        <w:rPr>
          <w:lang w:val="fr-FR"/>
        </w:rPr>
        <w:tab/>
      </w:r>
      <w:r w:rsidRPr="004039ED">
        <w:rPr>
          <w:b/>
          <w:lang w:val="fr-FR"/>
        </w:rPr>
        <w:t xml:space="preserve">A </w:t>
      </w:r>
      <w:r w:rsidR="004039ED" w:rsidRPr="004039ED">
        <w:rPr>
          <w:b/>
          <w:lang w:val="fr-FR"/>
        </w:rPr>
        <w:t>exprimé</w:t>
      </w:r>
      <w:r w:rsidRPr="004039ED">
        <w:rPr>
          <w:b/>
          <w:color w:val="222222"/>
          <w:lang w:val="fr-FR"/>
        </w:rPr>
        <w:t xml:space="preserve"> son soutien</w:t>
      </w:r>
      <w:r>
        <w:rPr>
          <w:color w:val="222222"/>
          <w:lang w:val="fr-FR"/>
        </w:rPr>
        <w:t xml:space="preserve"> à la coopération entre </w:t>
      </w:r>
      <w:r w:rsidR="00196A13">
        <w:rPr>
          <w:color w:val="222222"/>
          <w:lang w:val="fr-FR"/>
        </w:rPr>
        <w:t xml:space="preserve">la </w:t>
      </w:r>
      <w:r>
        <w:rPr>
          <w:color w:val="222222"/>
          <w:lang w:val="fr-FR"/>
        </w:rPr>
        <w:t xml:space="preserve">division de l'environnement et </w:t>
      </w:r>
      <w:r w:rsidR="00196A13">
        <w:rPr>
          <w:color w:val="222222"/>
          <w:lang w:val="fr-FR"/>
        </w:rPr>
        <w:t xml:space="preserve">celle </w:t>
      </w:r>
      <w:r>
        <w:rPr>
          <w:color w:val="222222"/>
          <w:lang w:val="fr-FR"/>
        </w:rPr>
        <w:t xml:space="preserve">des transports durables de la CEE sur les </w:t>
      </w:r>
      <w:r w:rsidR="00EB3F80">
        <w:rPr>
          <w:color w:val="222222"/>
          <w:lang w:val="fr-FR"/>
        </w:rPr>
        <w:t>études</w:t>
      </w:r>
      <w:r>
        <w:rPr>
          <w:color w:val="222222"/>
          <w:lang w:val="fr-FR"/>
        </w:rPr>
        <w:t xml:space="preserve"> de performance environnementale; </w:t>
      </w:r>
      <w:r w:rsidR="00232C92" w:rsidRPr="00232C92">
        <w:rPr>
          <w:b/>
          <w:color w:val="222222"/>
          <w:lang w:val="fr-FR"/>
        </w:rPr>
        <w:t>a</w:t>
      </w:r>
      <w:r w:rsidRPr="004039ED">
        <w:rPr>
          <w:b/>
          <w:color w:val="222222"/>
          <w:lang w:val="fr-FR"/>
        </w:rPr>
        <w:t xml:space="preserve"> accueilli avec satisfaction</w:t>
      </w:r>
      <w:r>
        <w:rPr>
          <w:color w:val="222222"/>
          <w:lang w:val="fr-FR"/>
        </w:rPr>
        <w:t>, dans le cadre d</w:t>
      </w:r>
      <w:r w:rsidR="004039ED">
        <w:rPr>
          <w:color w:val="222222"/>
          <w:lang w:val="fr-FR"/>
        </w:rPr>
        <w:t xml:space="preserve">e la </w:t>
      </w:r>
      <w:r>
        <w:rPr>
          <w:color w:val="222222"/>
          <w:lang w:val="fr-FR"/>
        </w:rPr>
        <w:t xml:space="preserve">troisième </w:t>
      </w:r>
      <w:r w:rsidR="00EB3F80">
        <w:rPr>
          <w:color w:val="222222"/>
          <w:lang w:val="fr-FR"/>
        </w:rPr>
        <w:t>étude</w:t>
      </w:r>
      <w:r w:rsidR="004039ED">
        <w:rPr>
          <w:color w:val="222222"/>
          <w:lang w:val="fr-FR"/>
        </w:rPr>
        <w:t xml:space="preserve"> </w:t>
      </w:r>
      <w:r w:rsidR="00B97954">
        <w:rPr>
          <w:color w:val="222222"/>
          <w:lang w:val="fr-FR"/>
        </w:rPr>
        <w:t xml:space="preserve">sur le  </w:t>
      </w:r>
      <w:r>
        <w:rPr>
          <w:color w:val="222222"/>
          <w:lang w:val="fr-FR"/>
        </w:rPr>
        <w:t xml:space="preserve">Tadjikistan, le chapitre sur les transports et l'environnement </w:t>
      </w:r>
      <w:r w:rsidR="004039ED">
        <w:rPr>
          <w:color w:val="222222"/>
          <w:lang w:val="fr-FR"/>
        </w:rPr>
        <w:t>rédig</w:t>
      </w:r>
      <w:r>
        <w:rPr>
          <w:color w:val="222222"/>
          <w:lang w:val="fr-FR"/>
        </w:rPr>
        <w:t>é par le</w:t>
      </w:r>
      <w:r w:rsidR="004C1474">
        <w:rPr>
          <w:color w:val="222222"/>
          <w:lang w:val="fr-FR"/>
        </w:rPr>
        <w:t>s membres</w:t>
      </w:r>
      <w:r>
        <w:rPr>
          <w:color w:val="222222"/>
          <w:lang w:val="fr-FR"/>
        </w:rPr>
        <w:t xml:space="preserve"> de la Division des transports durables</w:t>
      </w:r>
      <w:r w:rsidR="00511BFE">
        <w:rPr>
          <w:color w:val="222222"/>
          <w:lang w:val="fr-FR"/>
        </w:rPr>
        <w:t>;</w:t>
      </w:r>
      <w:r w:rsidR="00EB3F80">
        <w:rPr>
          <w:color w:val="222222"/>
          <w:lang w:val="fr-FR"/>
        </w:rPr>
        <w:t xml:space="preserve"> </w:t>
      </w:r>
      <w:r w:rsidR="00232C92">
        <w:rPr>
          <w:b/>
          <w:color w:val="222222"/>
          <w:lang w:val="fr-FR"/>
        </w:rPr>
        <w:t xml:space="preserve">a </w:t>
      </w:r>
      <w:r w:rsidR="00EB3F80" w:rsidRPr="00636FD2">
        <w:rPr>
          <w:b/>
          <w:color w:val="222222"/>
          <w:lang w:val="fr-FR"/>
        </w:rPr>
        <w:t>également accueilli avec satisfaction</w:t>
      </w:r>
      <w:r w:rsidR="00EB3F80">
        <w:rPr>
          <w:color w:val="222222"/>
          <w:lang w:val="fr-FR"/>
        </w:rPr>
        <w:t xml:space="preserve"> l’étude </w:t>
      </w:r>
      <w:r w:rsidR="00B97954">
        <w:rPr>
          <w:color w:val="222222"/>
          <w:lang w:val="fr-FR"/>
        </w:rPr>
        <w:t xml:space="preserve">sur </w:t>
      </w:r>
      <w:r w:rsidR="00EB3F80">
        <w:rPr>
          <w:color w:val="222222"/>
          <w:lang w:val="fr-FR"/>
        </w:rPr>
        <w:t>l’Albanie</w:t>
      </w:r>
      <w:r w:rsidR="00511BFE">
        <w:rPr>
          <w:lang w:val="fr-FR"/>
        </w:rPr>
        <w:t>;</w:t>
      </w:r>
    </w:p>
    <w:p w:rsidR="00D04332" w:rsidRDefault="00511BFE" w:rsidP="00C50E78">
      <w:pPr>
        <w:pStyle w:val="SingleTxtG"/>
        <w:rPr>
          <w:color w:val="222222"/>
          <w:lang w:val="fr-FR"/>
        </w:rPr>
      </w:pPr>
      <w:r>
        <w:rPr>
          <w:color w:val="222222"/>
          <w:lang w:val="fr-FR"/>
        </w:rPr>
        <w:lastRenderedPageBreak/>
        <w:t xml:space="preserve">13. </w:t>
      </w:r>
      <w:r w:rsidR="00806AB4">
        <w:rPr>
          <w:color w:val="222222"/>
          <w:lang w:val="fr-FR"/>
        </w:rPr>
        <w:tab/>
      </w:r>
      <w:r w:rsidR="00806AB4" w:rsidRPr="00806AB4">
        <w:rPr>
          <w:b/>
          <w:color w:val="222222"/>
          <w:lang w:val="fr-FR"/>
        </w:rPr>
        <w:t>S’est félicité</w:t>
      </w:r>
      <w:r w:rsidR="00806AB4">
        <w:rPr>
          <w:color w:val="222222"/>
          <w:lang w:val="fr-FR"/>
        </w:rPr>
        <w:t xml:space="preserve"> des résultats et recommandations de la conférence conjointe CEE-ONU/PNUE qui traitait de l’impact des voitures usagées sur la qualité de l'air et les émissions climatiques et </w:t>
      </w:r>
      <w:r w:rsidR="00806AB4" w:rsidRPr="00806AB4">
        <w:rPr>
          <w:b/>
          <w:color w:val="222222"/>
          <w:lang w:val="fr-FR"/>
        </w:rPr>
        <w:t>a demandé</w:t>
      </w:r>
      <w:r w:rsidR="00806AB4">
        <w:rPr>
          <w:color w:val="222222"/>
          <w:lang w:val="fr-FR"/>
        </w:rPr>
        <w:t xml:space="preserve"> au CTI et à ses organes subsidiaires d'examiner ces recommandations et de tenter une approche harmonisée pour surmonter ce problème</w:t>
      </w:r>
      <w:r w:rsidR="009D2AAB">
        <w:rPr>
          <w:color w:val="222222"/>
          <w:lang w:val="fr-FR"/>
        </w:rPr>
        <w:t xml:space="preserve"> grandissant;</w:t>
      </w:r>
      <w:r w:rsidR="00806AB4">
        <w:rPr>
          <w:color w:val="222222"/>
          <w:lang w:val="fr-FR"/>
        </w:rPr>
        <w:t xml:space="preserve">    </w:t>
      </w:r>
    </w:p>
    <w:p w:rsidR="0043190C" w:rsidRPr="00271989" w:rsidRDefault="004C1474" w:rsidP="008732B8">
      <w:pPr>
        <w:pStyle w:val="SingleTxtG"/>
        <w:rPr>
          <w:lang w:val="fr-CH"/>
        </w:rPr>
      </w:pPr>
      <w:r>
        <w:rPr>
          <w:lang w:val="fr-FR"/>
        </w:rPr>
        <w:t>14.</w:t>
      </w:r>
      <w:r>
        <w:rPr>
          <w:lang w:val="fr-FR"/>
        </w:rPr>
        <w:tab/>
      </w:r>
      <w:r w:rsidRPr="004C1474">
        <w:rPr>
          <w:b/>
          <w:lang w:val="fr-FR"/>
        </w:rPr>
        <w:t>A salué</w:t>
      </w:r>
      <w:r>
        <w:rPr>
          <w:lang w:val="fr-FR"/>
        </w:rPr>
        <w:t xml:space="preserve"> les progrès obtenus dans le cadre du Programme tripartite paneuropéen sur les transports, la santé et l’environnement (PPE-TSE), </w:t>
      </w:r>
      <w:r w:rsidRPr="00553590">
        <w:rPr>
          <w:b/>
          <w:color w:val="222222"/>
          <w:lang w:val="fr-FR"/>
        </w:rPr>
        <w:t>et a exprimé</w:t>
      </w:r>
      <w:r>
        <w:rPr>
          <w:color w:val="222222"/>
          <w:lang w:val="fr-FR"/>
        </w:rPr>
        <w:t xml:space="preserve"> </w:t>
      </w:r>
      <w:r w:rsidRPr="00553590">
        <w:rPr>
          <w:b/>
          <w:color w:val="222222"/>
          <w:lang w:val="fr-FR"/>
        </w:rPr>
        <w:t>son soutien</w:t>
      </w:r>
      <w:r>
        <w:rPr>
          <w:color w:val="222222"/>
          <w:lang w:val="fr-FR"/>
        </w:rPr>
        <w:t xml:space="preserve"> </w:t>
      </w:r>
      <w:r w:rsidR="00EB3F80">
        <w:rPr>
          <w:color w:val="222222"/>
          <w:lang w:val="fr-FR"/>
        </w:rPr>
        <w:t>quant au renforcement de</w:t>
      </w:r>
      <w:r>
        <w:rPr>
          <w:color w:val="222222"/>
          <w:lang w:val="fr-FR"/>
        </w:rPr>
        <w:t xml:space="preserve"> la présence du secteur des transports </w:t>
      </w:r>
      <w:r w:rsidR="00553590">
        <w:rPr>
          <w:color w:val="222222"/>
          <w:lang w:val="fr-FR"/>
        </w:rPr>
        <w:t>au sein de ce programme</w:t>
      </w:r>
      <w:r w:rsidR="00232C92">
        <w:rPr>
          <w:color w:val="222222"/>
          <w:lang w:val="fr-FR"/>
        </w:rPr>
        <w:t>;</w:t>
      </w:r>
      <w:r>
        <w:rPr>
          <w:color w:val="222222"/>
          <w:lang w:val="fr-FR"/>
        </w:rPr>
        <w:t xml:space="preserve"> </w:t>
      </w:r>
      <w:r w:rsidR="00232C92">
        <w:rPr>
          <w:color w:val="222222"/>
          <w:lang w:val="fr-FR"/>
        </w:rPr>
        <w:t>a</w:t>
      </w:r>
      <w:r w:rsidR="00553590" w:rsidRPr="00553590">
        <w:rPr>
          <w:b/>
          <w:color w:val="222222"/>
          <w:lang w:val="fr-FR"/>
        </w:rPr>
        <w:t xml:space="preserve"> </w:t>
      </w:r>
      <w:r w:rsidR="00C86CC3" w:rsidRPr="00C86CC3">
        <w:rPr>
          <w:bCs/>
          <w:color w:val="222222"/>
          <w:lang w:val="fr-FR"/>
        </w:rPr>
        <w:t xml:space="preserve">également </w:t>
      </w:r>
      <w:r w:rsidR="00553590" w:rsidRPr="00553590">
        <w:rPr>
          <w:b/>
          <w:color w:val="222222"/>
          <w:lang w:val="fr-FR"/>
        </w:rPr>
        <w:t>souligné</w:t>
      </w:r>
      <w:r>
        <w:rPr>
          <w:color w:val="222222"/>
          <w:lang w:val="fr-FR"/>
        </w:rPr>
        <w:t xml:space="preserve"> l'intérêt de contribuer </w:t>
      </w:r>
      <w:r w:rsidR="00553590">
        <w:rPr>
          <w:color w:val="222222"/>
          <w:lang w:val="fr-FR"/>
        </w:rPr>
        <w:t xml:space="preserve">activement, </w:t>
      </w:r>
      <w:r w:rsidR="00F46B57">
        <w:rPr>
          <w:color w:val="222222"/>
          <w:lang w:val="fr-FR"/>
        </w:rPr>
        <w:t xml:space="preserve">à travers le pilier transport de ce partenariat, aux travaux de </w:t>
      </w:r>
      <w:r>
        <w:rPr>
          <w:color w:val="222222"/>
          <w:lang w:val="fr-FR"/>
        </w:rPr>
        <w:t xml:space="preserve">la cinquième Réunion de haut niveau </w:t>
      </w:r>
      <w:r w:rsidR="00553590">
        <w:rPr>
          <w:color w:val="222222"/>
          <w:lang w:val="fr-FR"/>
        </w:rPr>
        <w:t xml:space="preserve">qui </w:t>
      </w:r>
      <w:r w:rsidR="00F46B57">
        <w:rPr>
          <w:color w:val="222222"/>
          <w:lang w:val="fr-FR"/>
        </w:rPr>
        <w:t>se tiendra</w:t>
      </w:r>
      <w:r w:rsidR="00553590">
        <w:rPr>
          <w:color w:val="222222"/>
          <w:lang w:val="fr-FR"/>
        </w:rPr>
        <w:t xml:space="preserve"> </w:t>
      </w:r>
      <w:r>
        <w:rPr>
          <w:color w:val="222222"/>
          <w:lang w:val="fr-FR"/>
        </w:rPr>
        <w:t>à Vienne</w:t>
      </w:r>
      <w:r w:rsidR="00232C92">
        <w:rPr>
          <w:color w:val="222222"/>
          <w:lang w:val="fr-FR"/>
        </w:rPr>
        <w:t>;</w:t>
      </w:r>
      <w:r>
        <w:rPr>
          <w:color w:val="222222"/>
          <w:lang w:val="fr-FR"/>
        </w:rPr>
        <w:t xml:space="preserve"> </w:t>
      </w:r>
      <w:r w:rsidR="00232C92">
        <w:rPr>
          <w:b/>
          <w:color w:val="222222"/>
          <w:lang w:val="fr-FR"/>
        </w:rPr>
        <w:t xml:space="preserve">a </w:t>
      </w:r>
      <w:r w:rsidR="009D2AAB">
        <w:rPr>
          <w:b/>
          <w:color w:val="222222"/>
          <w:lang w:val="fr-FR"/>
        </w:rPr>
        <w:t>pris note</w:t>
      </w:r>
      <w:r w:rsidR="00F46B57">
        <w:rPr>
          <w:b/>
          <w:color w:val="222222"/>
          <w:lang w:val="fr-FR"/>
        </w:rPr>
        <w:t xml:space="preserve"> </w:t>
      </w:r>
      <w:r w:rsidR="00F46B57" w:rsidRPr="00F46B57">
        <w:rPr>
          <w:bCs/>
          <w:color w:val="222222"/>
          <w:lang w:val="fr-FR"/>
        </w:rPr>
        <w:t>de</w:t>
      </w:r>
      <w:r>
        <w:rPr>
          <w:color w:val="222222"/>
          <w:lang w:val="fr-FR"/>
        </w:rPr>
        <w:t xml:space="preserve"> la coopération entre le WP.5 et le </w:t>
      </w:r>
      <w:r w:rsidR="00553590">
        <w:rPr>
          <w:lang w:val="fr-FR"/>
        </w:rPr>
        <w:t>PPE-TSE</w:t>
      </w:r>
      <w:r w:rsidR="00553590">
        <w:rPr>
          <w:color w:val="222222"/>
          <w:lang w:val="fr-FR"/>
        </w:rPr>
        <w:t xml:space="preserve"> </w:t>
      </w:r>
      <w:r w:rsidR="00F46B57">
        <w:rPr>
          <w:color w:val="222222"/>
          <w:lang w:val="fr-FR"/>
        </w:rPr>
        <w:t>pour</w:t>
      </w:r>
      <w:r>
        <w:rPr>
          <w:color w:val="222222"/>
          <w:lang w:val="fr-FR"/>
        </w:rPr>
        <w:t xml:space="preserve"> la préparation du module infrastructure </w:t>
      </w:r>
      <w:r w:rsidR="00553590">
        <w:rPr>
          <w:color w:val="222222"/>
          <w:lang w:val="fr-FR"/>
        </w:rPr>
        <w:t xml:space="preserve">pour le </w:t>
      </w:r>
      <w:r>
        <w:rPr>
          <w:color w:val="222222"/>
          <w:lang w:val="fr-FR"/>
        </w:rPr>
        <w:t xml:space="preserve">plan directeur paneuropéen </w:t>
      </w:r>
      <w:r w:rsidR="00553590">
        <w:rPr>
          <w:color w:val="222222"/>
          <w:lang w:val="fr-FR"/>
        </w:rPr>
        <w:t>relatif au</w:t>
      </w:r>
      <w:r>
        <w:rPr>
          <w:color w:val="222222"/>
          <w:lang w:val="fr-FR"/>
        </w:rPr>
        <w:t xml:space="preserve"> cyclisme;</w:t>
      </w:r>
      <w:r w:rsidR="00EB3F80">
        <w:rPr>
          <w:color w:val="222222"/>
          <w:lang w:val="fr-FR"/>
        </w:rPr>
        <w:t xml:space="preserve"> </w:t>
      </w:r>
      <w:r w:rsidR="00EB3F80" w:rsidRPr="00EB3F80">
        <w:rPr>
          <w:b/>
          <w:color w:val="222222"/>
          <w:lang w:val="fr-FR"/>
        </w:rPr>
        <w:t>a également demandé</w:t>
      </w:r>
      <w:r w:rsidR="00EB3F80">
        <w:rPr>
          <w:color w:val="222222"/>
          <w:lang w:val="fr-FR"/>
        </w:rPr>
        <w:t xml:space="preserve"> </w:t>
      </w:r>
      <w:r w:rsidR="004373EB">
        <w:rPr>
          <w:color w:val="222222"/>
          <w:lang w:val="fr-FR"/>
        </w:rPr>
        <w:t xml:space="preserve">au Groupe d’experts de la signalisation routière de répondre rapidement à l’initiative du PPE-TSE </w:t>
      </w:r>
      <w:r w:rsidR="00636FD2">
        <w:rPr>
          <w:color w:val="222222"/>
          <w:lang w:val="fr-FR"/>
        </w:rPr>
        <w:t>sur les possibles</w:t>
      </w:r>
      <w:r w:rsidR="004373EB">
        <w:rPr>
          <w:color w:val="222222"/>
          <w:lang w:val="fr-FR"/>
        </w:rPr>
        <w:t xml:space="preserve"> amendements </w:t>
      </w:r>
      <w:r w:rsidR="00636FD2">
        <w:rPr>
          <w:color w:val="222222"/>
          <w:lang w:val="fr-FR"/>
        </w:rPr>
        <w:t>à</w:t>
      </w:r>
      <w:r w:rsidR="004373EB">
        <w:rPr>
          <w:color w:val="222222"/>
          <w:lang w:val="fr-FR"/>
        </w:rPr>
        <w:t xml:space="preserve"> la Convention de 1968 sur la signalisation routière sur la base du rapport «signalisation </w:t>
      </w:r>
      <w:r w:rsidR="0043190C">
        <w:rPr>
          <w:color w:val="222222"/>
          <w:lang w:val="fr-FR"/>
        </w:rPr>
        <w:t>pour les cyclistes et les piétons »</w:t>
      </w:r>
      <w:r w:rsidR="009D2AAB">
        <w:rPr>
          <w:color w:val="222222"/>
          <w:lang w:val="fr-FR"/>
        </w:rPr>
        <w:t>;</w:t>
      </w:r>
    </w:p>
    <w:p w:rsidR="00764D7F" w:rsidRDefault="00764D7F" w:rsidP="00D3665D">
      <w:pPr>
        <w:pStyle w:val="SingleTxtG"/>
        <w:rPr>
          <w:lang w:val="fr-CH"/>
        </w:rPr>
      </w:pPr>
      <w:r>
        <w:rPr>
          <w:lang w:val="fr-FR"/>
        </w:rPr>
        <w:t>15.</w:t>
      </w:r>
      <w:r>
        <w:rPr>
          <w:lang w:val="fr-FR"/>
        </w:rPr>
        <w:tab/>
      </w:r>
      <w:r w:rsidR="00B20EC8" w:rsidRPr="00B20EC8">
        <w:rPr>
          <w:b/>
          <w:lang w:val="fr-FR"/>
        </w:rPr>
        <w:t>A examiné</w:t>
      </w:r>
      <w:r w:rsidR="00B20EC8">
        <w:rPr>
          <w:lang w:val="fr-FR"/>
        </w:rPr>
        <w:t xml:space="preserve"> </w:t>
      </w:r>
      <w:r w:rsidR="000245C7">
        <w:rPr>
          <w:lang w:val="fr-FR"/>
        </w:rPr>
        <w:t>l</w:t>
      </w:r>
      <w:r w:rsidR="00636FD2">
        <w:rPr>
          <w:lang w:val="fr-FR"/>
        </w:rPr>
        <w:t>e statut</w:t>
      </w:r>
      <w:r w:rsidR="000245C7">
        <w:rPr>
          <w:lang w:val="fr-FR"/>
        </w:rPr>
        <w:t xml:space="preserve"> des </w:t>
      </w:r>
      <w:r w:rsidR="0043190C">
        <w:rPr>
          <w:lang w:val="fr-FR"/>
        </w:rPr>
        <w:t>système</w:t>
      </w:r>
      <w:r w:rsidR="00636FD2">
        <w:rPr>
          <w:lang w:val="fr-FR"/>
        </w:rPr>
        <w:t>s</w:t>
      </w:r>
      <w:r w:rsidR="0043190C">
        <w:rPr>
          <w:lang w:val="fr-FR"/>
        </w:rPr>
        <w:t xml:space="preserve"> de transports intelligents (</w:t>
      </w:r>
      <w:r w:rsidR="000245C7">
        <w:rPr>
          <w:lang w:val="fr-FR"/>
        </w:rPr>
        <w:t>STI</w:t>
      </w:r>
      <w:r w:rsidR="0043190C">
        <w:rPr>
          <w:lang w:val="fr-FR"/>
        </w:rPr>
        <w:t>)</w:t>
      </w:r>
      <w:r w:rsidR="000245C7">
        <w:rPr>
          <w:lang w:val="fr-FR"/>
        </w:rPr>
        <w:t xml:space="preserve"> dans ses propres travaux et dans ceux de ses organes subsidiaires </w:t>
      </w:r>
      <w:r w:rsidR="00B20EC8">
        <w:rPr>
          <w:lang w:val="fr-FR"/>
        </w:rPr>
        <w:t xml:space="preserve">et a </w:t>
      </w:r>
      <w:r w:rsidR="00B20EC8" w:rsidRPr="00B20EC8">
        <w:rPr>
          <w:b/>
          <w:lang w:val="fr-FR"/>
        </w:rPr>
        <w:t>décidé</w:t>
      </w:r>
      <w:r w:rsidR="00B20EC8">
        <w:rPr>
          <w:lang w:val="fr-FR"/>
        </w:rPr>
        <w:t xml:space="preserve"> a) </w:t>
      </w:r>
      <w:r w:rsidR="00B20EC8" w:rsidRPr="00B20EC8">
        <w:rPr>
          <w:b/>
          <w:lang w:val="fr-FR"/>
        </w:rPr>
        <w:t>d’encourager</w:t>
      </w:r>
      <w:r w:rsidR="00B20EC8">
        <w:rPr>
          <w:lang w:val="fr-FR"/>
        </w:rPr>
        <w:t xml:space="preserve"> l</w:t>
      </w:r>
      <w:r w:rsidR="00B20EC8">
        <w:rPr>
          <w:color w:val="222222"/>
          <w:lang w:val="fr-FR"/>
        </w:rPr>
        <w:t xml:space="preserve">es activités liées aux infrastructures et à tous les modes de transport; b) </w:t>
      </w:r>
      <w:r w:rsidR="00B20EC8" w:rsidRPr="00B20EC8">
        <w:rPr>
          <w:b/>
          <w:color w:val="222222"/>
          <w:lang w:val="fr-FR"/>
        </w:rPr>
        <w:t>d'étudier</w:t>
      </w:r>
      <w:r w:rsidR="00B20EC8">
        <w:rPr>
          <w:color w:val="222222"/>
          <w:lang w:val="fr-FR"/>
        </w:rPr>
        <w:t xml:space="preserve"> les moyens d</w:t>
      </w:r>
      <w:r w:rsidR="000245C7">
        <w:rPr>
          <w:color w:val="222222"/>
          <w:lang w:val="fr-FR"/>
        </w:rPr>
        <w:t>e traiter</w:t>
      </w:r>
      <w:r w:rsidR="00B20EC8">
        <w:rPr>
          <w:color w:val="222222"/>
          <w:lang w:val="fr-FR"/>
        </w:rPr>
        <w:t xml:space="preserve"> les questions relatives aux STI d</w:t>
      </w:r>
      <w:r w:rsidR="000245C7">
        <w:rPr>
          <w:color w:val="222222"/>
          <w:lang w:val="fr-FR"/>
        </w:rPr>
        <w:t>e manière</w:t>
      </w:r>
      <w:r w:rsidR="00B20EC8">
        <w:rPr>
          <w:color w:val="222222"/>
          <w:lang w:val="fr-FR"/>
        </w:rPr>
        <w:t xml:space="preserve"> intégrée; c)</w:t>
      </w:r>
      <w:r w:rsidR="001A38BA">
        <w:rPr>
          <w:color w:val="222222"/>
          <w:lang w:val="fr-FR"/>
        </w:rPr>
        <w:t>,</w:t>
      </w:r>
      <w:r w:rsidR="009D2AAB">
        <w:rPr>
          <w:color w:val="222222"/>
          <w:lang w:val="fr-FR"/>
        </w:rPr>
        <w:t xml:space="preserve"> suite à la résolution ministérielle </w:t>
      </w:r>
      <w:r w:rsidR="001A38BA">
        <w:rPr>
          <w:color w:val="222222"/>
          <w:lang w:val="fr-FR"/>
        </w:rPr>
        <w:t>« </w:t>
      </w:r>
      <w:r w:rsidR="00A71B01">
        <w:rPr>
          <w:lang w:val="fr-CH"/>
        </w:rPr>
        <w:t>Embrasser</w:t>
      </w:r>
      <w:r w:rsidR="006B3608">
        <w:rPr>
          <w:lang w:val="fr-CH"/>
        </w:rPr>
        <w:t xml:space="preserve"> </w:t>
      </w:r>
      <w:r w:rsidR="00A71B01">
        <w:rPr>
          <w:lang w:val="fr-CH"/>
        </w:rPr>
        <w:t>l’</w:t>
      </w:r>
      <w:r w:rsidR="00D3665D">
        <w:rPr>
          <w:lang w:val="fr-CH"/>
        </w:rPr>
        <w:t xml:space="preserve"> ère</w:t>
      </w:r>
      <w:r w:rsidR="00A71B01">
        <w:rPr>
          <w:lang w:val="fr-CH"/>
        </w:rPr>
        <w:t xml:space="preserve"> nouvelle</w:t>
      </w:r>
      <w:r w:rsidR="00D3665D">
        <w:rPr>
          <w:lang w:val="fr-CH"/>
        </w:rPr>
        <w:t xml:space="preserve"> </w:t>
      </w:r>
      <w:r w:rsidR="00A71B01">
        <w:rPr>
          <w:lang w:val="fr-CH"/>
        </w:rPr>
        <w:t xml:space="preserve">de </w:t>
      </w:r>
      <w:r w:rsidR="001A38BA" w:rsidRPr="001A38BA">
        <w:rPr>
          <w:lang w:val="fr-CH"/>
        </w:rPr>
        <w:t xml:space="preserve"> la viabilité des transports intérieurs</w:t>
      </w:r>
      <w:r w:rsidR="00D3665D">
        <w:rPr>
          <w:lang w:val="fr-CH"/>
        </w:rPr>
        <w:t xml:space="preserve"> </w:t>
      </w:r>
      <w:r w:rsidR="001A38BA" w:rsidRPr="001A38BA">
        <w:rPr>
          <w:lang w:val="fr-CH"/>
        </w:rPr>
        <w:t>et de la mobilité »</w:t>
      </w:r>
      <w:r w:rsidR="001A38BA">
        <w:rPr>
          <w:lang w:val="fr-CH"/>
        </w:rPr>
        <w:t>,</w:t>
      </w:r>
      <w:r w:rsidR="001A38BA" w:rsidRPr="00EB75B7">
        <w:rPr>
          <w:b/>
          <w:sz w:val="24"/>
          <w:szCs w:val="24"/>
          <w:lang w:val="fr-CH"/>
        </w:rPr>
        <w:t> </w:t>
      </w:r>
      <w:r w:rsidR="009D2AAB" w:rsidRPr="00232C92">
        <w:rPr>
          <w:b/>
          <w:color w:val="222222"/>
          <w:lang w:val="fr-FR"/>
        </w:rPr>
        <w:t>d’accroître et d’accélérer</w:t>
      </w:r>
      <w:r w:rsidR="009D2AAB">
        <w:rPr>
          <w:color w:val="222222"/>
          <w:lang w:val="fr-FR"/>
        </w:rPr>
        <w:t xml:space="preserve">, </w:t>
      </w:r>
      <w:r w:rsidR="00A97638">
        <w:rPr>
          <w:color w:val="222222"/>
          <w:lang w:val="fr-FR"/>
        </w:rPr>
        <w:t>au</w:t>
      </w:r>
      <w:r w:rsidR="000245C7">
        <w:rPr>
          <w:color w:val="222222"/>
          <w:lang w:val="fr-FR"/>
        </w:rPr>
        <w:t xml:space="preserve"> </w:t>
      </w:r>
      <w:r w:rsidR="009D2AAB">
        <w:rPr>
          <w:color w:val="222222"/>
          <w:lang w:val="fr-FR"/>
        </w:rPr>
        <w:t xml:space="preserve">sein  du </w:t>
      </w:r>
      <w:r w:rsidR="00B20EC8">
        <w:rPr>
          <w:color w:val="222222"/>
          <w:lang w:val="fr-FR"/>
        </w:rPr>
        <w:t xml:space="preserve">WP.1 et </w:t>
      </w:r>
      <w:r w:rsidR="00D3665D">
        <w:rPr>
          <w:color w:val="222222"/>
          <w:lang w:val="fr-FR"/>
        </w:rPr>
        <w:t xml:space="preserve">du </w:t>
      </w:r>
      <w:r w:rsidR="00B20EC8">
        <w:rPr>
          <w:color w:val="222222"/>
          <w:lang w:val="fr-FR"/>
        </w:rPr>
        <w:t>WP.</w:t>
      </w:r>
      <w:r w:rsidR="0043190C">
        <w:rPr>
          <w:color w:val="222222"/>
          <w:lang w:val="fr-FR"/>
        </w:rPr>
        <w:t>29</w:t>
      </w:r>
      <w:r w:rsidR="001A38BA">
        <w:rPr>
          <w:color w:val="222222"/>
          <w:lang w:val="fr-FR"/>
        </w:rPr>
        <w:t>,</w:t>
      </w:r>
      <w:r w:rsidR="00B20EC8">
        <w:rPr>
          <w:color w:val="222222"/>
          <w:lang w:val="fr-FR"/>
        </w:rPr>
        <w:t xml:space="preserve"> </w:t>
      </w:r>
      <w:r w:rsidR="009D2AAB">
        <w:rPr>
          <w:color w:val="222222"/>
          <w:lang w:val="fr-FR"/>
        </w:rPr>
        <w:t>l</w:t>
      </w:r>
      <w:r w:rsidR="00B20EC8">
        <w:rPr>
          <w:color w:val="222222"/>
          <w:lang w:val="fr-FR"/>
        </w:rPr>
        <w:t xml:space="preserve">es </w:t>
      </w:r>
      <w:r w:rsidR="000245C7">
        <w:rPr>
          <w:color w:val="222222"/>
          <w:lang w:val="fr-FR"/>
        </w:rPr>
        <w:t>mesures visant à réglementer</w:t>
      </w:r>
      <w:r w:rsidR="00B20EC8">
        <w:rPr>
          <w:color w:val="222222"/>
          <w:lang w:val="fr-FR"/>
        </w:rPr>
        <w:t xml:space="preserve"> les véhicules automatisés</w:t>
      </w:r>
      <w:r w:rsidR="009D2AAB">
        <w:rPr>
          <w:color w:val="222222"/>
          <w:lang w:val="fr-FR"/>
        </w:rPr>
        <w:t>, connectées et autonomes</w:t>
      </w:r>
      <w:r w:rsidR="00B20EC8">
        <w:rPr>
          <w:color w:val="222222"/>
          <w:lang w:val="fr-FR"/>
        </w:rPr>
        <w:t xml:space="preserve"> </w:t>
      </w:r>
      <w:r w:rsidR="000245C7">
        <w:rPr>
          <w:color w:val="222222"/>
          <w:lang w:val="fr-FR"/>
        </w:rPr>
        <w:t>afin d’</w:t>
      </w:r>
      <w:r w:rsidR="00B20EC8">
        <w:rPr>
          <w:color w:val="222222"/>
          <w:lang w:val="fr-FR"/>
        </w:rPr>
        <w:t xml:space="preserve">améliorer la sécurité routière, la protection de l'environnement, l'efficacité énergétique et la gestion du trafic; d) </w:t>
      </w:r>
      <w:r w:rsidR="00B20EC8" w:rsidRPr="000245C7">
        <w:rPr>
          <w:b/>
          <w:color w:val="222222"/>
          <w:lang w:val="fr-FR"/>
        </w:rPr>
        <w:t>s’est félicité</w:t>
      </w:r>
      <w:r w:rsidR="00B20EC8">
        <w:rPr>
          <w:color w:val="222222"/>
          <w:lang w:val="fr-FR"/>
        </w:rPr>
        <w:t xml:space="preserve"> de la poursuite des travaux </w:t>
      </w:r>
      <w:r w:rsidR="00A97638">
        <w:rPr>
          <w:color w:val="222222"/>
          <w:lang w:val="fr-FR"/>
        </w:rPr>
        <w:t>e</w:t>
      </w:r>
      <w:r w:rsidR="00B20EC8">
        <w:rPr>
          <w:color w:val="222222"/>
          <w:lang w:val="fr-FR"/>
        </w:rPr>
        <w:t>ntrepris dans le cadre d</w:t>
      </w:r>
      <w:r w:rsidR="000245C7">
        <w:rPr>
          <w:color w:val="222222"/>
          <w:lang w:val="fr-FR"/>
        </w:rPr>
        <w:t>es</w:t>
      </w:r>
      <w:r w:rsidR="00B20EC8">
        <w:rPr>
          <w:color w:val="222222"/>
          <w:lang w:val="fr-FR"/>
        </w:rPr>
        <w:t xml:space="preserve"> Groupe</w:t>
      </w:r>
      <w:r w:rsidR="000245C7">
        <w:rPr>
          <w:color w:val="222222"/>
          <w:lang w:val="fr-FR"/>
        </w:rPr>
        <w:t>s</w:t>
      </w:r>
      <w:r w:rsidR="00B20EC8">
        <w:rPr>
          <w:color w:val="222222"/>
          <w:lang w:val="fr-FR"/>
        </w:rPr>
        <w:t xml:space="preserve"> informel</w:t>
      </w:r>
      <w:r w:rsidR="000245C7">
        <w:rPr>
          <w:color w:val="222222"/>
          <w:lang w:val="fr-FR"/>
        </w:rPr>
        <w:t>s d’experts</w:t>
      </w:r>
      <w:r w:rsidR="00B20EC8">
        <w:rPr>
          <w:color w:val="222222"/>
          <w:lang w:val="fr-FR"/>
        </w:rPr>
        <w:t xml:space="preserve"> de la conduite automatisée et </w:t>
      </w:r>
      <w:r w:rsidR="00B20EC8" w:rsidRPr="006B3608">
        <w:rPr>
          <w:color w:val="222222"/>
          <w:lang w:val="fr-FR"/>
        </w:rPr>
        <w:t>e)</w:t>
      </w:r>
      <w:r w:rsidR="00B20EC8" w:rsidRPr="00A97638">
        <w:rPr>
          <w:b/>
          <w:color w:val="222222"/>
          <w:lang w:val="fr-FR"/>
        </w:rPr>
        <w:t xml:space="preserve"> </w:t>
      </w:r>
      <w:r w:rsidR="000245C7" w:rsidRPr="00A97638">
        <w:rPr>
          <w:b/>
          <w:color w:val="222222"/>
          <w:lang w:val="fr-FR"/>
        </w:rPr>
        <w:t>d’examiner</w:t>
      </w:r>
      <w:r w:rsidR="00B20EC8">
        <w:rPr>
          <w:color w:val="222222"/>
          <w:lang w:val="fr-FR"/>
        </w:rPr>
        <w:t xml:space="preserve"> les moyens </w:t>
      </w:r>
      <w:r w:rsidR="00386DDD">
        <w:rPr>
          <w:color w:val="222222"/>
          <w:lang w:val="fr-FR"/>
        </w:rPr>
        <w:t>de traiter les questions de congestion du trafic</w:t>
      </w:r>
      <w:r w:rsidR="0039440F">
        <w:rPr>
          <w:color w:val="222222"/>
          <w:lang w:val="fr-FR"/>
        </w:rPr>
        <w:t xml:space="preserve"> </w:t>
      </w:r>
      <w:r w:rsidR="003A2040">
        <w:rPr>
          <w:color w:val="222222"/>
          <w:lang w:val="fr-FR"/>
        </w:rPr>
        <w:t>à travers une approche inclusive visant à traiter les obstacles actuels et</w:t>
      </w:r>
      <w:r w:rsidR="0008569E">
        <w:rPr>
          <w:color w:val="222222"/>
          <w:lang w:val="fr-FR"/>
        </w:rPr>
        <w:t xml:space="preserve"> </w:t>
      </w:r>
      <w:r w:rsidR="0043190C">
        <w:rPr>
          <w:lang w:val="fr-FR"/>
        </w:rPr>
        <w:t xml:space="preserve">les </w:t>
      </w:r>
      <w:r w:rsidR="003A2040">
        <w:rPr>
          <w:lang w:val="fr-FR"/>
        </w:rPr>
        <w:t xml:space="preserve">éventuels </w:t>
      </w:r>
      <w:r w:rsidR="0043190C">
        <w:rPr>
          <w:lang w:val="fr-FR"/>
        </w:rPr>
        <w:t>risques liés aux nouvelles technologies</w:t>
      </w:r>
      <w:r w:rsidR="009D2AAB">
        <w:rPr>
          <w:lang w:val="fr-FR"/>
        </w:rPr>
        <w:t>;</w:t>
      </w:r>
    </w:p>
    <w:p w:rsidR="0043190C" w:rsidRDefault="00386DDD" w:rsidP="00501E05">
      <w:pPr>
        <w:pStyle w:val="SingleTxtG"/>
        <w:rPr>
          <w:lang w:val="fr-CH"/>
        </w:rPr>
      </w:pPr>
      <w:r>
        <w:rPr>
          <w:lang w:val="fr-FR"/>
        </w:rPr>
        <w:t xml:space="preserve">16. </w:t>
      </w:r>
      <w:r w:rsidR="001D5A8C">
        <w:rPr>
          <w:lang w:val="fr-FR"/>
        </w:rPr>
        <w:tab/>
      </w:r>
      <w:r w:rsidR="0039440F" w:rsidRPr="0039440F">
        <w:rPr>
          <w:b/>
          <w:lang w:val="fr-FR"/>
        </w:rPr>
        <w:t>A exprimé son soutien</w:t>
      </w:r>
      <w:r w:rsidR="0039440F">
        <w:rPr>
          <w:lang w:val="fr-FR"/>
        </w:rPr>
        <w:t xml:space="preserve"> aux</w:t>
      </w:r>
      <w:r w:rsidR="000245C7">
        <w:rPr>
          <w:lang w:val="fr-FR"/>
        </w:rPr>
        <w:t xml:space="preserve"> travaux en cours </w:t>
      </w:r>
      <w:r w:rsidR="00501E05">
        <w:rPr>
          <w:lang w:val="fr-FR"/>
        </w:rPr>
        <w:t>visant à</w:t>
      </w:r>
      <w:r w:rsidR="000245C7">
        <w:rPr>
          <w:lang w:val="fr-FR"/>
        </w:rPr>
        <w:t xml:space="preserve"> mieux harmoniser les activités relatives aux STI au sein des organes subsidiaires du CTI, dans le cadre d’une démarche globale</w:t>
      </w:r>
      <w:r w:rsidR="001A38BA">
        <w:rPr>
          <w:lang w:val="fr-FR"/>
        </w:rPr>
        <w:t>;</w:t>
      </w:r>
    </w:p>
    <w:p w:rsidR="0043190C" w:rsidRDefault="0039440F" w:rsidP="0043190C">
      <w:pPr>
        <w:pStyle w:val="SingleTxtG"/>
        <w:rPr>
          <w:lang w:val="fr-CH"/>
        </w:rPr>
      </w:pPr>
      <w:r>
        <w:rPr>
          <w:lang w:val="fr-FR"/>
        </w:rPr>
        <w:t>17.</w:t>
      </w:r>
      <w:r>
        <w:rPr>
          <w:lang w:val="fr-FR"/>
        </w:rPr>
        <w:tab/>
      </w:r>
      <w:r w:rsidRPr="0039440F">
        <w:rPr>
          <w:b/>
          <w:lang w:val="fr-FR"/>
        </w:rPr>
        <w:t>A pris note</w:t>
      </w:r>
      <w:r>
        <w:rPr>
          <w:lang w:val="fr-FR"/>
        </w:rPr>
        <w:t xml:space="preserve"> des activités futures de l’ONU dans les pays en développement sans littoral et du rôle attendu des commissions régionales, suite à l’adoption du Programme d’action de Vienne pour la période 2014-2024; </w:t>
      </w:r>
      <w:r w:rsidRPr="001D5A8C">
        <w:rPr>
          <w:b/>
          <w:lang w:val="fr-FR"/>
        </w:rPr>
        <w:t xml:space="preserve">a </w:t>
      </w:r>
      <w:r>
        <w:rPr>
          <w:b/>
          <w:lang w:val="fr-FR"/>
        </w:rPr>
        <w:t>invité</w:t>
      </w:r>
      <w:r>
        <w:rPr>
          <w:lang w:val="fr-FR"/>
        </w:rPr>
        <w:t xml:space="preserve"> les pays </w:t>
      </w:r>
      <w:r w:rsidR="00A00F51">
        <w:rPr>
          <w:lang w:val="fr-FR"/>
        </w:rPr>
        <w:t xml:space="preserve">à économies </w:t>
      </w:r>
      <w:r>
        <w:rPr>
          <w:lang w:val="fr-FR"/>
        </w:rPr>
        <w:t>en transition sans littoral de la région de la CEE à communiquer leur point de vue au sujet de l’amélioration de l’accès à la mer</w:t>
      </w:r>
      <w:r w:rsidR="001A38BA">
        <w:rPr>
          <w:lang w:val="fr-FR"/>
        </w:rPr>
        <w:t>;</w:t>
      </w:r>
      <w:r>
        <w:rPr>
          <w:lang w:val="fr-FR"/>
        </w:rPr>
        <w:t xml:space="preserve"> </w:t>
      </w:r>
    </w:p>
    <w:p w:rsidR="001A38BA" w:rsidRDefault="001A38BA" w:rsidP="00D3665D">
      <w:pPr>
        <w:pStyle w:val="SingleTxtG"/>
        <w:rPr>
          <w:color w:val="222222"/>
          <w:lang w:val="fr-FR"/>
        </w:rPr>
      </w:pPr>
      <w:r>
        <w:rPr>
          <w:lang w:val="fr-FR"/>
        </w:rPr>
        <w:t>18.</w:t>
      </w:r>
      <w:r>
        <w:rPr>
          <w:lang w:val="fr-CH"/>
        </w:rPr>
        <w:tab/>
      </w:r>
      <w:r w:rsidRPr="00EA2D98">
        <w:rPr>
          <w:b/>
          <w:color w:val="222222"/>
          <w:lang w:val="fr-FR"/>
        </w:rPr>
        <w:t>A invité</w:t>
      </w:r>
      <w:r>
        <w:rPr>
          <w:color w:val="222222"/>
          <w:lang w:val="fr-FR"/>
        </w:rPr>
        <w:t xml:space="preserve"> ses organes subsidiaires à examiner comment interagir/coopér</w:t>
      </w:r>
      <w:r w:rsidR="00D3665D">
        <w:rPr>
          <w:color w:val="222222"/>
          <w:lang w:val="fr-FR"/>
        </w:rPr>
        <w:t>er</w:t>
      </w:r>
      <w:r>
        <w:rPr>
          <w:color w:val="222222"/>
          <w:lang w:val="fr-FR"/>
        </w:rPr>
        <w:t xml:space="preserve">  avec l'Union internationale des chemins de fer (UIC) sur les questions de sécurité dans le transport ferroviaire;</w:t>
      </w:r>
    </w:p>
    <w:p w:rsidR="00EA2D98" w:rsidRDefault="00EA2D98" w:rsidP="00D3665D">
      <w:pPr>
        <w:pStyle w:val="SingleTxtG"/>
        <w:rPr>
          <w:color w:val="222222"/>
          <w:lang w:val="fr-FR"/>
        </w:rPr>
      </w:pPr>
      <w:r>
        <w:rPr>
          <w:color w:val="222222"/>
          <w:lang w:val="fr-FR"/>
        </w:rPr>
        <w:t>19.</w:t>
      </w:r>
      <w:r>
        <w:rPr>
          <w:color w:val="222222"/>
          <w:lang w:val="fr-FR"/>
        </w:rPr>
        <w:tab/>
      </w:r>
      <w:r w:rsidRPr="00EA2D98">
        <w:rPr>
          <w:b/>
          <w:color w:val="222222"/>
          <w:lang w:val="fr-FR"/>
        </w:rPr>
        <w:t>A demandé</w:t>
      </w:r>
      <w:r>
        <w:rPr>
          <w:color w:val="222222"/>
          <w:lang w:val="fr-FR"/>
        </w:rPr>
        <w:t xml:space="preserve"> au secrétariat </w:t>
      </w:r>
      <w:r w:rsidR="00D3665D">
        <w:rPr>
          <w:color w:val="222222"/>
          <w:lang w:val="fr-FR"/>
        </w:rPr>
        <w:t>de tenir à</w:t>
      </w:r>
      <w:r>
        <w:rPr>
          <w:color w:val="222222"/>
          <w:lang w:val="fr-FR"/>
        </w:rPr>
        <w:t xml:space="preserve"> nouveau un Forum de discussion sur la sûreté dans les transports en 2017;</w:t>
      </w:r>
    </w:p>
    <w:p w:rsidR="00EA2D98" w:rsidRDefault="00EA2D98" w:rsidP="001D5A8C">
      <w:pPr>
        <w:pStyle w:val="SingleTxtG"/>
        <w:rPr>
          <w:lang w:val="fr-FR"/>
        </w:rPr>
      </w:pPr>
      <w:r>
        <w:rPr>
          <w:lang w:val="fr-FR"/>
        </w:rPr>
        <w:t>20.</w:t>
      </w:r>
      <w:r w:rsidR="00325F0D">
        <w:rPr>
          <w:lang w:val="fr-FR"/>
        </w:rPr>
        <w:tab/>
      </w:r>
      <w:r w:rsidR="00325F0D" w:rsidRPr="0039440F">
        <w:rPr>
          <w:b/>
          <w:lang w:val="fr-FR"/>
        </w:rPr>
        <w:t>A exprimé son soutien</w:t>
      </w:r>
      <w:r w:rsidR="00325F0D">
        <w:rPr>
          <w:lang w:val="fr-FR"/>
        </w:rPr>
        <w:t xml:space="preserve"> au plan stratégique du TEM pour 2017-2021, au rapport d’audit et d’inspection concernant la sécurité routière sur le </w:t>
      </w:r>
      <w:r w:rsidR="0043190C">
        <w:rPr>
          <w:lang w:val="fr-FR"/>
        </w:rPr>
        <w:t>r</w:t>
      </w:r>
      <w:r w:rsidR="00325F0D">
        <w:rPr>
          <w:lang w:val="fr-FR"/>
        </w:rPr>
        <w:t>éseau TEM</w:t>
      </w:r>
      <w:r w:rsidR="0043190C">
        <w:rPr>
          <w:lang w:val="fr-FR"/>
        </w:rPr>
        <w:t>,</w:t>
      </w:r>
      <w:r w:rsidR="00325F0D">
        <w:rPr>
          <w:lang w:val="fr-FR"/>
        </w:rPr>
        <w:t xml:space="preserve"> </w:t>
      </w:r>
      <w:r w:rsidR="0043190C">
        <w:rPr>
          <w:lang w:val="fr-FR"/>
        </w:rPr>
        <w:t>à</w:t>
      </w:r>
      <w:r w:rsidR="00325F0D">
        <w:rPr>
          <w:lang w:val="fr-FR"/>
        </w:rPr>
        <w:t xml:space="preserve"> l’état d’avancement du plan directeur du projet TER </w:t>
      </w:r>
      <w:r w:rsidR="008732B8">
        <w:rPr>
          <w:lang w:val="fr-FR"/>
        </w:rPr>
        <w:t xml:space="preserve">à </w:t>
      </w:r>
      <w:r w:rsidR="00325F0D">
        <w:rPr>
          <w:lang w:val="fr-FR"/>
        </w:rPr>
        <w:t>grande vitesse</w:t>
      </w:r>
      <w:r w:rsidR="0043190C">
        <w:rPr>
          <w:lang w:val="fr-FR"/>
        </w:rPr>
        <w:t xml:space="preserve"> et aux activités menées dans le cadre de ces deux projets</w:t>
      </w:r>
      <w:r w:rsidR="00284024">
        <w:rPr>
          <w:lang w:val="fr-FR"/>
        </w:rPr>
        <w:t> </w:t>
      </w:r>
      <w:r w:rsidR="00D3665D">
        <w:rPr>
          <w:lang w:val="fr-FR"/>
        </w:rPr>
        <w:t>et</w:t>
      </w:r>
      <w:r>
        <w:rPr>
          <w:lang w:val="fr-CH"/>
        </w:rPr>
        <w:t xml:space="preserve">; </w:t>
      </w:r>
      <w:r w:rsidRPr="00EA2D98">
        <w:rPr>
          <w:b/>
          <w:lang w:val="fr-CH"/>
        </w:rPr>
        <w:t>a demandé</w:t>
      </w:r>
      <w:r>
        <w:rPr>
          <w:b/>
          <w:lang w:val="fr-CH"/>
        </w:rPr>
        <w:t xml:space="preserve"> </w:t>
      </w:r>
      <w:r w:rsidRPr="001D5A8C">
        <w:rPr>
          <w:lang w:val="fr-CH"/>
        </w:rPr>
        <w:t>au</w:t>
      </w:r>
      <w:r>
        <w:rPr>
          <w:b/>
          <w:lang w:val="fr-CH"/>
        </w:rPr>
        <w:t xml:space="preserve"> </w:t>
      </w:r>
      <w:r>
        <w:rPr>
          <w:lang w:val="fr-FR"/>
        </w:rPr>
        <w:t>Groupe de travail des transports par chemin de fer (SC.2) et au Projet TER d’intensifier leurs travaux sur le  plan directeur du projet TER grande vitesse dans la région TER;</w:t>
      </w:r>
    </w:p>
    <w:p w:rsidR="00284024" w:rsidRDefault="008B4A54" w:rsidP="00B446A3">
      <w:pPr>
        <w:pStyle w:val="SingleTxtG"/>
        <w:rPr>
          <w:lang w:val="fr-CH"/>
        </w:rPr>
      </w:pPr>
      <w:r>
        <w:rPr>
          <w:lang w:val="fr-FR"/>
        </w:rPr>
        <w:t>21</w:t>
      </w:r>
      <w:r w:rsidR="00325F0D">
        <w:rPr>
          <w:lang w:val="fr-FR"/>
        </w:rPr>
        <w:t xml:space="preserve">. </w:t>
      </w:r>
      <w:r w:rsidR="00325F0D">
        <w:rPr>
          <w:lang w:val="fr-FR"/>
        </w:rPr>
        <w:tab/>
      </w:r>
      <w:r w:rsidR="00EA2D98" w:rsidRPr="001D5A8C">
        <w:rPr>
          <w:b/>
          <w:lang w:val="fr-FR"/>
        </w:rPr>
        <w:t>S’est félicité</w:t>
      </w:r>
      <w:r w:rsidR="00EA2D98">
        <w:rPr>
          <w:lang w:val="fr-FR"/>
        </w:rPr>
        <w:t xml:space="preserve"> </w:t>
      </w:r>
      <w:r w:rsidR="00325F0D">
        <w:rPr>
          <w:lang w:val="fr-FR"/>
        </w:rPr>
        <w:t>des progrès accomplis en vue de l’achèvement d</w:t>
      </w:r>
      <w:r w:rsidR="00EA2D98">
        <w:rPr>
          <w:lang w:val="fr-FR"/>
        </w:rPr>
        <w:t>e la phase III d</w:t>
      </w:r>
      <w:r w:rsidR="00325F0D">
        <w:rPr>
          <w:lang w:val="fr-FR"/>
        </w:rPr>
        <w:t xml:space="preserve">u projet concernant les liaisons de transport Europe-Asie (LTEA) ; </w:t>
      </w:r>
      <w:r w:rsidR="006B3608" w:rsidRPr="006B3608">
        <w:rPr>
          <w:b/>
          <w:lang w:val="fr-FR"/>
        </w:rPr>
        <w:t>p</w:t>
      </w:r>
      <w:r w:rsidR="00EA2D98" w:rsidRPr="00D3665D">
        <w:rPr>
          <w:b/>
          <w:bCs/>
          <w:lang w:val="fr-FR"/>
        </w:rPr>
        <w:t>renant note</w:t>
      </w:r>
      <w:r w:rsidR="00EA2D98">
        <w:rPr>
          <w:lang w:val="fr-FR"/>
        </w:rPr>
        <w:t xml:space="preserve"> du besoin de mener à bien le projet</w:t>
      </w:r>
      <w:r>
        <w:rPr>
          <w:lang w:val="fr-FR"/>
        </w:rPr>
        <w:t xml:space="preserve"> (mandat ECE/TRANS/WP.5/GE.2/2013/1) </w:t>
      </w:r>
      <w:r w:rsidRPr="001D5A8C">
        <w:rPr>
          <w:b/>
          <w:lang w:val="fr-FR"/>
        </w:rPr>
        <w:t>a prié</w:t>
      </w:r>
      <w:r>
        <w:rPr>
          <w:lang w:val="fr-FR"/>
        </w:rPr>
        <w:t xml:space="preserve"> le WP.5 d’organiser une conférence internationale sur l’opérationalisation des liaisons de  transport </w:t>
      </w:r>
      <w:r w:rsidR="00325F0D">
        <w:rPr>
          <w:lang w:val="fr-FR"/>
        </w:rPr>
        <w:lastRenderedPageBreak/>
        <w:t>entre l’Europe et l’Asie</w:t>
      </w:r>
      <w:r>
        <w:rPr>
          <w:lang w:val="fr-FR"/>
        </w:rPr>
        <w:t>, comme stipulé dans le mandat, y compris la mise en œuvre des recommandations présentées dans le rapport final de la phase III du projet LTEA, à l’aide des ressources existantes ou avec des fonds extrabudgétaires;</w:t>
      </w:r>
    </w:p>
    <w:p w:rsidR="00B15C87" w:rsidRDefault="00325F0D" w:rsidP="004B2C05">
      <w:pPr>
        <w:pStyle w:val="SingleTxtG"/>
        <w:rPr>
          <w:lang w:val="fr-FR"/>
        </w:rPr>
      </w:pPr>
      <w:r>
        <w:rPr>
          <w:lang w:val="fr-FR"/>
        </w:rPr>
        <w:t>2</w:t>
      </w:r>
      <w:r w:rsidR="008B4A54">
        <w:rPr>
          <w:lang w:val="fr-FR"/>
        </w:rPr>
        <w:t>2</w:t>
      </w:r>
      <w:r>
        <w:rPr>
          <w:lang w:val="fr-FR"/>
        </w:rPr>
        <w:t xml:space="preserve">. </w:t>
      </w:r>
      <w:r>
        <w:rPr>
          <w:lang w:val="fr-FR"/>
        </w:rPr>
        <w:tab/>
      </w:r>
      <w:r w:rsidRPr="0039440F">
        <w:rPr>
          <w:b/>
          <w:lang w:val="fr-FR"/>
        </w:rPr>
        <w:t>A exprimé son soutien</w:t>
      </w:r>
      <w:r>
        <w:rPr>
          <w:b/>
          <w:lang w:val="fr-FR"/>
        </w:rPr>
        <w:t xml:space="preserve"> </w:t>
      </w:r>
      <w:r w:rsidR="00F2773A" w:rsidRPr="00F2773A">
        <w:rPr>
          <w:lang w:val="fr-FR"/>
        </w:rPr>
        <w:t>aux</w:t>
      </w:r>
      <w:r>
        <w:rPr>
          <w:lang w:val="fr-FR"/>
        </w:rPr>
        <w:t xml:space="preserve"> travaux les plus récents du Forum mondial de l’harmonisation des Règlements concernant les véhicules (WP.29) et de ses six groupes de travail subsidiaires, </w:t>
      </w:r>
      <w:r w:rsidR="00622969">
        <w:rPr>
          <w:lang w:val="fr-FR"/>
        </w:rPr>
        <w:t>ainsi que ceux du</w:t>
      </w:r>
      <w:r>
        <w:rPr>
          <w:lang w:val="fr-FR"/>
        </w:rPr>
        <w:t xml:space="preserve"> Comité d’administration de l’Accord de 1958, du Comité d’administration de l’Accord de 1997 et du Comité exécutif de l’Accord de 1998</w:t>
      </w:r>
      <w:r w:rsidR="006B3608">
        <w:rPr>
          <w:lang w:val="fr-FR"/>
        </w:rPr>
        <w:t xml:space="preserve"> ; </w:t>
      </w:r>
      <w:r w:rsidR="006B3608" w:rsidRPr="006B3608">
        <w:rPr>
          <w:b/>
          <w:lang w:val="fr-FR"/>
        </w:rPr>
        <w:t>a</w:t>
      </w:r>
      <w:r w:rsidR="00284024" w:rsidRPr="006B3608">
        <w:rPr>
          <w:b/>
          <w:bCs/>
          <w:lang w:val="fr-FR"/>
        </w:rPr>
        <w:t xml:space="preserve"> </w:t>
      </w:r>
      <w:r w:rsidR="00284024" w:rsidRPr="00874EAB">
        <w:rPr>
          <w:b/>
          <w:bCs/>
          <w:lang w:val="fr-FR"/>
        </w:rPr>
        <w:t>approuvé</w:t>
      </w:r>
      <w:r w:rsidR="00284024">
        <w:rPr>
          <w:lang w:val="fr-FR"/>
        </w:rPr>
        <w:t xml:space="preserve"> les activités mentionnées dans le document </w:t>
      </w:r>
      <w:r>
        <w:rPr>
          <w:lang w:val="fr-FR"/>
        </w:rPr>
        <w:t>ECE/TRANS/2017/10</w:t>
      </w:r>
      <w:r w:rsidR="000F712E">
        <w:rPr>
          <w:lang w:val="fr-FR"/>
        </w:rPr>
        <w:t xml:space="preserve">; </w:t>
      </w:r>
      <w:r w:rsidR="000F712E" w:rsidRPr="006B3608">
        <w:rPr>
          <w:b/>
          <w:lang w:val="fr-FR"/>
        </w:rPr>
        <w:t>a</w:t>
      </w:r>
      <w:r w:rsidR="00F2773A" w:rsidRPr="006B3608">
        <w:rPr>
          <w:b/>
          <w:lang w:val="fr-FR"/>
        </w:rPr>
        <w:t xml:space="preserve"> </w:t>
      </w:r>
      <w:r w:rsidR="00622969" w:rsidRPr="0008569E">
        <w:rPr>
          <w:b/>
          <w:lang w:val="fr-FR"/>
        </w:rPr>
        <w:t>réitéré</w:t>
      </w:r>
      <w:r w:rsidR="00F2773A" w:rsidRPr="0008569E">
        <w:rPr>
          <w:b/>
          <w:lang w:val="fr-FR"/>
        </w:rPr>
        <w:t xml:space="preserve"> son soutien </w:t>
      </w:r>
      <w:r w:rsidR="00284024" w:rsidRPr="0008569E">
        <w:rPr>
          <w:lang w:val="fr-FR"/>
        </w:rPr>
        <w:t xml:space="preserve">pour que le </w:t>
      </w:r>
      <w:r w:rsidR="00F2773A" w:rsidRPr="0008569E">
        <w:rPr>
          <w:lang w:val="fr-FR"/>
        </w:rPr>
        <w:t>projet DETA</w:t>
      </w:r>
      <w:r w:rsidR="00284024" w:rsidRPr="0008569E">
        <w:rPr>
          <w:lang w:val="fr-FR"/>
        </w:rPr>
        <w:t xml:space="preserve"> </w:t>
      </w:r>
      <w:r w:rsidR="00A97638" w:rsidRPr="0008569E">
        <w:rPr>
          <w:lang w:val="fr-FR"/>
        </w:rPr>
        <w:t>(</w:t>
      </w:r>
      <w:r w:rsidR="00874EAB" w:rsidRPr="0008569E">
        <w:rPr>
          <w:lang w:val="fr-FR"/>
        </w:rPr>
        <w:t>base de données pour l’échange de documentations concernant les homologations de type</w:t>
      </w:r>
      <w:r w:rsidR="0008569E">
        <w:rPr>
          <w:lang w:val="fr-FR"/>
        </w:rPr>
        <w:t>)</w:t>
      </w:r>
      <w:r w:rsidR="00874EAB" w:rsidRPr="0008569E">
        <w:rPr>
          <w:lang w:val="fr-FR"/>
        </w:rPr>
        <w:t xml:space="preserve"> </w:t>
      </w:r>
      <w:r w:rsidR="00284024" w:rsidRPr="0008569E">
        <w:rPr>
          <w:lang w:val="fr-FR"/>
        </w:rPr>
        <w:t>puisse être géré par la CEE</w:t>
      </w:r>
      <w:r w:rsidR="001D5A8C">
        <w:rPr>
          <w:lang w:val="fr-FR"/>
        </w:rPr>
        <w:t>;</w:t>
      </w:r>
      <w:r w:rsidR="001E757B">
        <w:rPr>
          <w:lang w:val="fr-FR"/>
        </w:rPr>
        <w:t xml:space="preserve"> </w:t>
      </w:r>
      <w:r w:rsidR="001D5A8C">
        <w:rPr>
          <w:b/>
          <w:lang w:val="fr-FR"/>
        </w:rPr>
        <w:t>a</w:t>
      </w:r>
      <w:r w:rsidR="00284024" w:rsidRPr="00A97638">
        <w:rPr>
          <w:b/>
          <w:lang w:val="fr-FR"/>
        </w:rPr>
        <w:t xml:space="preserve"> </w:t>
      </w:r>
      <w:r w:rsidR="008B4A54">
        <w:rPr>
          <w:b/>
          <w:lang w:val="fr-FR"/>
        </w:rPr>
        <w:t>demandé  au</w:t>
      </w:r>
      <w:r w:rsidR="00284024" w:rsidRPr="00A97638">
        <w:rPr>
          <w:b/>
          <w:lang w:val="fr-FR"/>
        </w:rPr>
        <w:t xml:space="preserve"> secrétariat</w:t>
      </w:r>
      <w:r w:rsidR="00284024">
        <w:rPr>
          <w:lang w:val="fr-FR"/>
        </w:rPr>
        <w:t xml:space="preserve"> </w:t>
      </w:r>
      <w:r w:rsidR="008B4A54">
        <w:rPr>
          <w:lang w:val="fr-FR"/>
        </w:rPr>
        <w:t xml:space="preserve">de la CEE-ONU d’allouer au projet DETA des ressources provenant du </w:t>
      </w:r>
      <w:r w:rsidR="00284024">
        <w:rPr>
          <w:lang w:val="fr-FR"/>
        </w:rPr>
        <w:t xml:space="preserve">budget régulier des Nations Unies, </w:t>
      </w:r>
      <w:r w:rsidR="008B4A54">
        <w:rPr>
          <w:lang w:val="fr-FR"/>
        </w:rPr>
        <w:t>dès</w:t>
      </w:r>
      <w:r w:rsidR="00A97638">
        <w:rPr>
          <w:lang w:val="fr-FR"/>
        </w:rPr>
        <w:t xml:space="preserve"> le</w:t>
      </w:r>
      <w:r w:rsidR="00284024">
        <w:rPr>
          <w:lang w:val="fr-FR"/>
        </w:rPr>
        <w:t xml:space="preserve"> biennium 20</w:t>
      </w:r>
      <w:r w:rsidR="008B4A54">
        <w:rPr>
          <w:lang w:val="fr-FR"/>
        </w:rPr>
        <w:t>18</w:t>
      </w:r>
      <w:r w:rsidR="00284024">
        <w:rPr>
          <w:lang w:val="fr-FR"/>
        </w:rPr>
        <w:t>-20</w:t>
      </w:r>
      <w:r w:rsidR="008B4A54">
        <w:rPr>
          <w:lang w:val="fr-FR"/>
        </w:rPr>
        <w:t>19</w:t>
      </w:r>
      <w:r w:rsidR="00B15C87">
        <w:rPr>
          <w:lang w:val="fr-FR"/>
        </w:rPr>
        <w:t>. Le Comité a</w:t>
      </w:r>
      <w:r w:rsidR="00B15C87" w:rsidRPr="00B15C87">
        <w:rPr>
          <w:color w:val="222222"/>
          <w:lang w:val="fr-FR"/>
        </w:rPr>
        <w:t xml:space="preserve"> </w:t>
      </w:r>
      <w:r w:rsidR="00B15C87">
        <w:rPr>
          <w:color w:val="222222"/>
          <w:lang w:val="fr-FR"/>
        </w:rPr>
        <w:t>chargé son Président d'</w:t>
      </w:r>
      <w:r w:rsidR="00622969">
        <w:rPr>
          <w:color w:val="222222"/>
          <w:lang w:val="fr-FR"/>
        </w:rPr>
        <w:t>inclure</w:t>
      </w:r>
      <w:r w:rsidR="00B15C87">
        <w:rPr>
          <w:color w:val="222222"/>
          <w:lang w:val="fr-FR"/>
        </w:rPr>
        <w:t xml:space="preserve"> la question du financement du projet DETA par le budget régulier (environ 45 000 dollars par année) dans son rapport au Comité exécutif</w:t>
      </w:r>
      <w:r w:rsidR="00B15C87">
        <w:rPr>
          <w:lang w:val="fr-FR"/>
        </w:rPr>
        <w:t xml:space="preserve"> et a souligné </w:t>
      </w:r>
      <w:r w:rsidR="004B2C05">
        <w:rPr>
          <w:lang w:val="fr-FR"/>
        </w:rPr>
        <w:t>les obligations juridiques de</w:t>
      </w:r>
      <w:r w:rsidR="00B15C87">
        <w:rPr>
          <w:lang w:val="fr-FR"/>
        </w:rPr>
        <w:t xml:space="preserve"> la révision 3 de l’Accord de 1958</w:t>
      </w:r>
      <w:r w:rsidR="004B2C05">
        <w:rPr>
          <w:lang w:val="fr-FR"/>
        </w:rPr>
        <w:t>,</w:t>
      </w:r>
      <w:r w:rsidR="00B15C87">
        <w:rPr>
          <w:lang w:val="fr-FR"/>
        </w:rPr>
        <w:t xml:space="preserve"> </w:t>
      </w:r>
      <w:r w:rsidR="004B2C05">
        <w:rPr>
          <w:lang w:val="fr-FR"/>
        </w:rPr>
        <w:t>et ses impacts</w:t>
      </w:r>
      <w:r w:rsidR="00B15C87">
        <w:rPr>
          <w:lang w:val="fr-FR"/>
        </w:rPr>
        <w:t xml:space="preserve"> négatif</w:t>
      </w:r>
      <w:r w:rsidR="004B2C05">
        <w:rPr>
          <w:lang w:val="fr-FR"/>
        </w:rPr>
        <w:t>s</w:t>
      </w:r>
      <w:r w:rsidR="00B15C87">
        <w:rPr>
          <w:lang w:val="fr-FR"/>
        </w:rPr>
        <w:t xml:space="preserve"> sur la sécurité routière</w:t>
      </w:r>
      <w:r w:rsidR="00622969">
        <w:rPr>
          <w:lang w:val="fr-FR"/>
        </w:rPr>
        <w:t xml:space="preserve"> en cas de retard</w:t>
      </w:r>
      <w:r w:rsidR="00B15C87">
        <w:rPr>
          <w:lang w:val="fr-FR"/>
        </w:rPr>
        <w:t xml:space="preserve">;  </w:t>
      </w:r>
    </w:p>
    <w:p w:rsidR="00631A7A" w:rsidRDefault="00CA6284" w:rsidP="001A1968">
      <w:pPr>
        <w:pStyle w:val="SingleTxtG"/>
        <w:rPr>
          <w:lang w:val="fr-CH"/>
        </w:rPr>
      </w:pPr>
      <w:r>
        <w:rPr>
          <w:lang w:val="fr-FR"/>
        </w:rPr>
        <w:t>2</w:t>
      </w:r>
      <w:r w:rsidR="00B15C87">
        <w:rPr>
          <w:lang w:val="fr-FR"/>
        </w:rPr>
        <w:t>3</w:t>
      </w:r>
      <w:r>
        <w:rPr>
          <w:lang w:val="fr-FR"/>
        </w:rPr>
        <w:t>.</w:t>
      </w:r>
      <w:r>
        <w:rPr>
          <w:lang w:val="fr-FR"/>
        </w:rPr>
        <w:tab/>
      </w:r>
      <w:r w:rsidR="00D11168" w:rsidRPr="00D11168">
        <w:rPr>
          <w:b/>
          <w:lang w:val="fr-FR"/>
        </w:rPr>
        <w:t>A</w:t>
      </w:r>
      <w:r w:rsidR="00D11168">
        <w:rPr>
          <w:b/>
          <w:lang w:val="fr-FR"/>
        </w:rPr>
        <w:t xml:space="preserve"> approuvé </w:t>
      </w:r>
      <w:r w:rsidR="00D11168">
        <w:rPr>
          <w:lang w:val="fr-FR"/>
        </w:rPr>
        <w:t xml:space="preserve">la décision du WP.1 de proroger le mandat du Groupe d’experts de la signalisation routière jusqu’au 31 décembre 2017 afin </w:t>
      </w:r>
      <w:r w:rsidR="001A1968">
        <w:rPr>
          <w:lang w:val="fr-FR"/>
        </w:rPr>
        <w:t xml:space="preserve">de lui permettre de </w:t>
      </w:r>
      <w:r w:rsidR="00D11168">
        <w:rPr>
          <w:lang w:val="fr-FR"/>
        </w:rPr>
        <w:t>poursuive ses travaux.</w:t>
      </w:r>
      <w:r w:rsidR="00D11168" w:rsidRPr="00D11168">
        <w:rPr>
          <w:lang w:val="fr-FR"/>
        </w:rPr>
        <w:t xml:space="preserve"> </w:t>
      </w:r>
      <w:r w:rsidR="00D11168">
        <w:rPr>
          <w:lang w:val="fr-FR"/>
        </w:rPr>
        <w:t>(ECE/TRANS/WP.1/155, par. 22 à 26</w:t>
      </w:r>
      <w:r w:rsidR="00B15C87">
        <w:rPr>
          <w:lang w:val="fr-CH"/>
        </w:rPr>
        <w:t>;</w:t>
      </w:r>
    </w:p>
    <w:p w:rsidR="00631A7A" w:rsidRDefault="00D11168" w:rsidP="00781750">
      <w:pPr>
        <w:pStyle w:val="SingleTxtG"/>
        <w:rPr>
          <w:lang w:val="fr-CH"/>
        </w:rPr>
      </w:pPr>
      <w:r>
        <w:rPr>
          <w:lang w:val="fr-FR"/>
        </w:rPr>
        <w:t>2</w:t>
      </w:r>
      <w:r w:rsidR="00B15C87">
        <w:rPr>
          <w:lang w:val="fr-FR"/>
        </w:rPr>
        <w:t>4</w:t>
      </w:r>
      <w:r>
        <w:rPr>
          <w:lang w:val="fr-FR"/>
        </w:rPr>
        <w:t>.</w:t>
      </w:r>
      <w:r>
        <w:rPr>
          <w:lang w:val="fr-FR"/>
        </w:rPr>
        <w:tab/>
      </w:r>
      <w:r w:rsidRPr="00D11168">
        <w:rPr>
          <w:b/>
          <w:lang w:val="fr-FR"/>
        </w:rPr>
        <w:t>A pris n</w:t>
      </w:r>
      <w:r>
        <w:rPr>
          <w:b/>
          <w:lang w:val="fr-FR"/>
        </w:rPr>
        <w:t xml:space="preserve">ote </w:t>
      </w:r>
      <w:r>
        <w:rPr>
          <w:lang w:val="fr-FR"/>
        </w:rPr>
        <w:t xml:space="preserve">des efforts du secrétariat pour rechercher des financements </w:t>
      </w:r>
      <w:r w:rsidR="00781750">
        <w:rPr>
          <w:lang w:val="fr-FR"/>
        </w:rPr>
        <w:t xml:space="preserve">extrabudgétaires </w:t>
      </w:r>
      <w:r w:rsidR="001A1968">
        <w:rPr>
          <w:lang w:val="fr-FR"/>
        </w:rPr>
        <w:t>servants à la création d’</w:t>
      </w:r>
      <w:r>
        <w:rPr>
          <w:lang w:val="fr-FR"/>
        </w:rPr>
        <w:t>une version électronique de la Convention sur la signalisation routière (e-CoRSS), et</w:t>
      </w:r>
      <w:r w:rsidR="003445C0">
        <w:rPr>
          <w:lang w:val="fr-FR"/>
        </w:rPr>
        <w:t xml:space="preserve"> </w:t>
      </w:r>
      <w:r>
        <w:rPr>
          <w:lang w:val="fr-FR"/>
        </w:rPr>
        <w:t xml:space="preserve">de ce fait, </w:t>
      </w:r>
      <w:r w:rsidR="003445C0" w:rsidRPr="003445C0">
        <w:rPr>
          <w:b/>
          <w:lang w:val="fr-FR"/>
        </w:rPr>
        <w:t>a apprécié</w:t>
      </w:r>
      <w:r w:rsidR="003445C0">
        <w:rPr>
          <w:lang w:val="fr-FR"/>
        </w:rPr>
        <w:t xml:space="preserve">  la contribution de la fondation « </w:t>
      </w:r>
      <w:r w:rsidR="003445C0" w:rsidRPr="003445C0">
        <w:rPr>
          <w:lang w:val="fr-CH"/>
        </w:rPr>
        <w:t>The Late Easa Al-Yousifi Charity</w:t>
      </w:r>
      <w:r w:rsidR="003445C0">
        <w:rPr>
          <w:lang w:val="fr-CH"/>
        </w:rPr>
        <w:t xml:space="preserve"> » du </w:t>
      </w:r>
      <w:r w:rsidR="00781750">
        <w:rPr>
          <w:lang w:val="fr-CH"/>
        </w:rPr>
        <w:t>Koweït</w:t>
      </w:r>
      <w:r w:rsidR="00B15C87">
        <w:rPr>
          <w:lang w:val="fr-CH"/>
        </w:rPr>
        <w:t>;</w:t>
      </w:r>
    </w:p>
    <w:p w:rsidR="00631A7A" w:rsidRDefault="003445C0" w:rsidP="00631A7A">
      <w:pPr>
        <w:pStyle w:val="SingleTxtG"/>
        <w:rPr>
          <w:lang w:val="fr-CH"/>
        </w:rPr>
      </w:pPr>
      <w:r>
        <w:rPr>
          <w:lang w:val="fr-CH"/>
        </w:rPr>
        <w:t>2</w:t>
      </w:r>
      <w:r w:rsidR="00B15C87">
        <w:rPr>
          <w:lang w:val="fr-CH"/>
        </w:rPr>
        <w:t>5</w:t>
      </w:r>
      <w:r>
        <w:rPr>
          <w:lang w:val="fr-CH"/>
        </w:rPr>
        <w:t>.</w:t>
      </w:r>
      <w:r>
        <w:rPr>
          <w:lang w:val="fr-CH"/>
        </w:rPr>
        <w:tab/>
      </w:r>
      <w:r w:rsidRPr="003445C0">
        <w:rPr>
          <w:b/>
          <w:lang w:val="fr-CH"/>
        </w:rPr>
        <w:t>A pris note</w:t>
      </w:r>
      <w:r>
        <w:rPr>
          <w:lang w:val="fr-CH"/>
        </w:rPr>
        <w:t xml:space="preserve"> d</w:t>
      </w:r>
      <w:r w:rsidR="0098479D">
        <w:rPr>
          <w:lang w:val="fr-CH"/>
        </w:rPr>
        <w:t>e la demande</w:t>
      </w:r>
      <w:r>
        <w:rPr>
          <w:lang w:val="fr-CH"/>
        </w:rPr>
        <w:t xml:space="preserve"> du G</w:t>
      </w:r>
      <w:r>
        <w:rPr>
          <w:lang w:val="fr-FR"/>
        </w:rPr>
        <w:t>ouvernement de la République de Corée à devenir un participant de plein droit du WP.1 (</w:t>
      </w:r>
      <w:r w:rsidR="0098479D">
        <w:rPr>
          <w:lang w:val="fr-FR"/>
        </w:rPr>
        <w:t>disposant du droit de vote)</w:t>
      </w:r>
      <w:r>
        <w:rPr>
          <w:lang w:val="fr-FR"/>
        </w:rPr>
        <w:t xml:space="preserve"> </w:t>
      </w:r>
      <w:r w:rsidR="0098479D">
        <w:rPr>
          <w:lang w:val="fr-FR"/>
        </w:rPr>
        <w:t xml:space="preserve">(ECE/TRANS/2017/12)  </w:t>
      </w:r>
      <w:r>
        <w:rPr>
          <w:lang w:val="fr-FR"/>
        </w:rPr>
        <w:t xml:space="preserve">et </w:t>
      </w:r>
      <w:r w:rsidR="0098479D">
        <w:rPr>
          <w:lang w:val="fr-FR"/>
        </w:rPr>
        <w:t>l’</w:t>
      </w:r>
      <w:r w:rsidRPr="0098479D">
        <w:rPr>
          <w:b/>
          <w:lang w:val="fr-FR"/>
        </w:rPr>
        <w:t xml:space="preserve">a </w:t>
      </w:r>
      <w:r w:rsidR="0098479D">
        <w:rPr>
          <w:b/>
          <w:lang w:val="fr-FR"/>
        </w:rPr>
        <w:t>approuvée</w:t>
      </w:r>
      <w:r w:rsidR="00B15C87">
        <w:rPr>
          <w:lang w:val="fr-CH"/>
        </w:rPr>
        <w:t>;</w:t>
      </w:r>
    </w:p>
    <w:p w:rsidR="00631A7A" w:rsidRDefault="0098479D" w:rsidP="00631A7A">
      <w:pPr>
        <w:pStyle w:val="SingleTxtG"/>
        <w:rPr>
          <w:lang w:val="fr-CH"/>
        </w:rPr>
      </w:pPr>
      <w:r>
        <w:rPr>
          <w:lang w:val="fr-CH"/>
        </w:rPr>
        <w:t>2</w:t>
      </w:r>
      <w:r w:rsidR="00B15C87">
        <w:rPr>
          <w:lang w:val="fr-CH"/>
        </w:rPr>
        <w:t>6</w:t>
      </w:r>
      <w:r>
        <w:rPr>
          <w:lang w:val="fr-CH"/>
        </w:rPr>
        <w:t>.</w:t>
      </w:r>
      <w:r>
        <w:rPr>
          <w:lang w:val="fr-FR"/>
        </w:rPr>
        <w:tab/>
      </w:r>
      <w:r w:rsidRPr="0098479D">
        <w:rPr>
          <w:b/>
          <w:lang w:val="fr-FR"/>
        </w:rPr>
        <w:t>A approuvé</w:t>
      </w:r>
      <w:r>
        <w:rPr>
          <w:lang w:val="fr-FR"/>
        </w:rPr>
        <w:t xml:space="preserve"> la demande du  WP.1</w:t>
      </w:r>
      <w:r w:rsidR="002F0641">
        <w:rPr>
          <w:lang w:val="fr-FR"/>
        </w:rPr>
        <w:t xml:space="preserve"> </w:t>
      </w:r>
      <w:r>
        <w:rPr>
          <w:lang w:val="fr-FR"/>
        </w:rPr>
        <w:t xml:space="preserve">de changer sa dénomination actuelle pour celle de </w:t>
      </w:r>
      <w:r w:rsidR="00631A7A">
        <w:rPr>
          <w:lang w:val="fr-FR"/>
        </w:rPr>
        <w:t>« </w:t>
      </w:r>
      <w:r>
        <w:rPr>
          <w:lang w:val="fr-FR"/>
        </w:rPr>
        <w:t>Forum mondial pour la sécurité routière</w:t>
      </w:r>
      <w:r w:rsidR="00631A7A">
        <w:rPr>
          <w:lang w:val="fr-FR"/>
        </w:rPr>
        <w:t> »</w:t>
      </w:r>
      <w:r>
        <w:rPr>
          <w:lang w:val="fr-FR"/>
        </w:rPr>
        <w:t xml:space="preserve"> (WP.1) afin de mieux indiquer la portée mondiale des conventions de l’ONU sur la sécurité routière, (ECE/TRANS/WP.1/155, par. 39)</w:t>
      </w:r>
      <w:r w:rsidR="00B15C87">
        <w:rPr>
          <w:lang w:val="fr-FR"/>
        </w:rPr>
        <w:t>;</w:t>
      </w:r>
    </w:p>
    <w:p w:rsidR="00631A7A" w:rsidRDefault="0098479D" w:rsidP="00631A7A">
      <w:pPr>
        <w:pStyle w:val="SingleTxtG"/>
        <w:rPr>
          <w:lang w:val="fr-CH"/>
        </w:rPr>
      </w:pPr>
      <w:r>
        <w:rPr>
          <w:lang w:val="fr-FR"/>
        </w:rPr>
        <w:t>2</w:t>
      </w:r>
      <w:r w:rsidR="00B15C87">
        <w:rPr>
          <w:lang w:val="fr-FR"/>
        </w:rPr>
        <w:t>7</w:t>
      </w:r>
      <w:r>
        <w:rPr>
          <w:lang w:val="fr-FR"/>
        </w:rPr>
        <w:t>.</w:t>
      </w:r>
      <w:r>
        <w:rPr>
          <w:lang w:val="fr-FR"/>
        </w:rPr>
        <w:tab/>
      </w:r>
      <w:r w:rsidRPr="0098479D">
        <w:rPr>
          <w:b/>
          <w:lang w:val="fr-FR"/>
        </w:rPr>
        <w:t xml:space="preserve">A </w:t>
      </w:r>
      <w:r>
        <w:rPr>
          <w:b/>
          <w:lang w:val="fr-FR"/>
        </w:rPr>
        <w:t>approuvé</w:t>
      </w:r>
      <w:r>
        <w:rPr>
          <w:lang w:val="fr-FR"/>
        </w:rPr>
        <w:t xml:space="preserve"> une résolution spéciale (ECE/TRANS/2017/13) élaborée et adoptée par le WP.1 (ECE/TRANS/WP.1/155, annexe III) comme il y avait été invité par le CTI en 2016 (ECE/TRANS/254, par. 147) et </w:t>
      </w:r>
      <w:r w:rsidRPr="0098479D">
        <w:rPr>
          <w:b/>
          <w:lang w:val="fr-FR"/>
        </w:rPr>
        <w:t>a exprimé le souhait</w:t>
      </w:r>
      <w:r>
        <w:rPr>
          <w:b/>
          <w:lang w:val="fr-FR"/>
        </w:rPr>
        <w:t xml:space="preserve"> </w:t>
      </w:r>
      <w:r w:rsidRPr="000F712E">
        <w:rPr>
          <w:lang w:val="fr-FR"/>
        </w:rPr>
        <w:t>qu’</w:t>
      </w:r>
      <w:r w:rsidRPr="0098479D">
        <w:rPr>
          <w:lang w:val="fr-FR"/>
        </w:rPr>
        <w:t>elle</w:t>
      </w:r>
      <w:r>
        <w:rPr>
          <w:lang w:val="fr-FR"/>
        </w:rPr>
        <w:t xml:space="preserve"> soit présentée à la soixante-</w:t>
      </w:r>
      <w:r w:rsidR="00D87435">
        <w:rPr>
          <w:lang w:val="fr-FR"/>
        </w:rPr>
        <w:t>septième</w:t>
      </w:r>
      <w:r>
        <w:rPr>
          <w:lang w:val="fr-FR"/>
        </w:rPr>
        <w:t xml:space="preserve"> session de la Commission en avril 2017</w:t>
      </w:r>
      <w:r w:rsidR="00B15C87">
        <w:rPr>
          <w:lang w:val="fr-FR"/>
        </w:rPr>
        <w:t>;</w:t>
      </w:r>
    </w:p>
    <w:p w:rsidR="00C10EC1" w:rsidRDefault="0098479D" w:rsidP="00C568C6">
      <w:pPr>
        <w:pStyle w:val="SingleTxtG"/>
        <w:rPr>
          <w:lang w:val="fr-CH"/>
        </w:rPr>
      </w:pPr>
      <w:r>
        <w:rPr>
          <w:lang w:val="fr-FR"/>
        </w:rPr>
        <w:t>2</w:t>
      </w:r>
      <w:r w:rsidR="00B15C87">
        <w:rPr>
          <w:lang w:val="fr-FR"/>
        </w:rPr>
        <w:t>8</w:t>
      </w:r>
      <w:r>
        <w:rPr>
          <w:lang w:val="fr-FR"/>
        </w:rPr>
        <w:t>.</w:t>
      </w:r>
      <w:r w:rsidR="00B208ED">
        <w:rPr>
          <w:lang w:val="fr-FR"/>
        </w:rPr>
        <w:t xml:space="preserve"> </w:t>
      </w:r>
      <w:r w:rsidR="001E757B">
        <w:rPr>
          <w:lang w:val="fr-FR"/>
        </w:rPr>
        <w:tab/>
      </w:r>
      <w:r w:rsidR="00B208ED" w:rsidRPr="00B208ED">
        <w:rPr>
          <w:b/>
          <w:lang w:val="fr-FR"/>
        </w:rPr>
        <w:t>A ex</w:t>
      </w:r>
      <w:r w:rsidR="00B208ED" w:rsidRPr="00B208ED">
        <w:rPr>
          <w:b/>
          <w:color w:val="222222"/>
          <w:lang w:val="fr-FR"/>
        </w:rPr>
        <w:t xml:space="preserve">primé son </w:t>
      </w:r>
      <w:r w:rsidR="007C752A">
        <w:rPr>
          <w:b/>
          <w:color w:val="222222"/>
          <w:lang w:val="fr-FR"/>
        </w:rPr>
        <w:t>vif</w:t>
      </w:r>
      <w:r w:rsidR="007C752A" w:rsidRPr="00B208ED">
        <w:rPr>
          <w:b/>
          <w:color w:val="222222"/>
          <w:lang w:val="fr-FR"/>
        </w:rPr>
        <w:t xml:space="preserve"> </w:t>
      </w:r>
      <w:r w:rsidR="00B208ED" w:rsidRPr="00B208ED">
        <w:rPr>
          <w:b/>
          <w:color w:val="222222"/>
          <w:lang w:val="fr-FR"/>
        </w:rPr>
        <w:t>soutien</w:t>
      </w:r>
      <w:r w:rsidR="00B208ED">
        <w:rPr>
          <w:color w:val="222222"/>
          <w:lang w:val="fr-FR"/>
        </w:rPr>
        <w:t xml:space="preserve"> </w:t>
      </w:r>
      <w:r w:rsidR="00B95CF2">
        <w:rPr>
          <w:color w:val="222222"/>
          <w:lang w:val="fr-FR"/>
        </w:rPr>
        <w:t xml:space="preserve">à l'amélioration de la sécurité routière et a jugé important qu’un financement pour ces activités soit assuré. À cet égard, </w:t>
      </w:r>
      <w:r w:rsidR="00B95CF2" w:rsidRPr="00B95CF2">
        <w:rPr>
          <w:b/>
          <w:color w:val="222222"/>
          <w:lang w:val="fr-FR"/>
        </w:rPr>
        <w:t>s’est félicité</w:t>
      </w:r>
      <w:r w:rsidR="00B95CF2">
        <w:rPr>
          <w:color w:val="222222"/>
          <w:lang w:val="fr-FR"/>
        </w:rPr>
        <w:t xml:space="preserve"> des progrès accomplis dans la préparation de la création du Fonds des Nations Unies pour la sécurité routière</w:t>
      </w:r>
      <w:r w:rsidR="000F712E">
        <w:rPr>
          <w:color w:val="222222"/>
          <w:lang w:val="fr-FR"/>
        </w:rPr>
        <w:t> ;</w:t>
      </w:r>
      <w:r w:rsidR="00B95CF2">
        <w:rPr>
          <w:color w:val="222222"/>
          <w:lang w:val="fr-FR"/>
        </w:rPr>
        <w:t xml:space="preserve"> </w:t>
      </w:r>
      <w:r w:rsidR="00B95CF2" w:rsidRPr="00B95CF2">
        <w:rPr>
          <w:b/>
          <w:color w:val="222222"/>
          <w:lang w:val="fr-FR"/>
        </w:rPr>
        <w:t>a apprécié</w:t>
      </w:r>
      <w:r w:rsidR="00B95CF2">
        <w:rPr>
          <w:color w:val="222222"/>
          <w:lang w:val="fr-FR"/>
        </w:rPr>
        <w:t xml:space="preserve"> le projet de document présenté par le Secrétaire exécutif de la CEE sur les moyens </w:t>
      </w:r>
      <w:r w:rsidR="007C752A">
        <w:rPr>
          <w:color w:val="222222"/>
          <w:lang w:val="fr-FR"/>
        </w:rPr>
        <w:t>envisageables pour y</w:t>
      </w:r>
      <w:r w:rsidR="00B95CF2">
        <w:rPr>
          <w:color w:val="222222"/>
          <w:lang w:val="fr-FR"/>
        </w:rPr>
        <w:t xml:space="preserve"> parvenir et </w:t>
      </w:r>
      <w:r w:rsidR="00B15C87">
        <w:rPr>
          <w:color w:val="222222"/>
          <w:lang w:val="fr-FR"/>
        </w:rPr>
        <w:t>a</w:t>
      </w:r>
      <w:r w:rsidR="00B95CF2">
        <w:rPr>
          <w:color w:val="222222"/>
          <w:lang w:val="fr-FR"/>
        </w:rPr>
        <w:t xml:space="preserve">) </w:t>
      </w:r>
      <w:r w:rsidR="00B95CF2" w:rsidRPr="00B95CF2">
        <w:rPr>
          <w:b/>
          <w:color w:val="222222"/>
          <w:lang w:val="fr-FR"/>
        </w:rPr>
        <w:t xml:space="preserve">a demandé </w:t>
      </w:r>
      <w:r w:rsidR="00B95CF2">
        <w:rPr>
          <w:color w:val="222222"/>
          <w:lang w:val="fr-FR"/>
        </w:rPr>
        <w:t xml:space="preserve">des précisions sur les mesures concrètes et </w:t>
      </w:r>
      <w:r w:rsidR="00B15C87">
        <w:rPr>
          <w:color w:val="222222"/>
          <w:lang w:val="fr-FR"/>
        </w:rPr>
        <w:t>b</w:t>
      </w:r>
      <w:r w:rsidR="00B95CF2">
        <w:rPr>
          <w:color w:val="222222"/>
          <w:lang w:val="fr-FR"/>
        </w:rPr>
        <w:t xml:space="preserve">) </w:t>
      </w:r>
      <w:r w:rsidR="00B95CF2" w:rsidRPr="00B95CF2">
        <w:rPr>
          <w:b/>
          <w:color w:val="222222"/>
          <w:lang w:val="fr-FR"/>
        </w:rPr>
        <w:t>a invité</w:t>
      </w:r>
      <w:r w:rsidR="00B95CF2">
        <w:rPr>
          <w:color w:val="222222"/>
          <w:lang w:val="fr-FR"/>
        </w:rPr>
        <w:t xml:space="preserve"> le WP.1 à </w:t>
      </w:r>
      <w:r w:rsidR="00DA6371">
        <w:rPr>
          <w:color w:val="222222"/>
          <w:lang w:val="fr-FR"/>
        </w:rPr>
        <w:t xml:space="preserve">apporter </w:t>
      </w:r>
      <w:r w:rsidR="00B95CF2">
        <w:rPr>
          <w:color w:val="222222"/>
          <w:lang w:val="fr-FR"/>
        </w:rPr>
        <w:t xml:space="preserve">un appui technique et substantiel aux gouvernements et aux autres parties prenantes </w:t>
      </w:r>
      <w:r w:rsidR="00DA6371">
        <w:rPr>
          <w:color w:val="222222"/>
          <w:lang w:val="fr-FR"/>
        </w:rPr>
        <w:t xml:space="preserve">intervenants dans le domaine de </w:t>
      </w:r>
      <w:r w:rsidR="00B95CF2">
        <w:rPr>
          <w:color w:val="222222"/>
          <w:lang w:val="fr-FR"/>
        </w:rPr>
        <w:t xml:space="preserve">la sécurité routière lors </w:t>
      </w:r>
      <w:r w:rsidR="00DA6371">
        <w:rPr>
          <w:color w:val="222222"/>
          <w:lang w:val="fr-FR"/>
        </w:rPr>
        <w:t>des consultations</w:t>
      </w:r>
      <w:r w:rsidR="00B95CF2">
        <w:rPr>
          <w:color w:val="222222"/>
          <w:lang w:val="fr-FR"/>
        </w:rPr>
        <w:t xml:space="preserve"> et de l'examen du projet de proposition de création du Fonds des Nations Unies pour la sécurité routière;</w:t>
      </w:r>
      <w:r w:rsidR="000F712E">
        <w:rPr>
          <w:color w:val="222222"/>
          <w:lang w:val="fr-FR"/>
        </w:rPr>
        <w:t> </w:t>
      </w:r>
      <w:r w:rsidR="00B95CF2" w:rsidRPr="007A23D7">
        <w:rPr>
          <w:b/>
          <w:color w:val="222222"/>
          <w:lang w:val="fr-FR"/>
        </w:rPr>
        <w:t>s'est félicité</w:t>
      </w:r>
      <w:r w:rsidR="00B95CF2">
        <w:rPr>
          <w:color w:val="222222"/>
          <w:lang w:val="fr-FR"/>
        </w:rPr>
        <w:t xml:space="preserve"> que la proposition </w:t>
      </w:r>
      <w:r w:rsidR="008C1056">
        <w:rPr>
          <w:color w:val="222222"/>
          <w:lang w:val="fr-FR"/>
        </w:rPr>
        <w:t>soit</w:t>
      </w:r>
      <w:r w:rsidR="00C10EC1">
        <w:rPr>
          <w:color w:val="222222"/>
          <w:lang w:val="fr-FR"/>
        </w:rPr>
        <w:t xml:space="preserve"> </w:t>
      </w:r>
      <w:r w:rsidR="00B95CF2">
        <w:rPr>
          <w:color w:val="222222"/>
          <w:lang w:val="fr-FR"/>
        </w:rPr>
        <w:t xml:space="preserve">transmise </w:t>
      </w:r>
      <w:r w:rsidR="008C1056">
        <w:rPr>
          <w:color w:val="222222"/>
          <w:lang w:val="fr-FR"/>
        </w:rPr>
        <w:t xml:space="preserve">pour examen </w:t>
      </w:r>
      <w:r w:rsidR="00B95CF2">
        <w:rPr>
          <w:color w:val="222222"/>
          <w:lang w:val="fr-FR"/>
        </w:rPr>
        <w:t>au Secrétaire général et présent</w:t>
      </w:r>
      <w:r w:rsidR="008C1056">
        <w:rPr>
          <w:color w:val="222222"/>
          <w:lang w:val="fr-FR"/>
        </w:rPr>
        <w:t xml:space="preserve">ée </w:t>
      </w:r>
      <w:r w:rsidR="00B95CF2">
        <w:rPr>
          <w:color w:val="222222"/>
          <w:lang w:val="fr-FR"/>
        </w:rPr>
        <w:t>à l'Assemblée générale des Nations Unies après consultations approfondies</w:t>
      </w:r>
      <w:r w:rsidR="000F712E">
        <w:rPr>
          <w:color w:val="222222"/>
          <w:lang w:val="fr-FR"/>
        </w:rPr>
        <w:t xml:space="preserve">; </w:t>
      </w:r>
      <w:r w:rsidR="00B95CF2" w:rsidRPr="00C10EC1">
        <w:rPr>
          <w:b/>
          <w:color w:val="222222"/>
          <w:lang w:val="fr-FR"/>
        </w:rPr>
        <w:t>a invité</w:t>
      </w:r>
      <w:r w:rsidR="00B95CF2">
        <w:rPr>
          <w:color w:val="222222"/>
          <w:lang w:val="fr-FR"/>
        </w:rPr>
        <w:t xml:space="preserve"> les délégués participants et tous les autres intervenants </w:t>
      </w:r>
      <w:r w:rsidR="008C1056">
        <w:rPr>
          <w:color w:val="222222"/>
          <w:lang w:val="fr-FR"/>
        </w:rPr>
        <w:t xml:space="preserve">dans le domaine de </w:t>
      </w:r>
      <w:r w:rsidR="00B95CF2">
        <w:rPr>
          <w:color w:val="222222"/>
          <w:lang w:val="fr-FR"/>
        </w:rPr>
        <w:t>la sécurité routière à rester engagés dans le processus de consultation</w:t>
      </w:r>
      <w:r w:rsidR="00880527">
        <w:rPr>
          <w:color w:val="222222"/>
          <w:lang w:val="fr-FR"/>
        </w:rPr>
        <w:t xml:space="preserve"> ; </w:t>
      </w:r>
      <w:r w:rsidR="00880527" w:rsidRPr="00880527">
        <w:rPr>
          <w:b/>
          <w:color w:val="222222"/>
          <w:lang w:val="fr-FR"/>
        </w:rPr>
        <w:t>a demandé</w:t>
      </w:r>
      <w:r w:rsidR="00880527">
        <w:rPr>
          <w:color w:val="222222"/>
          <w:lang w:val="fr-FR"/>
        </w:rPr>
        <w:t xml:space="preserve"> des informations supplémentaires quant </w:t>
      </w:r>
      <w:r w:rsidR="00C568C6">
        <w:rPr>
          <w:color w:val="222222"/>
          <w:lang w:val="fr-FR"/>
        </w:rPr>
        <w:t>à l’échéancier</w:t>
      </w:r>
      <w:r w:rsidR="00880527">
        <w:rPr>
          <w:lang w:val="fr-CH"/>
        </w:rPr>
        <w:t>;</w:t>
      </w:r>
    </w:p>
    <w:p w:rsidR="00C10EC1" w:rsidRDefault="00880527" w:rsidP="00D32C26">
      <w:pPr>
        <w:pStyle w:val="SingleTxtG"/>
        <w:rPr>
          <w:lang w:val="fr-CH"/>
        </w:rPr>
      </w:pPr>
      <w:r>
        <w:rPr>
          <w:lang w:val="fr-FR"/>
        </w:rPr>
        <w:t>29</w:t>
      </w:r>
      <w:r w:rsidR="00B208ED">
        <w:rPr>
          <w:lang w:val="fr-FR"/>
        </w:rPr>
        <w:t>.</w:t>
      </w:r>
      <w:r w:rsidR="00B208ED">
        <w:rPr>
          <w:lang w:val="fr-FR"/>
        </w:rPr>
        <w:tab/>
      </w:r>
      <w:r w:rsidRPr="00880527">
        <w:rPr>
          <w:b/>
          <w:lang w:val="fr-FR"/>
        </w:rPr>
        <w:t>A pris note</w:t>
      </w:r>
      <w:r w:rsidR="00460048">
        <w:rPr>
          <w:color w:val="222222"/>
          <w:lang w:val="fr-FR"/>
        </w:rPr>
        <w:t xml:space="preserve"> de l'initiative de l'Envoyé spécial et de la CEE </w:t>
      </w:r>
      <w:r w:rsidR="006E532F">
        <w:rPr>
          <w:color w:val="222222"/>
          <w:lang w:val="fr-FR"/>
        </w:rPr>
        <w:t>pour</w:t>
      </w:r>
      <w:r w:rsidR="00460048">
        <w:rPr>
          <w:color w:val="222222"/>
          <w:lang w:val="fr-FR"/>
        </w:rPr>
        <w:t xml:space="preserve"> un engagement volontaire de l'industrie automobile </w:t>
      </w:r>
      <w:r w:rsidR="006E532F">
        <w:rPr>
          <w:color w:val="222222"/>
          <w:lang w:val="fr-FR"/>
        </w:rPr>
        <w:t xml:space="preserve">à </w:t>
      </w:r>
      <w:r w:rsidR="00460048">
        <w:rPr>
          <w:color w:val="222222"/>
          <w:lang w:val="fr-FR"/>
        </w:rPr>
        <w:t xml:space="preserve">ne mettre sur les marchés mondiaux que des véhicules conformes à un seuil minimum </w:t>
      </w:r>
      <w:r w:rsidR="00D32C26">
        <w:rPr>
          <w:color w:val="222222"/>
          <w:lang w:val="fr-FR"/>
        </w:rPr>
        <w:t>de</w:t>
      </w:r>
      <w:r w:rsidR="00460048">
        <w:rPr>
          <w:color w:val="222222"/>
          <w:lang w:val="fr-FR"/>
        </w:rPr>
        <w:t xml:space="preserve"> règlement</w:t>
      </w:r>
      <w:r w:rsidR="00D32C26">
        <w:rPr>
          <w:color w:val="222222"/>
          <w:lang w:val="fr-FR"/>
        </w:rPr>
        <w:t>ations</w:t>
      </w:r>
      <w:r w:rsidR="00460048">
        <w:rPr>
          <w:color w:val="222222"/>
          <w:lang w:val="fr-FR"/>
        </w:rPr>
        <w:t xml:space="preserve"> des Nations Unies </w:t>
      </w:r>
      <w:r w:rsidR="00623ACA">
        <w:rPr>
          <w:color w:val="222222"/>
          <w:lang w:val="fr-FR"/>
        </w:rPr>
        <w:t>sur la sécurité des véhicules</w:t>
      </w:r>
      <w:r w:rsidR="001E757B">
        <w:rPr>
          <w:color w:val="222222"/>
          <w:lang w:val="fr-FR"/>
        </w:rPr>
        <w:t>;</w:t>
      </w:r>
      <w:r w:rsidR="00623ACA">
        <w:rPr>
          <w:lang w:val="fr-CH"/>
        </w:rPr>
        <w:t> </w:t>
      </w:r>
    </w:p>
    <w:p w:rsidR="000F712E" w:rsidRDefault="00623ACA" w:rsidP="001074BD">
      <w:pPr>
        <w:pStyle w:val="SingleTxtG"/>
        <w:rPr>
          <w:lang w:val="fr-FR"/>
        </w:rPr>
      </w:pPr>
      <w:r>
        <w:rPr>
          <w:lang w:val="fr-FR"/>
        </w:rPr>
        <w:lastRenderedPageBreak/>
        <w:t>30</w:t>
      </w:r>
      <w:r w:rsidR="00C10EC1">
        <w:rPr>
          <w:lang w:val="fr-FR"/>
        </w:rPr>
        <w:t>.</w:t>
      </w:r>
      <w:r w:rsidR="00C10EC1">
        <w:rPr>
          <w:lang w:val="fr-FR"/>
        </w:rPr>
        <w:tab/>
      </w:r>
      <w:r w:rsidR="00C10EC1" w:rsidRPr="00C10EC1">
        <w:rPr>
          <w:b/>
          <w:lang w:val="fr-FR"/>
        </w:rPr>
        <w:t>A pris note</w:t>
      </w:r>
      <w:r w:rsidR="00C10EC1">
        <w:rPr>
          <w:lang w:val="fr-FR"/>
        </w:rPr>
        <w:t xml:space="preserve"> du document </w:t>
      </w:r>
      <w:r w:rsidR="00C10EC1" w:rsidRPr="00C10EC1">
        <w:rPr>
          <w:lang w:val="fr-CH"/>
        </w:rPr>
        <w:t>ECE/TRANS/2017/15</w:t>
      </w:r>
      <w:r w:rsidR="00C10EC1">
        <w:rPr>
          <w:lang w:val="fr-CH"/>
        </w:rPr>
        <w:t xml:space="preserve"> et </w:t>
      </w:r>
      <w:r w:rsidR="00C10EC1" w:rsidRPr="00C10EC1">
        <w:rPr>
          <w:b/>
          <w:lang w:val="fr-CH"/>
        </w:rPr>
        <w:t>s’est réjoui</w:t>
      </w:r>
      <w:r w:rsidR="00C10EC1">
        <w:rPr>
          <w:lang w:val="fr-CH"/>
        </w:rPr>
        <w:t xml:space="preserve"> </w:t>
      </w:r>
      <w:r w:rsidR="00C10EC1">
        <w:rPr>
          <w:color w:val="222222"/>
          <w:lang w:val="fr-FR"/>
        </w:rPr>
        <w:t>de la prolongation du mandat de l'envoyé spécial pour une année</w:t>
      </w:r>
      <w:r w:rsidR="001074BD">
        <w:rPr>
          <w:color w:val="222222"/>
          <w:lang w:val="fr-FR"/>
        </w:rPr>
        <w:t xml:space="preserve"> supplémentaire</w:t>
      </w:r>
      <w:r w:rsidR="00C10EC1">
        <w:rPr>
          <w:color w:val="222222"/>
          <w:lang w:val="fr-FR"/>
        </w:rPr>
        <w:t>, ce qui permettra de poursuivre les travaux importants entrepris et l'élan mis en place jusqu'à présent par l'Envoyé spécial pour améliorer la sécurité routière et promouvoir les instruments juridiques des Nations Unies relatifs à la sécurité routière;</w:t>
      </w:r>
      <w:r w:rsidR="00C10EC1">
        <w:rPr>
          <w:lang w:val="fr-CH"/>
        </w:rPr>
        <w:t xml:space="preserve">  </w:t>
      </w:r>
    </w:p>
    <w:p w:rsidR="00240078" w:rsidRDefault="00623ACA" w:rsidP="001074BD">
      <w:pPr>
        <w:pStyle w:val="SingleTxtG"/>
        <w:rPr>
          <w:lang w:val="fr-CH"/>
        </w:rPr>
      </w:pPr>
      <w:r>
        <w:rPr>
          <w:lang w:val="fr-FR"/>
        </w:rPr>
        <w:t>31</w:t>
      </w:r>
      <w:r w:rsidR="005F176C">
        <w:rPr>
          <w:lang w:val="fr-FR"/>
        </w:rPr>
        <w:t>.</w:t>
      </w:r>
      <w:r w:rsidR="0039163E" w:rsidRPr="0039163E">
        <w:rPr>
          <w:color w:val="222222"/>
          <w:lang w:val="fr-FR"/>
        </w:rPr>
        <w:t xml:space="preserve"> </w:t>
      </w:r>
      <w:r w:rsidR="0008569E">
        <w:rPr>
          <w:color w:val="222222"/>
          <w:lang w:val="fr-FR"/>
        </w:rPr>
        <w:tab/>
      </w:r>
      <w:r w:rsidR="0039163E" w:rsidRPr="0039163E">
        <w:rPr>
          <w:b/>
          <w:color w:val="222222"/>
          <w:lang w:val="fr-FR"/>
        </w:rPr>
        <w:t>A pris note</w:t>
      </w:r>
      <w:r w:rsidR="0039163E">
        <w:rPr>
          <w:color w:val="222222"/>
          <w:lang w:val="fr-FR"/>
        </w:rPr>
        <w:t xml:space="preserve"> de la présentation </w:t>
      </w:r>
      <w:r w:rsidR="005F176C">
        <w:rPr>
          <w:color w:val="222222"/>
          <w:lang w:val="fr-FR"/>
        </w:rPr>
        <w:t>d</w:t>
      </w:r>
      <w:r w:rsidR="0039163E">
        <w:rPr>
          <w:color w:val="222222"/>
          <w:lang w:val="fr-FR"/>
        </w:rPr>
        <w:t>es objectifs de sécurité routière (</w:t>
      </w:r>
      <w:r w:rsidR="005F176C">
        <w:rPr>
          <w:color w:val="222222"/>
          <w:lang w:val="fr-FR"/>
        </w:rPr>
        <w:t xml:space="preserve">sous  différents </w:t>
      </w:r>
      <w:r w:rsidR="0039163E">
        <w:rPr>
          <w:color w:val="222222"/>
          <w:lang w:val="fr-FR"/>
        </w:rPr>
        <w:t>point</w:t>
      </w:r>
      <w:r w:rsidR="005F176C">
        <w:rPr>
          <w:color w:val="222222"/>
          <w:lang w:val="fr-FR"/>
        </w:rPr>
        <w:t>s</w:t>
      </w:r>
      <w:r w:rsidR="0039163E">
        <w:rPr>
          <w:color w:val="222222"/>
          <w:lang w:val="fr-FR"/>
        </w:rPr>
        <w:t xml:space="preserve"> de l'ordre du jour) </w:t>
      </w:r>
      <w:r w:rsidR="005F176C">
        <w:rPr>
          <w:color w:val="222222"/>
          <w:lang w:val="fr-FR"/>
        </w:rPr>
        <w:t xml:space="preserve">qui devraient être suivis au niveau mondial par </w:t>
      </w:r>
      <w:r w:rsidR="007E5BA3">
        <w:rPr>
          <w:color w:val="222222"/>
          <w:lang w:val="fr-FR"/>
        </w:rPr>
        <w:t xml:space="preserve">le Département des affaires économiques et sociales des Nations Unies </w:t>
      </w:r>
      <w:r w:rsidR="002066A6">
        <w:rPr>
          <w:color w:val="222222"/>
          <w:lang w:val="fr-FR"/>
        </w:rPr>
        <w:t xml:space="preserve">en mettant </w:t>
      </w:r>
      <w:r w:rsidR="001074BD">
        <w:rPr>
          <w:color w:val="222222"/>
          <w:lang w:val="fr-FR"/>
        </w:rPr>
        <w:t>l’accent</w:t>
      </w:r>
      <w:r w:rsidR="005F176C">
        <w:rPr>
          <w:color w:val="222222"/>
          <w:lang w:val="fr-FR"/>
        </w:rPr>
        <w:t xml:space="preserve"> sur</w:t>
      </w:r>
      <w:r w:rsidR="005F176C" w:rsidRPr="005F176C">
        <w:rPr>
          <w:lang w:val="fr-FR"/>
        </w:rPr>
        <w:t xml:space="preserve"> </w:t>
      </w:r>
      <w:r w:rsidR="001074BD">
        <w:rPr>
          <w:lang w:val="fr-FR"/>
        </w:rPr>
        <w:t xml:space="preserve">les </w:t>
      </w:r>
      <w:r w:rsidR="005F176C">
        <w:rPr>
          <w:lang w:val="fr-FR"/>
        </w:rPr>
        <w:t>objectifs de développement durable</w:t>
      </w:r>
      <w:r w:rsidR="005F176C">
        <w:rPr>
          <w:color w:val="222222"/>
          <w:lang w:val="fr-FR"/>
        </w:rPr>
        <w:t xml:space="preserve">, ainsi que dans le cadre mondial de suivi, mis au point par la communauté des transports, sous l’égide de la banque mondiale et de l'OMS, grâce à une collecte de données minutieuse en lien à une série de rapports sur le Statut Mondial; </w:t>
      </w:r>
      <w:r w:rsidR="005F176C" w:rsidRPr="005F176C">
        <w:rPr>
          <w:b/>
          <w:color w:val="222222"/>
          <w:lang w:val="fr-FR"/>
        </w:rPr>
        <w:t>a demandé</w:t>
      </w:r>
      <w:r w:rsidR="005F176C">
        <w:rPr>
          <w:color w:val="222222"/>
          <w:lang w:val="fr-FR"/>
        </w:rPr>
        <w:t xml:space="preserve"> au secrétariat et aux divers groupes de travail compétents, en particulier le WP.6, le WP.1 et le WP.29, de fournir des observations de fond et de poursuivre leur contribution à chacune des trois initiatives et </w:t>
      </w:r>
      <w:r w:rsidR="005F176C" w:rsidRPr="005F176C">
        <w:rPr>
          <w:b/>
          <w:color w:val="222222"/>
          <w:lang w:val="fr-FR"/>
        </w:rPr>
        <w:t>a souligné</w:t>
      </w:r>
      <w:r w:rsidR="005F176C">
        <w:rPr>
          <w:color w:val="222222"/>
          <w:lang w:val="fr-FR"/>
        </w:rPr>
        <w:t xml:space="preserve"> en particulier </w:t>
      </w:r>
      <w:r w:rsidR="00240078">
        <w:rPr>
          <w:color w:val="222222"/>
          <w:lang w:val="fr-FR"/>
        </w:rPr>
        <w:t>l’importance de mettre l'accent sur les objectifs d'adhésion et l'application efficace des instruments juridiques des Nations Unies relatifs à la sécurité routière administrés par le Comité;</w:t>
      </w:r>
      <w:r w:rsidR="00240078" w:rsidRPr="00240078">
        <w:rPr>
          <w:color w:val="222222"/>
          <w:lang w:val="fr-FR"/>
        </w:rPr>
        <w:t xml:space="preserve"> </w:t>
      </w:r>
    </w:p>
    <w:p w:rsidR="00240078" w:rsidRDefault="00240078" w:rsidP="00CD3EC3">
      <w:pPr>
        <w:pStyle w:val="SingleTxtG"/>
        <w:rPr>
          <w:lang w:val="fr-CH"/>
        </w:rPr>
      </w:pPr>
      <w:r>
        <w:rPr>
          <w:lang w:val="fr-FR"/>
        </w:rPr>
        <w:t>3</w:t>
      </w:r>
      <w:r w:rsidR="002066A6">
        <w:rPr>
          <w:lang w:val="fr-FR"/>
        </w:rPr>
        <w:t>2</w:t>
      </w:r>
      <w:r w:rsidR="0039163E">
        <w:rPr>
          <w:lang w:val="fr-FR"/>
        </w:rPr>
        <w:t>.</w:t>
      </w:r>
      <w:r w:rsidR="0039163E">
        <w:rPr>
          <w:lang w:val="fr-FR"/>
        </w:rPr>
        <w:tab/>
      </w:r>
      <w:r w:rsidR="00CD3EC3">
        <w:rPr>
          <w:b/>
          <w:lang w:val="fr-FR"/>
        </w:rPr>
        <w:t>Notant</w:t>
      </w:r>
      <w:r w:rsidR="0039163E">
        <w:rPr>
          <w:lang w:val="fr-FR"/>
        </w:rPr>
        <w:t xml:space="preserve"> que le nombre de Parties contractantes au Protocole </w:t>
      </w:r>
      <w:r w:rsidR="00CD3EC3">
        <w:rPr>
          <w:lang w:val="fr-FR"/>
        </w:rPr>
        <w:t xml:space="preserve">additionnel </w:t>
      </w:r>
      <w:r w:rsidR="0039163E">
        <w:rPr>
          <w:lang w:val="fr-FR"/>
        </w:rPr>
        <w:t>à la Convention relatif à la lettre de voiture électronique (e-CMR) n’est que de 1</w:t>
      </w:r>
      <w:r>
        <w:rPr>
          <w:lang w:val="fr-FR"/>
        </w:rPr>
        <w:t>1</w:t>
      </w:r>
      <w:r w:rsidR="0039163E">
        <w:rPr>
          <w:lang w:val="fr-FR"/>
        </w:rPr>
        <w:t xml:space="preserve">, </w:t>
      </w:r>
      <w:r w:rsidR="0039163E" w:rsidRPr="0039163E">
        <w:rPr>
          <w:b/>
          <w:lang w:val="fr-FR"/>
        </w:rPr>
        <w:t>a encouragé</w:t>
      </w:r>
      <w:r w:rsidR="0039163E">
        <w:rPr>
          <w:lang w:val="fr-FR"/>
        </w:rPr>
        <w:t xml:space="preserve"> </w:t>
      </w:r>
      <w:r w:rsidR="00EC642A">
        <w:rPr>
          <w:lang w:val="fr-FR"/>
        </w:rPr>
        <w:t xml:space="preserve">d’autres Etats à accéder au Protocole </w:t>
      </w:r>
      <w:r w:rsidR="00CD3EC3">
        <w:rPr>
          <w:lang w:val="fr-FR"/>
        </w:rPr>
        <w:t>additionnel</w:t>
      </w:r>
      <w:r w:rsidR="002066A6">
        <w:rPr>
          <w:lang w:val="fr-FR"/>
        </w:rPr>
        <w:t xml:space="preserve">, suite à la résolution ministérielle, </w:t>
      </w:r>
      <w:r w:rsidR="00EC642A">
        <w:rPr>
          <w:lang w:val="fr-FR"/>
        </w:rPr>
        <w:t xml:space="preserve">et </w:t>
      </w:r>
      <w:r w:rsidR="00EC642A" w:rsidRPr="000F712E">
        <w:rPr>
          <w:b/>
          <w:lang w:val="fr-FR"/>
        </w:rPr>
        <w:t>a prié</w:t>
      </w:r>
      <w:r w:rsidR="00EC642A">
        <w:rPr>
          <w:lang w:val="fr-FR"/>
        </w:rPr>
        <w:t xml:space="preserve"> </w:t>
      </w:r>
      <w:r w:rsidR="0039163E">
        <w:rPr>
          <w:lang w:val="fr-FR"/>
        </w:rPr>
        <w:t>les Parties contractantes</w:t>
      </w:r>
      <w:r>
        <w:rPr>
          <w:lang w:val="fr-FR"/>
        </w:rPr>
        <w:t xml:space="preserve"> actuelles</w:t>
      </w:r>
      <w:r w:rsidR="0039163E">
        <w:rPr>
          <w:lang w:val="fr-FR"/>
        </w:rPr>
        <w:t xml:space="preserve"> </w:t>
      </w:r>
      <w:r w:rsidR="002066A6">
        <w:rPr>
          <w:lang w:val="fr-FR"/>
        </w:rPr>
        <w:t>de</w:t>
      </w:r>
      <w:r w:rsidR="0039163E">
        <w:rPr>
          <w:lang w:val="fr-FR"/>
        </w:rPr>
        <w:t xml:space="preserve"> lancer les travaux afin de rendre opérationnel le Protocole e-CMR (conformément à l’article 5</w:t>
      </w:r>
      <w:r>
        <w:rPr>
          <w:lang w:val="fr-FR"/>
        </w:rPr>
        <w:t xml:space="preserve"> de la Convention CMR</w:t>
      </w:r>
      <w:r w:rsidR="0039163E">
        <w:rPr>
          <w:lang w:val="fr-FR"/>
        </w:rPr>
        <w:t>)</w:t>
      </w:r>
      <w:r w:rsidR="002066A6">
        <w:rPr>
          <w:lang w:val="fr-CH"/>
        </w:rPr>
        <w:t xml:space="preserve"> et de partager leurs expérience sur les projets pilotes;</w:t>
      </w:r>
    </w:p>
    <w:p w:rsidR="00EC642A" w:rsidRDefault="002066A6" w:rsidP="00EC642A">
      <w:pPr>
        <w:pStyle w:val="SingleTxtG"/>
        <w:rPr>
          <w:lang w:val="fr-CH"/>
        </w:rPr>
      </w:pPr>
      <w:r>
        <w:rPr>
          <w:lang w:val="fr-FR"/>
        </w:rPr>
        <w:t>33</w:t>
      </w:r>
      <w:r w:rsidR="00EC642A">
        <w:rPr>
          <w:lang w:val="fr-FR"/>
        </w:rPr>
        <w:t>.</w:t>
      </w:r>
      <w:r w:rsidR="00EC642A">
        <w:rPr>
          <w:lang w:val="fr-FR"/>
        </w:rPr>
        <w:tab/>
      </w:r>
      <w:r w:rsidR="00EC642A" w:rsidRPr="00EC642A">
        <w:rPr>
          <w:b/>
          <w:lang w:val="fr-FR"/>
        </w:rPr>
        <w:t>A approuvé</w:t>
      </w:r>
      <w:r w:rsidR="00EC642A">
        <w:rPr>
          <w:lang w:val="fr-FR"/>
        </w:rPr>
        <w:t xml:space="preserve"> la résolution spéciale (ECE/TRANS/2017/16) élaborée et adoptée par le SC.1 (ECE/TRANS/SC.1/406, annexe III) à l’invitation du CTI en 2016 (ECE/TRANS/254, par .147), et </w:t>
      </w:r>
      <w:r w:rsidR="00EC642A" w:rsidRPr="00240078">
        <w:rPr>
          <w:b/>
          <w:lang w:val="fr-FR"/>
        </w:rPr>
        <w:t>a souhaité qu’elle soit présentée</w:t>
      </w:r>
      <w:r w:rsidR="00EC642A">
        <w:rPr>
          <w:lang w:val="fr-FR"/>
        </w:rPr>
        <w:t xml:space="preserve"> à la session d’avril 2017 de la Commission</w:t>
      </w:r>
      <w:r>
        <w:rPr>
          <w:lang w:val="fr-CH"/>
        </w:rPr>
        <w:t>;</w:t>
      </w:r>
    </w:p>
    <w:p w:rsidR="002066A6" w:rsidRDefault="002066A6" w:rsidP="00EC642A">
      <w:pPr>
        <w:pStyle w:val="SingleTxtG"/>
        <w:rPr>
          <w:lang w:val="fr-FR"/>
        </w:rPr>
      </w:pPr>
      <w:r>
        <w:rPr>
          <w:lang w:val="fr-FR"/>
        </w:rPr>
        <w:t>34.</w:t>
      </w:r>
      <w:r>
        <w:rPr>
          <w:lang w:val="fr-FR"/>
        </w:rPr>
        <w:tab/>
      </w:r>
      <w:r w:rsidRPr="002066A6">
        <w:rPr>
          <w:b/>
          <w:lang w:val="fr-FR"/>
        </w:rPr>
        <w:t>A approuvé</w:t>
      </w:r>
      <w:r>
        <w:rPr>
          <w:lang w:val="fr-FR"/>
        </w:rPr>
        <w:t xml:space="preserve"> la prolongation du mandat du Groupe d’experts de l’Accord européen relatif au travail des équipages des véhicules effectuant des transports internationaux par route (AETR)  jusqu’au 30 juin 2019</w:t>
      </w:r>
      <w:r w:rsidR="001E757B">
        <w:rPr>
          <w:lang w:val="fr-FR"/>
        </w:rPr>
        <w:t> ;</w:t>
      </w:r>
    </w:p>
    <w:p w:rsidR="002066A6" w:rsidRPr="002066A6" w:rsidRDefault="002066A6" w:rsidP="007F1D3C">
      <w:pPr>
        <w:pStyle w:val="SingleTxtG"/>
        <w:rPr>
          <w:lang w:val="fr-CH"/>
        </w:rPr>
      </w:pPr>
      <w:r w:rsidRPr="002066A6">
        <w:rPr>
          <w:lang w:val="fr-CH"/>
        </w:rPr>
        <w:t>35.</w:t>
      </w:r>
      <w:r w:rsidRPr="002066A6">
        <w:rPr>
          <w:lang w:val="fr-CH"/>
        </w:rPr>
        <w:tab/>
      </w:r>
      <w:r w:rsidRPr="000F712E">
        <w:rPr>
          <w:b/>
          <w:lang w:val="fr-CH"/>
        </w:rPr>
        <w:t xml:space="preserve">A </w:t>
      </w:r>
      <w:r w:rsidR="007F1D3C">
        <w:rPr>
          <w:b/>
          <w:lang w:val="fr-CH"/>
        </w:rPr>
        <w:t>exhorté</w:t>
      </w:r>
      <w:r w:rsidR="00F17FB2">
        <w:rPr>
          <w:lang w:val="fr-CH"/>
        </w:rPr>
        <w:t xml:space="preserve"> </w:t>
      </w:r>
      <w:r w:rsidRPr="002066A6">
        <w:rPr>
          <w:lang w:val="fr-CH"/>
        </w:rPr>
        <w:t xml:space="preserve">tous les gouvernements concernés </w:t>
      </w:r>
      <w:r>
        <w:rPr>
          <w:lang w:val="fr-CH"/>
        </w:rPr>
        <w:t xml:space="preserve">de parvenir </w:t>
      </w:r>
      <w:r w:rsidR="009B43BF">
        <w:rPr>
          <w:lang w:val="fr-CH"/>
        </w:rPr>
        <w:t xml:space="preserve">rapidement </w:t>
      </w:r>
      <w:r>
        <w:rPr>
          <w:lang w:val="fr-CH"/>
        </w:rPr>
        <w:t xml:space="preserve">à </w:t>
      </w:r>
      <w:r w:rsidR="009B43BF">
        <w:rPr>
          <w:lang w:val="fr-CH"/>
        </w:rPr>
        <w:t xml:space="preserve">l’élaboration </w:t>
      </w:r>
      <w:r w:rsidR="00F17FB2">
        <w:rPr>
          <w:lang w:val="fr-CH"/>
        </w:rPr>
        <w:t xml:space="preserve">d’une résolution mutuellement bénéfique sur tous les problèmes en suspens relatives à </w:t>
      </w:r>
      <w:r w:rsidR="00F17FB2">
        <w:rPr>
          <w:color w:val="222222"/>
          <w:lang w:val="fr-FR"/>
        </w:rPr>
        <w:t xml:space="preserve">l'AETR et au projet d'accord </w:t>
      </w:r>
      <w:r w:rsidR="00F17FB2" w:rsidRPr="007E72AD">
        <w:rPr>
          <w:lang w:val="fr-FR"/>
        </w:rPr>
        <w:t>multilatéral mondial sur le transport régulier international de voyageurs par autobus et autocar (OmniBus)</w:t>
      </w:r>
      <w:r w:rsidR="00F17FB2">
        <w:rPr>
          <w:lang w:val="fr-FR"/>
        </w:rPr>
        <w:t>;</w:t>
      </w:r>
    </w:p>
    <w:p w:rsidR="000F712E" w:rsidRDefault="00554A72" w:rsidP="00554A72">
      <w:pPr>
        <w:pStyle w:val="SingleTxtG"/>
        <w:rPr>
          <w:lang w:val="fr-FR"/>
        </w:rPr>
      </w:pPr>
      <w:r>
        <w:rPr>
          <w:lang w:val="fr-FR"/>
        </w:rPr>
        <w:t>3</w:t>
      </w:r>
      <w:r w:rsidR="00F17FB2">
        <w:rPr>
          <w:lang w:val="fr-FR"/>
        </w:rPr>
        <w:t>6</w:t>
      </w:r>
      <w:r w:rsidR="00EC642A">
        <w:rPr>
          <w:lang w:val="fr-FR"/>
        </w:rPr>
        <w:t>.</w:t>
      </w:r>
      <w:r w:rsidR="00EC642A">
        <w:rPr>
          <w:lang w:val="fr-FR"/>
        </w:rPr>
        <w:tab/>
      </w:r>
      <w:r w:rsidR="00EC642A" w:rsidRPr="000F712E">
        <w:rPr>
          <w:b/>
          <w:lang w:val="fr-FR"/>
        </w:rPr>
        <w:t>A été</w:t>
      </w:r>
      <w:r w:rsidR="00EC642A">
        <w:rPr>
          <w:lang w:val="fr-FR"/>
        </w:rPr>
        <w:t xml:space="preserve"> </w:t>
      </w:r>
      <w:r w:rsidR="00EC642A">
        <w:rPr>
          <w:b/>
          <w:lang w:val="fr-FR"/>
        </w:rPr>
        <w:t>informé</w:t>
      </w:r>
      <w:r w:rsidR="00EC642A">
        <w:rPr>
          <w:lang w:val="fr-FR"/>
        </w:rPr>
        <w:t xml:space="preserve"> des résultats du Groupe de travail des transports par chemin de fer (SC.2)</w:t>
      </w:r>
      <w:r w:rsidR="00E82F45">
        <w:rPr>
          <w:lang w:val="fr-FR"/>
        </w:rPr>
        <w:t>, parmi lesquels le développement d’un observatoire international de la sûreté des chemins de fer; le plan d’action pour l</w:t>
      </w:r>
      <w:r w:rsidR="00240078">
        <w:rPr>
          <w:lang w:val="fr-FR"/>
        </w:rPr>
        <w:t xml:space="preserve">a mise en </w:t>
      </w:r>
      <w:r w:rsidR="00CD3EC3">
        <w:rPr>
          <w:lang w:val="fr-FR"/>
        </w:rPr>
        <w:t>œuvre</w:t>
      </w:r>
      <w:r w:rsidR="00E82F45">
        <w:rPr>
          <w:lang w:val="fr-FR"/>
        </w:rPr>
        <w:t xml:space="preserve"> de  l’annexe 9 de la Convention internationale sur l’harmonisation des contrôles des marchandises aux frontières</w:t>
      </w:r>
      <w:r w:rsidR="00240078">
        <w:rPr>
          <w:lang w:val="fr-FR"/>
        </w:rPr>
        <w:t>,</w:t>
      </w:r>
      <w:r w:rsidR="00E82F45">
        <w:rPr>
          <w:lang w:val="fr-FR"/>
        </w:rPr>
        <w:t xml:space="preserve"> et la feuille de route en vue de la finalisation de la nouvelle convention relative à la facilitation du franchissement des frontières pour les voyageurs et les bagages transportés par chemin de fer ; </w:t>
      </w:r>
      <w:r w:rsidR="000F712E">
        <w:rPr>
          <w:b/>
          <w:lang w:val="fr-FR"/>
        </w:rPr>
        <w:t>a</w:t>
      </w:r>
      <w:r w:rsidR="00E82F45" w:rsidRPr="00E82F45">
        <w:rPr>
          <w:b/>
          <w:lang w:val="fr-FR"/>
        </w:rPr>
        <w:t xml:space="preserve"> donné les orientations</w:t>
      </w:r>
      <w:r w:rsidR="00E82F45">
        <w:rPr>
          <w:lang w:val="fr-FR"/>
        </w:rPr>
        <w:t xml:space="preserve"> suivantes quant à </w:t>
      </w:r>
      <w:r w:rsidR="00F17FB2">
        <w:rPr>
          <w:lang w:val="fr-FR"/>
        </w:rPr>
        <w:t>la feuille de route</w:t>
      </w:r>
      <w:r w:rsidR="00E82F45">
        <w:rPr>
          <w:lang w:val="fr-FR"/>
        </w:rPr>
        <w:t> :</w:t>
      </w:r>
      <w:r w:rsidR="00EC642A">
        <w:rPr>
          <w:lang w:val="fr-FR"/>
        </w:rPr>
        <w:t xml:space="preserve"> </w:t>
      </w:r>
      <w:r w:rsidR="00E82F45">
        <w:rPr>
          <w:lang w:val="fr-FR"/>
        </w:rPr>
        <w:t xml:space="preserve">suite à un examen approfondi du projet par le WP.30 lors de sa </w:t>
      </w:r>
      <w:r w:rsidR="001E757B">
        <w:rPr>
          <w:lang w:val="fr-FR"/>
        </w:rPr>
        <w:t>quarante-cinquième</w:t>
      </w:r>
      <w:r w:rsidR="00E82F45">
        <w:rPr>
          <w:lang w:val="fr-FR"/>
        </w:rPr>
        <w:t xml:space="preserve"> session (</w:t>
      </w:r>
      <w:r w:rsidR="001E757B">
        <w:rPr>
          <w:lang w:val="fr-FR"/>
        </w:rPr>
        <w:t>f</w:t>
      </w:r>
      <w:r w:rsidR="00E82F45">
        <w:rPr>
          <w:lang w:val="fr-FR"/>
        </w:rPr>
        <w:t xml:space="preserve">évrier 2017); a) en mars 2017, le secrétariat </w:t>
      </w:r>
      <w:r w:rsidR="00E82F45" w:rsidRPr="00603ED3">
        <w:rPr>
          <w:b/>
          <w:lang w:val="fr-FR"/>
        </w:rPr>
        <w:t>transmettra</w:t>
      </w:r>
      <w:r w:rsidR="00E82F45">
        <w:rPr>
          <w:lang w:val="fr-FR"/>
        </w:rPr>
        <w:t xml:space="preserve"> le projet </w:t>
      </w:r>
      <w:r w:rsidR="00CD3EC3">
        <w:rPr>
          <w:lang w:val="fr-FR"/>
        </w:rPr>
        <w:t>révisé</w:t>
      </w:r>
      <w:r w:rsidR="00E82F45">
        <w:rPr>
          <w:lang w:val="fr-FR"/>
        </w:rPr>
        <w:t xml:space="preserve"> au WP.30 et à la section des Traités du Service Juridique pour examen approfondi</w:t>
      </w:r>
      <w:r w:rsidR="001E757B">
        <w:rPr>
          <w:lang w:val="fr-FR"/>
        </w:rPr>
        <w:t> ;</w:t>
      </w:r>
      <w:r w:rsidR="00936E48">
        <w:rPr>
          <w:lang w:val="fr-FR"/>
        </w:rPr>
        <w:t xml:space="preserve"> b) le WP.30 </w:t>
      </w:r>
      <w:r w:rsidR="00603ED3" w:rsidRPr="00603ED3">
        <w:rPr>
          <w:b/>
          <w:lang w:val="fr-FR"/>
        </w:rPr>
        <w:t xml:space="preserve">devra </w:t>
      </w:r>
      <w:r w:rsidR="00936E48" w:rsidRPr="00603ED3">
        <w:rPr>
          <w:b/>
          <w:lang w:val="fr-FR"/>
        </w:rPr>
        <w:t>finaliser</w:t>
      </w:r>
      <w:r w:rsidR="00603ED3" w:rsidRPr="00603ED3">
        <w:rPr>
          <w:b/>
          <w:lang w:val="fr-FR"/>
        </w:rPr>
        <w:t xml:space="preserve"> ses commentaires</w:t>
      </w:r>
      <w:r w:rsidR="00603ED3">
        <w:rPr>
          <w:lang w:val="fr-FR"/>
        </w:rPr>
        <w:t xml:space="preserve"> sur le projet</w:t>
      </w:r>
      <w:r w:rsidR="00936E48">
        <w:rPr>
          <w:lang w:val="fr-FR"/>
        </w:rPr>
        <w:t xml:space="preserve"> pour juin 2017; c) le secrétariat </w:t>
      </w:r>
      <w:r w:rsidR="00936E48" w:rsidRPr="00603ED3">
        <w:rPr>
          <w:b/>
          <w:lang w:val="fr-FR"/>
        </w:rPr>
        <w:t>transmettra</w:t>
      </w:r>
      <w:r w:rsidR="00936E48">
        <w:rPr>
          <w:lang w:val="fr-FR"/>
        </w:rPr>
        <w:t xml:space="preserve"> le texte final au WP.30 et au SC.2 en juillet 2017; d) </w:t>
      </w:r>
      <w:r w:rsidR="00603ED3">
        <w:rPr>
          <w:lang w:val="fr-FR"/>
        </w:rPr>
        <w:t xml:space="preserve">afin que </w:t>
      </w:r>
      <w:r w:rsidR="00936E48">
        <w:rPr>
          <w:lang w:val="fr-FR"/>
        </w:rPr>
        <w:t xml:space="preserve">le WP.30 </w:t>
      </w:r>
      <w:r w:rsidR="00603ED3" w:rsidRPr="00603ED3">
        <w:rPr>
          <w:b/>
          <w:lang w:val="fr-FR"/>
        </w:rPr>
        <w:t xml:space="preserve">puisse </w:t>
      </w:r>
      <w:r w:rsidR="00936E48" w:rsidRPr="00603ED3">
        <w:rPr>
          <w:b/>
          <w:lang w:val="fr-FR"/>
        </w:rPr>
        <w:t>adopter</w:t>
      </w:r>
      <w:r w:rsidR="00936E48">
        <w:rPr>
          <w:lang w:val="fr-FR"/>
        </w:rPr>
        <w:t xml:space="preserve"> le texte final lors de sa cent-quarante-septième session en </w:t>
      </w:r>
      <w:r w:rsidR="001E757B">
        <w:rPr>
          <w:lang w:val="fr-FR"/>
        </w:rPr>
        <w:t>o</w:t>
      </w:r>
      <w:r w:rsidR="00936E48">
        <w:rPr>
          <w:lang w:val="fr-FR"/>
        </w:rPr>
        <w:t xml:space="preserve">ctobre 2017; e) </w:t>
      </w:r>
      <w:r w:rsidR="00603ED3">
        <w:rPr>
          <w:lang w:val="fr-FR"/>
        </w:rPr>
        <w:t xml:space="preserve">et </w:t>
      </w:r>
      <w:r w:rsidR="00936E48">
        <w:rPr>
          <w:lang w:val="fr-FR"/>
        </w:rPr>
        <w:t xml:space="preserve">le SC.2 lors de sa soixante-dixième session en </w:t>
      </w:r>
      <w:r w:rsidR="00603ED3">
        <w:rPr>
          <w:lang w:val="fr-FR"/>
        </w:rPr>
        <w:t>n</w:t>
      </w:r>
      <w:r w:rsidR="00936E48">
        <w:rPr>
          <w:lang w:val="fr-FR"/>
        </w:rPr>
        <w:t>ovembre</w:t>
      </w:r>
      <w:r w:rsidR="00603ED3">
        <w:rPr>
          <w:lang w:val="fr-FR"/>
        </w:rPr>
        <w:t xml:space="preserve"> 2017; et g) le</w:t>
      </w:r>
      <w:r w:rsidR="001E757B">
        <w:rPr>
          <w:lang w:val="fr-FR"/>
        </w:rPr>
        <w:t xml:space="preserve"> </w:t>
      </w:r>
      <w:r w:rsidR="00603ED3">
        <w:rPr>
          <w:lang w:val="fr-FR"/>
        </w:rPr>
        <w:t xml:space="preserve">Comité </w:t>
      </w:r>
      <w:r w:rsidR="00603ED3" w:rsidRPr="00F760A0">
        <w:rPr>
          <w:b/>
          <w:bCs/>
          <w:lang w:val="fr-FR"/>
        </w:rPr>
        <w:t>pourra envisager</w:t>
      </w:r>
      <w:r w:rsidR="00603ED3">
        <w:rPr>
          <w:lang w:val="fr-FR"/>
        </w:rPr>
        <w:t xml:space="preserve"> </w:t>
      </w:r>
      <w:r w:rsidR="00603ED3" w:rsidRPr="00F760A0">
        <w:rPr>
          <w:b/>
          <w:bCs/>
          <w:lang w:val="fr-FR"/>
        </w:rPr>
        <w:t>d’approuver</w:t>
      </w:r>
      <w:r w:rsidR="00603ED3">
        <w:rPr>
          <w:lang w:val="fr-FR"/>
        </w:rPr>
        <w:t xml:space="preserve"> le texte final lors de sa </w:t>
      </w:r>
      <w:r w:rsidR="00F760A0">
        <w:rPr>
          <w:lang w:val="fr-FR"/>
        </w:rPr>
        <w:t xml:space="preserve">quatre-vingtième </w:t>
      </w:r>
      <w:r w:rsidR="00603ED3">
        <w:rPr>
          <w:lang w:val="fr-FR"/>
        </w:rPr>
        <w:t>session (février 2018)</w:t>
      </w:r>
      <w:r w:rsidR="00F17FB2">
        <w:rPr>
          <w:lang w:val="fr-CH"/>
        </w:rPr>
        <w:t>;</w:t>
      </w:r>
    </w:p>
    <w:p w:rsidR="00554A72" w:rsidRDefault="00554A72" w:rsidP="00554A72">
      <w:pPr>
        <w:pStyle w:val="SingleTxtG"/>
        <w:rPr>
          <w:lang w:val="fr-CH"/>
        </w:rPr>
      </w:pPr>
      <w:r>
        <w:rPr>
          <w:lang w:val="fr-FR"/>
        </w:rPr>
        <w:t>3</w:t>
      </w:r>
      <w:r w:rsidR="00F17FB2">
        <w:rPr>
          <w:lang w:val="fr-FR"/>
        </w:rPr>
        <w:t>7</w:t>
      </w:r>
      <w:r>
        <w:rPr>
          <w:lang w:val="fr-FR"/>
        </w:rPr>
        <w:t>.</w:t>
      </w:r>
      <w:r>
        <w:rPr>
          <w:lang w:val="fr-FR"/>
        </w:rPr>
        <w:tab/>
        <w:t xml:space="preserve">A </w:t>
      </w:r>
      <w:r>
        <w:rPr>
          <w:b/>
          <w:lang w:val="fr-FR"/>
        </w:rPr>
        <w:t>approuvé</w:t>
      </w:r>
      <w:r>
        <w:rPr>
          <w:lang w:val="fr-FR"/>
        </w:rPr>
        <w:t xml:space="preserve"> la demande du SC.2 de proroger le mandat du Groupe d’experts pour l’uniformisation du droit ferroviaire</w:t>
      </w:r>
      <w:r w:rsidR="00F6505C">
        <w:rPr>
          <w:lang w:val="fr-FR"/>
        </w:rPr>
        <w:t>,</w:t>
      </w:r>
      <w:r>
        <w:rPr>
          <w:lang w:val="fr-FR"/>
        </w:rPr>
        <w:t xml:space="preserve"> sur la base du même mandat (ECE/TRANS/2016/18)</w:t>
      </w:r>
      <w:r w:rsidR="00F6505C">
        <w:rPr>
          <w:lang w:val="fr-FR"/>
        </w:rPr>
        <w:t>,</w:t>
      </w:r>
      <w:r>
        <w:rPr>
          <w:lang w:val="fr-FR"/>
        </w:rPr>
        <w:t xml:space="preserve"> pour une année supplémentaire</w:t>
      </w:r>
      <w:r w:rsidR="00F17FB2">
        <w:rPr>
          <w:lang w:val="fr-FR"/>
        </w:rPr>
        <w:t>;</w:t>
      </w:r>
    </w:p>
    <w:p w:rsidR="00AD2F75" w:rsidRDefault="00AD2F75" w:rsidP="00F6505C">
      <w:pPr>
        <w:pStyle w:val="SingleTxtG"/>
        <w:rPr>
          <w:lang w:val="fr-FR"/>
        </w:rPr>
      </w:pPr>
      <w:r>
        <w:rPr>
          <w:lang w:val="fr-FR"/>
        </w:rPr>
        <w:lastRenderedPageBreak/>
        <w:t>3</w:t>
      </w:r>
      <w:r w:rsidR="00F17FB2">
        <w:rPr>
          <w:lang w:val="fr-FR"/>
        </w:rPr>
        <w:t>8</w:t>
      </w:r>
      <w:r>
        <w:rPr>
          <w:lang w:val="fr-FR"/>
        </w:rPr>
        <w:t>.</w:t>
      </w:r>
      <w:r>
        <w:rPr>
          <w:lang w:val="fr-FR"/>
        </w:rPr>
        <w:tab/>
        <w:t xml:space="preserve">A </w:t>
      </w:r>
      <w:r w:rsidRPr="00FB3DA3">
        <w:rPr>
          <w:b/>
          <w:bCs/>
          <w:lang w:val="fr-FR"/>
        </w:rPr>
        <w:t>adopté</w:t>
      </w:r>
      <w:r w:rsidR="00611C0E">
        <w:rPr>
          <w:b/>
          <w:bCs/>
          <w:lang w:val="fr-FR"/>
        </w:rPr>
        <w:t xml:space="preserve">, telle </w:t>
      </w:r>
      <w:r w:rsidR="00F6505C">
        <w:rPr>
          <w:b/>
          <w:bCs/>
          <w:lang w:val="fr-FR"/>
        </w:rPr>
        <w:t>que modifiée</w:t>
      </w:r>
      <w:r w:rsidR="000F712E">
        <w:rPr>
          <w:b/>
          <w:bCs/>
          <w:lang w:val="fr-FR"/>
        </w:rPr>
        <w:t>,</w:t>
      </w:r>
      <w:r w:rsidR="001E757B">
        <w:rPr>
          <w:b/>
          <w:bCs/>
          <w:lang w:val="fr-FR"/>
        </w:rPr>
        <w:t xml:space="preserve"> </w:t>
      </w:r>
      <w:r>
        <w:rPr>
          <w:lang w:val="fr-FR"/>
        </w:rPr>
        <w:t xml:space="preserve">la résolution  sur le transport international de passagers par chemin de fer sur les axes Est-Ouest et a </w:t>
      </w:r>
      <w:r w:rsidRPr="00FB3DA3">
        <w:rPr>
          <w:b/>
          <w:bCs/>
          <w:lang w:val="fr-FR"/>
        </w:rPr>
        <w:t>souhaité</w:t>
      </w:r>
      <w:r>
        <w:rPr>
          <w:lang w:val="fr-FR"/>
        </w:rPr>
        <w:t xml:space="preserve"> qu’elle soit présentée à la soixante-</w:t>
      </w:r>
      <w:r w:rsidR="000F712E">
        <w:rPr>
          <w:lang w:val="fr-FR"/>
        </w:rPr>
        <w:t>septième</w:t>
      </w:r>
      <w:r>
        <w:rPr>
          <w:lang w:val="fr-FR"/>
        </w:rPr>
        <w:t xml:space="preserve"> session de la Commission en avril 2017; </w:t>
      </w:r>
      <w:r w:rsidRPr="00435F1A">
        <w:rPr>
          <w:b/>
          <w:lang w:val="fr-FR"/>
        </w:rPr>
        <w:t>a demandé</w:t>
      </w:r>
      <w:r>
        <w:rPr>
          <w:b/>
          <w:lang w:val="fr-FR"/>
        </w:rPr>
        <w:t xml:space="preserve"> au SC.2 </w:t>
      </w:r>
      <w:r>
        <w:rPr>
          <w:color w:val="222222"/>
          <w:lang w:val="fr-FR"/>
        </w:rPr>
        <w:t>que le sujet du trafic ferroviaire international de voyageurs, en particulier sur la route Est-Ouest</w:t>
      </w:r>
      <w:r w:rsidR="00F6505C">
        <w:rPr>
          <w:color w:val="222222"/>
          <w:lang w:val="fr-FR"/>
        </w:rPr>
        <w:t>,</w:t>
      </w:r>
      <w:r>
        <w:rPr>
          <w:color w:val="222222"/>
          <w:lang w:val="fr-FR"/>
        </w:rPr>
        <w:t xml:space="preserve"> soit régulièrement à son ordre du jour</w:t>
      </w:r>
      <w:r w:rsidR="00611C0E">
        <w:rPr>
          <w:lang w:val="fr-CH"/>
        </w:rPr>
        <w:t>;</w:t>
      </w:r>
    </w:p>
    <w:p w:rsidR="00AD2F75" w:rsidRDefault="00AD2F75" w:rsidP="00F6505C">
      <w:pPr>
        <w:pStyle w:val="SingleTxtG"/>
        <w:rPr>
          <w:lang w:val="fr-FR"/>
        </w:rPr>
      </w:pPr>
      <w:r>
        <w:rPr>
          <w:lang w:val="fr-FR"/>
        </w:rPr>
        <w:t>3</w:t>
      </w:r>
      <w:r w:rsidR="00611C0E">
        <w:rPr>
          <w:lang w:val="fr-FR"/>
        </w:rPr>
        <w:t>9</w:t>
      </w:r>
      <w:r>
        <w:rPr>
          <w:lang w:val="fr-FR"/>
        </w:rPr>
        <w:t>.</w:t>
      </w:r>
      <w:r>
        <w:rPr>
          <w:lang w:val="fr-FR"/>
        </w:rPr>
        <w:tab/>
      </w:r>
      <w:r w:rsidRPr="00782084">
        <w:rPr>
          <w:b/>
          <w:lang w:val="fr-FR"/>
        </w:rPr>
        <w:t>A demandé</w:t>
      </w:r>
      <w:r>
        <w:rPr>
          <w:lang w:val="fr-FR"/>
        </w:rPr>
        <w:t xml:space="preserve"> au Groupe de travail du transport intermodal et de la logistique (WP.24)</w:t>
      </w:r>
      <w:r w:rsidR="00611C0E">
        <w:rPr>
          <w:lang w:val="fr-FR"/>
        </w:rPr>
        <w:t>, comme indiqué dans la résolution ministérielle,</w:t>
      </w:r>
      <w:r>
        <w:rPr>
          <w:lang w:val="fr-FR"/>
        </w:rPr>
        <w:t xml:space="preserve"> de continuer à renforcer ses activités sur le rôle important du transport intermodal</w:t>
      </w:r>
      <w:r w:rsidR="00611C0E">
        <w:rPr>
          <w:lang w:val="fr-FR"/>
        </w:rPr>
        <w:t>,</w:t>
      </w:r>
      <w:r w:rsidR="001E757B">
        <w:rPr>
          <w:lang w:val="fr-FR"/>
        </w:rPr>
        <w:t xml:space="preserve"> </w:t>
      </w:r>
      <w:r>
        <w:rPr>
          <w:lang w:val="fr-FR"/>
        </w:rPr>
        <w:t>la logistique</w:t>
      </w:r>
      <w:r w:rsidR="00611C0E">
        <w:rPr>
          <w:lang w:val="fr-FR"/>
        </w:rPr>
        <w:t xml:space="preserve"> et l’informatisation des documents</w:t>
      </w:r>
      <w:r>
        <w:rPr>
          <w:lang w:val="fr-FR"/>
        </w:rPr>
        <w:t xml:space="preserve"> pour le transports durable, </w:t>
      </w:r>
      <w:r>
        <w:rPr>
          <w:color w:val="222222"/>
          <w:lang w:val="fr-FR"/>
        </w:rPr>
        <w:t xml:space="preserve">sur la communication des bonnes pratiques novatrices et de pointe sur le terrain </w:t>
      </w:r>
      <w:r w:rsidR="00F6505C">
        <w:rPr>
          <w:color w:val="222222"/>
          <w:lang w:val="fr-FR"/>
        </w:rPr>
        <w:t>ainsi que</w:t>
      </w:r>
      <w:r>
        <w:rPr>
          <w:color w:val="222222"/>
          <w:lang w:val="fr-FR"/>
        </w:rPr>
        <w:t xml:space="preserve"> la promotion du rôle des pays dans l'élaboration des plans directeurs nationaux pour les</w:t>
      </w:r>
      <w:r w:rsidRPr="00360056">
        <w:rPr>
          <w:lang w:val="fr-FR"/>
        </w:rPr>
        <w:t xml:space="preserve"> </w:t>
      </w:r>
      <w:r>
        <w:rPr>
          <w:lang w:val="fr-FR"/>
        </w:rPr>
        <w:t>chaînes de transport mondiales</w:t>
      </w:r>
      <w:r w:rsidR="00611C0E">
        <w:rPr>
          <w:lang w:val="fr-CH"/>
        </w:rPr>
        <w:t> </w:t>
      </w:r>
    </w:p>
    <w:p w:rsidR="00AD2F75" w:rsidRDefault="00611C0E" w:rsidP="00AD2F75">
      <w:pPr>
        <w:pStyle w:val="SingleTxtG"/>
        <w:rPr>
          <w:lang w:val="fr-CH"/>
        </w:rPr>
      </w:pPr>
      <w:r>
        <w:rPr>
          <w:lang w:val="fr-FR"/>
        </w:rPr>
        <w:t>40</w:t>
      </w:r>
      <w:r w:rsidR="00AD2F75">
        <w:rPr>
          <w:lang w:val="fr-FR"/>
        </w:rPr>
        <w:t>.</w:t>
      </w:r>
      <w:r w:rsidR="00AD2F75">
        <w:rPr>
          <w:lang w:val="fr-FR"/>
        </w:rPr>
        <w:tab/>
      </w:r>
      <w:r w:rsidR="00AD2F75">
        <w:rPr>
          <w:b/>
          <w:lang w:val="fr-FR"/>
        </w:rPr>
        <w:t>S’est félicité</w:t>
      </w:r>
      <w:r w:rsidR="00AD2F75">
        <w:rPr>
          <w:lang w:val="fr-FR"/>
        </w:rPr>
        <w:t xml:space="preserve"> des informations sur l’adoption de la stratégie du SC.3 pour la période 2016-2021 (ECE/TRANS/2017/20); </w:t>
      </w:r>
      <w:r w:rsidR="00D87435" w:rsidRPr="00D87435">
        <w:rPr>
          <w:b/>
          <w:lang w:val="fr-FR"/>
        </w:rPr>
        <w:t>a</w:t>
      </w:r>
      <w:r w:rsidR="00AD2F75">
        <w:rPr>
          <w:lang w:val="fr-FR"/>
        </w:rPr>
        <w:t xml:space="preserve"> </w:t>
      </w:r>
      <w:r w:rsidR="00AD2F75">
        <w:rPr>
          <w:b/>
          <w:lang w:val="fr-FR"/>
        </w:rPr>
        <w:t>approuvé</w:t>
      </w:r>
      <w:r w:rsidR="00AD2F75">
        <w:rPr>
          <w:lang w:val="fr-FR"/>
        </w:rPr>
        <w:t xml:space="preserve"> la stratégie et </w:t>
      </w:r>
      <w:r w:rsidR="00AD2F75" w:rsidRPr="00360056">
        <w:rPr>
          <w:b/>
          <w:lang w:val="fr-FR"/>
        </w:rPr>
        <w:t xml:space="preserve">a </w:t>
      </w:r>
      <w:r w:rsidR="00AD2F75">
        <w:rPr>
          <w:b/>
          <w:lang w:val="fr-FR"/>
        </w:rPr>
        <w:t>fourni des orientations</w:t>
      </w:r>
      <w:r w:rsidR="00AD2F75">
        <w:rPr>
          <w:lang w:val="fr-FR"/>
        </w:rPr>
        <w:t xml:space="preserve"> au SC.3 sur la mise en </w:t>
      </w:r>
      <w:r w:rsidR="00F6505C">
        <w:rPr>
          <w:lang w:val="fr-FR"/>
        </w:rPr>
        <w:t>œuvre</w:t>
      </w:r>
      <w:r w:rsidR="00AD2F75">
        <w:rPr>
          <w:lang w:val="fr-FR"/>
        </w:rPr>
        <w:t xml:space="preserve"> de la stratégie et le renforcement du rôle du SC.3 et de ses organes subsidiaires</w:t>
      </w:r>
      <w:r>
        <w:rPr>
          <w:lang w:val="fr-FR"/>
        </w:rPr>
        <w:t>;</w:t>
      </w:r>
    </w:p>
    <w:p w:rsidR="00AD2F75" w:rsidRDefault="00611C0E" w:rsidP="00AD2F75">
      <w:pPr>
        <w:pStyle w:val="SingleTxtG"/>
        <w:rPr>
          <w:lang w:val="fr-CH"/>
        </w:rPr>
      </w:pPr>
      <w:r>
        <w:rPr>
          <w:lang w:val="fr-FR"/>
        </w:rPr>
        <w:t>41</w:t>
      </w:r>
      <w:r w:rsidR="00AD2F75">
        <w:rPr>
          <w:lang w:val="fr-FR"/>
        </w:rPr>
        <w:t>.</w:t>
      </w:r>
      <w:r w:rsidR="00AD2F75">
        <w:rPr>
          <w:lang w:val="fr-FR"/>
        </w:rPr>
        <w:tab/>
        <w:t xml:space="preserve">A </w:t>
      </w:r>
      <w:r w:rsidR="00AD2F75">
        <w:rPr>
          <w:b/>
          <w:lang w:val="fr-FR"/>
        </w:rPr>
        <w:t>approuvé</w:t>
      </w:r>
      <w:r w:rsidR="00AD2F75">
        <w:rPr>
          <w:lang w:val="fr-FR"/>
        </w:rPr>
        <w:t xml:space="preserve"> le mandat révisé du SC.3 adopté par celui-ci à sa soixantième session (ECE/TRANS/2017/21)</w:t>
      </w:r>
      <w:r>
        <w:rPr>
          <w:lang w:val="fr-FR"/>
        </w:rPr>
        <w:t>;</w:t>
      </w:r>
    </w:p>
    <w:p w:rsidR="00611C0E" w:rsidRDefault="00611C0E" w:rsidP="00AD2F75">
      <w:pPr>
        <w:pStyle w:val="SingleTxtG"/>
        <w:rPr>
          <w:lang w:val="fr-CH"/>
        </w:rPr>
      </w:pPr>
      <w:r>
        <w:rPr>
          <w:lang w:val="fr-CH"/>
        </w:rPr>
        <w:t>42.</w:t>
      </w:r>
      <w:r>
        <w:rPr>
          <w:lang w:val="fr-CH"/>
        </w:rPr>
        <w:tab/>
      </w:r>
      <w:r w:rsidRPr="00611C0E">
        <w:rPr>
          <w:b/>
          <w:lang w:val="fr-CH"/>
        </w:rPr>
        <w:t>S’est félicité</w:t>
      </w:r>
      <w:r>
        <w:rPr>
          <w:lang w:val="fr-CH"/>
        </w:rPr>
        <w:t xml:space="preserve"> des résultats de la Conférence de haut niveau sur le transport par voie navigable qui s’est tenue le 22 février 2017 et </w:t>
      </w:r>
      <w:r w:rsidRPr="00611C0E">
        <w:rPr>
          <w:b/>
          <w:lang w:val="fr-CH"/>
        </w:rPr>
        <w:t>a invité</w:t>
      </w:r>
      <w:r>
        <w:rPr>
          <w:lang w:val="fr-CH"/>
        </w:rPr>
        <w:t xml:space="preserve"> les Etats membres à s’impliquer dans la préparation de la prochaine Conférence mondiale sur le transport par voie navigable; </w:t>
      </w:r>
    </w:p>
    <w:p w:rsidR="001E757B" w:rsidRDefault="00611C0E" w:rsidP="00F6505C">
      <w:pPr>
        <w:pStyle w:val="SingleTxtG"/>
        <w:rPr>
          <w:color w:val="222222"/>
          <w:lang w:val="fr-FR"/>
        </w:rPr>
      </w:pPr>
      <w:r>
        <w:rPr>
          <w:lang w:val="fr-FR"/>
        </w:rPr>
        <w:t>43.</w:t>
      </w:r>
      <w:r w:rsidR="00AD2F75">
        <w:rPr>
          <w:lang w:val="fr-FR"/>
        </w:rPr>
        <w:tab/>
        <w:t xml:space="preserve">A </w:t>
      </w:r>
      <w:r w:rsidR="00AD2F75" w:rsidRPr="006C737A">
        <w:rPr>
          <w:b/>
          <w:bCs/>
          <w:lang w:val="fr-FR"/>
        </w:rPr>
        <w:t>exprimé son soutien</w:t>
      </w:r>
      <w:r w:rsidR="00AD2F75">
        <w:rPr>
          <w:lang w:val="fr-FR"/>
        </w:rPr>
        <w:t xml:space="preserve"> à la poursuite du projet eTIR, et à cet effet : a) </w:t>
      </w:r>
      <w:r w:rsidR="00AD2F75" w:rsidRPr="00007ECF">
        <w:rPr>
          <w:b/>
          <w:lang w:val="fr-FR"/>
        </w:rPr>
        <w:t>a décidé de prolonger</w:t>
      </w:r>
      <w:r w:rsidR="00AD2F75">
        <w:rPr>
          <w:lang w:val="fr-FR"/>
        </w:rPr>
        <w:t xml:space="preserve"> le mandat du Groupe spécial informel d’experts des aspects théoriques et techniques de l’informatisation du régime TIR (WP.30/GE.1) pour l’année 2017 et b) </w:t>
      </w:r>
      <w:r w:rsidR="00AD2F75" w:rsidRPr="00007ECF">
        <w:rPr>
          <w:b/>
          <w:lang w:val="fr-FR"/>
        </w:rPr>
        <w:t>a</w:t>
      </w:r>
      <w:r w:rsidR="00AD2F75">
        <w:rPr>
          <w:lang w:val="fr-FR"/>
        </w:rPr>
        <w:t xml:space="preserve"> </w:t>
      </w:r>
      <w:r w:rsidR="00AD2F75">
        <w:rPr>
          <w:b/>
          <w:lang w:val="fr-FR"/>
        </w:rPr>
        <w:t>examiné</w:t>
      </w:r>
      <w:r w:rsidR="00AD2F75">
        <w:rPr>
          <w:lang w:val="fr-FR"/>
        </w:rPr>
        <w:t xml:space="preserve"> la question du financement de la création et de la gestion du régime eTIR international (</w:t>
      </w:r>
      <w:r w:rsidR="00AD2F75" w:rsidRPr="00007ECF">
        <w:rPr>
          <w:lang w:val="fr-CH"/>
        </w:rPr>
        <w:t xml:space="preserve">ECE/TRANS/WP.30/288, par. 14 et 19) et c) </w:t>
      </w:r>
      <w:r w:rsidR="00AD2F75" w:rsidRPr="00DA4D2C">
        <w:rPr>
          <w:b/>
          <w:lang w:val="fr-CH"/>
        </w:rPr>
        <w:t>a</w:t>
      </w:r>
      <w:r w:rsidR="00AD2F75" w:rsidRPr="00DA4D2C">
        <w:rPr>
          <w:b/>
          <w:color w:val="222222"/>
          <w:lang w:val="fr-FR"/>
        </w:rPr>
        <w:t xml:space="preserve"> prié</w:t>
      </w:r>
      <w:r w:rsidR="00AD2F75">
        <w:rPr>
          <w:color w:val="222222"/>
          <w:lang w:val="fr-FR"/>
        </w:rPr>
        <w:t xml:space="preserve"> les Parties contractantes et les parties prenantes concernées à faire tout leur possible pour que le financement nécessaire à la mise en œuvre du projet eTIR soit mis en place dans les plus brefs délais</w:t>
      </w:r>
      <w:r>
        <w:rPr>
          <w:color w:val="222222"/>
          <w:lang w:val="fr-FR"/>
        </w:rPr>
        <w:t>;</w:t>
      </w:r>
    </w:p>
    <w:p w:rsidR="001E757B" w:rsidRDefault="00AD2F75" w:rsidP="00F6505C">
      <w:pPr>
        <w:pStyle w:val="SingleTxtG"/>
        <w:rPr>
          <w:lang w:val="fr-CH"/>
        </w:rPr>
      </w:pPr>
      <w:r>
        <w:rPr>
          <w:lang w:val="fr-FR"/>
        </w:rPr>
        <w:t>4</w:t>
      </w:r>
      <w:r w:rsidR="00611C0E">
        <w:rPr>
          <w:lang w:val="fr-FR"/>
        </w:rPr>
        <w:t>4</w:t>
      </w:r>
      <w:r>
        <w:rPr>
          <w:lang w:val="fr-FR"/>
        </w:rPr>
        <w:t>.</w:t>
      </w:r>
      <w:r>
        <w:rPr>
          <w:lang w:val="fr-FR"/>
        </w:rPr>
        <w:tab/>
      </w:r>
      <w:r w:rsidRPr="00DA4D2C">
        <w:rPr>
          <w:b/>
          <w:lang w:val="fr-FR"/>
        </w:rPr>
        <w:t>S’est inquiété</w:t>
      </w:r>
      <w:r>
        <w:rPr>
          <w:lang w:val="fr-FR"/>
        </w:rPr>
        <w:t xml:space="preserve"> que le Protocole modifiant les articles 1 a), 14 1) et 14 3) b) de l’ADR, adopté par la Conférence des Parties contractantes le 28 octobre 1993, ne soit pas encore entré en vigueur, toutes les Parties contractantes à l’Accord n’étant pas encore parties à ce protocole; </w:t>
      </w:r>
      <w:r w:rsidR="00D87435" w:rsidRPr="00D87435">
        <w:rPr>
          <w:b/>
          <w:lang w:val="fr-FR"/>
        </w:rPr>
        <w:t>a</w:t>
      </w:r>
      <w:r w:rsidRPr="00DA4D2C">
        <w:rPr>
          <w:b/>
          <w:lang w:val="fr-FR"/>
        </w:rPr>
        <w:t xml:space="preserve"> prié</w:t>
      </w:r>
      <w:r>
        <w:rPr>
          <w:lang w:val="fr-FR"/>
        </w:rPr>
        <w:t xml:space="preserve"> le reste des Parties contractantes (Azerbaïdjan, Bélarus, Bosnie-Herzégovine, Croatie, ex-République yougoslave de Macédoine, Géorgie, Islande, Kazakhstan, Malte, Monténégro, Maroc, Tadjikistan, Tunisie et Ukraine) de prendre les dispositions nécessaires afin que le Protocole puisse entrer en vigueur</w:t>
      </w:r>
      <w:r w:rsidR="00611C0E">
        <w:rPr>
          <w:lang w:val="fr-CH"/>
        </w:rPr>
        <w:t>;</w:t>
      </w:r>
    </w:p>
    <w:p w:rsidR="00EF13A7" w:rsidRDefault="00611C0E" w:rsidP="00F6505C">
      <w:pPr>
        <w:pStyle w:val="SingleTxtG"/>
        <w:rPr>
          <w:lang w:val="fr-CH"/>
        </w:rPr>
      </w:pPr>
      <w:r>
        <w:rPr>
          <w:lang w:val="fr-CH"/>
        </w:rPr>
        <w:t>45.</w:t>
      </w:r>
      <w:r>
        <w:rPr>
          <w:lang w:val="fr-CH"/>
        </w:rPr>
        <w:tab/>
      </w:r>
      <w:r w:rsidRPr="00611C0E">
        <w:rPr>
          <w:b/>
          <w:lang w:val="fr-CH"/>
        </w:rPr>
        <w:t>A invité</w:t>
      </w:r>
      <w:r>
        <w:rPr>
          <w:b/>
          <w:lang w:val="fr-CH"/>
        </w:rPr>
        <w:t xml:space="preserve"> </w:t>
      </w:r>
      <w:r w:rsidRPr="00EF13A7">
        <w:rPr>
          <w:lang w:val="fr-CH"/>
        </w:rPr>
        <w:t xml:space="preserve">le </w:t>
      </w:r>
      <w:r w:rsidR="00EF13A7" w:rsidRPr="00EF13A7">
        <w:rPr>
          <w:lang w:val="fr-CH"/>
        </w:rPr>
        <w:t xml:space="preserve">Groupe de travail du transport des marchandises dangereuses (WP.15) </w:t>
      </w:r>
      <w:r w:rsidR="00F6505C">
        <w:rPr>
          <w:lang w:val="fr-CH"/>
        </w:rPr>
        <w:t xml:space="preserve">à </w:t>
      </w:r>
      <w:r w:rsidR="00EF13A7" w:rsidRPr="00EF13A7">
        <w:rPr>
          <w:lang w:val="fr-CH"/>
        </w:rPr>
        <w:t>examiner de nouveau la possibilité de changer le titre de l’ADR (ECE/TRANS/2010/2, par.1);</w:t>
      </w:r>
    </w:p>
    <w:p w:rsidR="00EF13A7" w:rsidRPr="00EF13A7" w:rsidRDefault="00EF13A7" w:rsidP="002527EE">
      <w:pPr>
        <w:pStyle w:val="SingleTxtG"/>
        <w:rPr>
          <w:lang w:val="fr-CH"/>
        </w:rPr>
      </w:pPr>
      <w:r>
        <w:rPr>
          <w:lang w:val="fr-CH"/>
        </w:rPr>
        <w:t>46.</w:t>
      </w:r>
      <w:r>
        <w:rPr>
          <w:lang w:val="fr-CH"/>
        </w:rPr>
        <w:tab/>
      </w:r>
      <w:r w:rsidRPr="00EF13A7">
        <w:rPr>
          <w:b/>
          <w:lang w:val="fr-CH"/>
        </w:rPr>
        <w:t>A proposé</w:t>
      </w:r>
      <w:r>
        <w:rPr>
          <w:color w:val="222222"/>
          <w:lang w:val="fr-FR"/>
        </w:rPr>
        <w:t>, sur la base d'une analyse juridique préparée par le secrétariat et sous réserve de</w:t>
      </w:r>
      <w:r w:rsidR="00F6505C">
        <w:rPr>
          <w:color w:val="222222"/>
          <w:lang w:val="fr-FR"/>
        </w:rPr>
        <w:t xml:space="preserve"> disponibilité des</w:t>
      </w:r>
      <w:r>
        <w:rPr>
          <w:color w:val="222222"/>
          <w:lang w:val="fr-FR"/>
        </w:rPr>
        <w:t xml:space="preserve"> ressources, de tenir en 2017 une table ronde sur les difficultés </w:t>
      </w:r>
      <w:r w:rsidR="002527EE">
        <w:rPr>
          <w:color w:val="222222"/>
          <w:lang w:val="fr-FR"/>
        </w:rPr>
        <w:t>d’</w:t>
      </w:r>
      <w:r>
        <w:rPr>
          <w:color w:val="222222"/>
          <w:lang w:val="fr-FR"/>
        </w:rPr>
        <w:t xml:space="preserve">organiser et mener à bien le transport des denrées périssables et </w:t>
      </w:r>
      <w:r w:rsidR="002527EE">
        <w:rPr>
          <w:color w:val="222222"/>
          <w:lang w:val="fr-FR"/>
        </w:rPr>
        <w:t>de</w:t>
      </w:r>
      <w:r>
        <w:rPr>
          <w:color w:val="222222"/>
          <w:lang w:val="fr-FR"/>
        </w:rPr>
        <w:t xml:space="preserve"> recherche</w:t>
      </w:r>
      <w:r w:rsidR="002527EE">
        <w:rPr>
          <w:color w:val="222222"/>
          <w:lang w:val="fr-FR"/>
        </w:rPr>
        <w:t>r</w:t>
      </w:r>
      <w:r>
        <w:rPr>
          <w:color w:val="222222"/>
          <w:lang w:val="fr-FR"/>
        </w:rPr>
        <w:t xml:space="preserve"> </w:t>
      </w:r>
      <w:r w:rsidR="0022199E">
        <w:rPr>
          <w:color w:val="222222"/>
          <w:lang w:val="fr-FR"/>
        </w:rPr>
        <w:t>de</w:t>
      </w:r>
      <w:r w:rsidR="002527EE">
        <w:rPr>
          <w:color w:val="222222"/>
          <w:lang w:val="fr-FR"/>
        </w:rPr>
        <w:t>s</w:t>
      </w:r>
      <w:r w:rsidR="0022199E">
        <w:rPr>
          <w:color w:val="222222"/>
          <w:lang w:val="fr-FR"/>
        </w:rPr>
        <w:t xml:space="preserve"> solution</w:t>
      </w:r>
      <w:r w:rsidR="002527EE">
        <w:rPr>
          <w:color w:val="222222"/>
          <w:lang w:val="fr-FR"/>
        </w:rPr>
        <w:t>s</w:t>
      </w:r>
      <w:r w:rsidR="0022199E">
        <w:rPr>
          <w:color w:val="222222"/>
          <w:lang w:val="fr-FR"/>
        </w:rPr>
        <w:t xml:space="preserve"> au niveau</w:t>
      </w:r>
      <w:r w:rsidR="002527EE">
        <w:rPr>
          <w:color w:val="222222"/>
          <w:lang w:val="fr-FR"/>
        </w:rPr>
        <w:t>x</w:t>
      </w:r>
      <w:r>
        <w:rPr>
          <w:color w:val="222222"/>
          <w:lang w:val="fr-FR"/>
        </w:rPr>
        <w:t xml:space="preserve"> politiques,</w:t>
      </w:r>
      <w:r w:rsidR="0022199E">
        <w:rPr>
          <w:color w:val="222222"/>
          <w:lang w:val="fr-FR"/>
        </w:rPr>
        <w:t xml:space="preserve"> </w:t>
      </w:r>
      <w:r>
        <w:rPr>
          <w:color w:val="222222"/>
          <w:lang w:val="fr-FR"/>
        </w:rPr>
        <w:t xml:space="preserve">techniques et juridiques </w:t>
      </w:r>
      <w:r w:rsidR="0022199E">
        <w:rPr>
          <w:color w:val="222222"/>
          <w:lang w:val="fr-FR"/>
        </w:rPr>
        <w:t xml:space="preserve">quant </w:t>
      </w:r>
      <w:r>
        <w:rPr>
          <w:color w:val="222222"/>
          <w:lang w:val="fr-FR"/>
        </w:rPr>
        <w:t xml:space="preserve">aux </w:t>
      </w:r>
      <w:r w:rsidR="0022199E">
        <w:rPr>
          <w:color w:val="222222"/>
          <w:lang w:val="fr-FR"/>
        </w:rPr>
        <w:t>problèmes</w:t>
      </w:r>
      <w:r>
        <w:rPr>
          <w:color w:val="222222"/>
          <w:lang w:val="fr-FR"/>
        </w:rPr>
        <w:t xml:space="preserve"> qui </w:t>
      </w:r>
      <w:r w:rsidR="0022199E">
        <w:rPr>
          <w:color w:val="222222"/>
          <w:lang w:val="fr-FR"/>
        </w:rPr>
        <w:t>demeurent avec</w:t>
      </w:r>
      <w:r>
        <w:rPr>
          <w:color w:val="222222"/>
          <w:lang w:val="fr-FR"/>
        </w:rPr>
        <w:t xml:space="preserve"> la Convention ATP;</w:t>
      </w:r>
    </w:p>
    <w:p w:rsidR="00AD2F75" w:rsidRDefault="00AD2F75" w:rsidP="00AD2F75">
      <w:pPr>
        <w:pStyle w:val="SingleTxtG"/>
        <w:rPr>
          <w:lang w:val="fr-CH"/>
        </w:rPr>
      </w:pPr>
      <w:r>
        <w:rPr>
          <w:lang w:val="fr-FR"/>
        </w:rPr>
        <w:t>4</w:t>
      </w:r>
      <w:r w:rsidR="0022199E">
        <w:rPr>
          <w:lang w:val="fr-FR"/>
        </w:rPr>
        <w:t>7</w:t>
      </w:r>
      <w:r>
        <w:rPr>
          <w:lang w:val="fr-FR"/>
        </w:rPr>
        <w:t>.</w:t>
      </w:r>
      <w:r>
        <w:rPr>
          <w:lang w:val="fr-FR"/>
        </w:rPr>
        <w:tab/>
      </w:r>
      <w:r w:rsidRPr="00DA4D2C">
        <w:rPr>
          <w:b/>
          <w:lang w:val="fr-FR"/>
        </w:rPr>
        <w:t>A</w:t>
      </w:r>
      <w:r w:rsidRPr="00360056">
        <w:rPr>
          <w:b/>
          <w:lang w:val="fr-FR"/>
        </w:rPr>
        <w:t xml:space="preserve"> </w:t>
      </w:r>
      <w:r w:rsidR="0022199E">
        <w:rPr>
          <w:b/>
          <w:lang w:val="fr-FR"/>
        </w:rPr>
        <w:t xml:space="preserve">noté </w:t>
      </w:r>
      <w:r>
        <w:rPr>
          <w:lang w:val="fr-FR"/>
        </w:rPr>
        <w:t xml:space="preserve">le rôle et la contribution potentielle du </w:t>
      </w:r>
      <w:r w:rsidR="0022199E" w:rsidRPr="007E72AD">
        <w:rPr>
          <w:lang w:val="fr-FR"/>
        </w:rPr>
        <w:t xml:space="preserve">Groupe de travail des statistiques des transports </w:t>
      </w:r>
      <w:r w:rsidR="0022199E">
        <w:rPr>
          <w:lang w:val="fr-FR"/>
        </w:rPr>
        <w:t>(</w:t>
      </w:r>
      <w:r>
        <w:rPr>
          <w:lang w:val="fr-FR"/>
        </w:rPr>
        <w:t>WP.6</w:t>
      </w:r>
      <w:r w:rsidR="0022199E">
        <w:rPr>
          <w:lang w:val="fr-FR"/>
        </w:rPr>
        <w:t>)</w:t>
      </w:r>
      <w:r>
        <w:rPr>
          <w:lang w:val="fr-FR"/>
        </w:rPr>
        <w:t xml:space="preserve"> dans un contexte mondial où il est de plus en plus nécessaire de disposer de statistiques plus nombreuses et de meilleure qualité</w:t>
      </w:r>
      <w:r w:rsidR="0022199E">
        <w:rPr>
          <w:lang w:val="fr-FR"/>
        </w:rPr>
        <w:t>;</w:t>
      </w:r>
      <w:r>
        <w:rPr>
          <w:lang w:val="fr-FR"/>
        </w:rPr>
        <w:t> </w:t>
      </w:r>
    </w:p>
    <w:p w:rsidR="00AD2F75" w:rsidRDefault="00AD2F75" w:rsidP="00AD2F75">
      <w:pPr>
        <w:pStyle w:val="SingleTxtG"/>
        <w:rPr>
          <w:lang w:val="fr-CH"/>
        </w:rPr>
      </w:pPr>
      <w:r>
        <w:rPr>
          <w:lang w:val="fr-CH"/>
        </w:rPr>
        <w:t>4</w:t>
      </w:r>
      <w:r w:rsidR="0022199E">
        <w:rPr>
          <w:lang w:val="fr-CH"/>
        </w:rPr>
        <w:t>8</w:t>
      </w:r>
      <w:r>
        <w:rPr>
          <w:lang w:val="fr-CH"/>
        </w:rPr>
        <w:t>.</w:t>
      </w:r>
      <w:r>
        <w:rPr>
          <w:lang w:val="fr-CH"/>
        </w:rPr>
        <w:tab/>
        <w:t>A</w:t>
      </w:r>
      <w:r>
        <w:rPr>
          <w:lang w:val="fr-FR"/>
        </w:rPr>
        <w:t xml:space="preserve"> </w:t>
      </w:r>
      <w:r>
        <w:rPr>
          <w:b/>
          <w:lang w:val="fr-FR"/>
        </w:rPr>
        <w:t>débattu</w:t>
      </w:r>
      <w:r>
        <w:rPr>
          <w:lang w:val="fr-FR"/>
        </w:rPr>
        <w:t xml:space="preserve"> du rapport annuel </w:t>
      </w:r>
      <w:r w:rsidRPr="00682EC5">
        <w:rPr>
          <w:lang w:val="fr-CH"/>
        </w:rPr>
        <w:t xml:space="preserve">(ECE/TRANS/2017/24) </w:t>
      </w:r>
      <w:r>
        <w:rPr>
          <w:lang w:val="fr-FR"/>
        </w:rPr>
        <w:t xml:space="preserve">et </w:t>
      </w:r>
      <w:r w:rsidRPr="00682EC5">
        <w:rPr>
          <w:b/>
          <w:lang w:val="fr-FR"/>
        </w:rPr>
        <w:t>a</w:t>
      </w:r>
      <w:r>
        <w:rPr>
          <w:lang w:val="fr-FR"/>
        </w:rPr>
        <w:t xml:space="preserve"> </w:t>
      </w:r>
      <w:r>
        <w:rPr>
          <w:b/>
          <w:lang w:val="fr-FR"/>
        </w:rPr>
        <w:t>fourni des orientations</w:t>
      </w:r>
      <w:r>
        <w:rPr>
          <w:lang w:val="fr-FR"/>
        </w:rPr>
        <w:t xml:space="preserve"> sur les moyens d’améliorer la visibilité des résultats</w:t>
      </w:r>
      <w:r w:rsidR="0022199E">
        <w:rPr>
          <w:lang w:val="fr-CH"/>
        </w:rPr>
        <w:t>;</w:t>
      </w:r>
    </w:p>
    <w:p w:rsidR="00AD2F75" w:rsidRDefault="00AD2F75" w:rsidP="00AD2F75">
      <w:pPr>
        <w:pStyle w:val="SingleTxtG"/>
        <w:rPr>
          <w:lang w:val="fr-CH"/>
        </w:rPr>
      </w:pPr>
      <w:r>
        <w:rPr>
          <w:lang w:val="fr-FR"/>
        </w:rPr>
        <w:t>4</w:t>
      </w:r>
      <w:r w:rsidR="0022199E">
        <w:rPr>
          <w:lang w:val="fr-FR"/>
        </w:rPr>
        <w:t>9</w:t>
      </w:r>
      <w:r>
        <w:rPr>
          <w:lang w:val="fr-FR"/>
        </w:rPr>
        <w:t>.</w:t>
      </w:r>
      <w:r>
        <w:rPr>
          <w:lang w:val="fr-FR"/>
        </w:rPr>
        <w:tab/>
      </w:r>
      <w:r w:rsidRPr="00D87435">
        <w:rPr>
          <w:b/>
          <w:lang w:val="fr-FR"/>
        </w:rPr>
        <w:t xml:space="preserve">A </w:t>
      </w:r>
      <w:r>
        <w:rPr>
          <w:b/>
          <w:lang w:val="fr-FR"/>
        </w:rPr>
        <w:t>approuvé,</w:t>
      </w:r>
      <w:r>
        <w:rPr>
          <w:lang w:val="fr-FR"/>
        </w:rPr>
        <w:t xml:space="preserve"> dans leur ensemble, les rapports et activités connexes de ses organes subsidiaires et </w:t>
      </w:r>
      <w:r w:rsidRPr="00682EC5">
        <w:rPr>
          <w:b/>
          <w:lang w:val="fr-FR"/>
        </w:rPr>
        <w:t xml:space="preserve">a </w:t>
      </w:r>
      <w:r>
        <w:rPr>
          <w:b/>
          <w:lang w:val="fr-FR"/>
        </w:rPr>
        <w:t>prié</w:t>
      </w:r>
      <w:r>
        <w:rPr>
          <w:lang w:val="fr-FR"/>
        </w:rPr>
        <w:t xml:space="preserve"> le secrétariat d’incorporer les références correspondantes dans le </w:t>
      </w:r>
      <w:r>
        <w:rPr>
          <w:lang w:val="fr-FR"/>
        </w:rPr>
        <w:lastRenderedPageBreak/>
        <w:t>rapport complet du Comité en tenant compte les annotations respectives figurant dans le présent document.</w:t>
      </w:r>
      <w:r w:rsidRPr="00682EC5">
        <w:rPr>
          <w:lang w:val="fr-CH"/>
        </w:rPr>
        <w:t xml:space="preserve"> (ECE/TRANS/269/Add.1</w:t>
      </w:r>
      <w:r w:rsidR="0022199E">
        <w:rPr>
          <w:lang w:val="fr-CH"/>
        </w:rPr>
        <w:t>);</w:t>
      </w:r>
    </w:p>
    <w:p w:rsidR="001E757B" w:rsidRDefault="0022199E" w:rsidP="00AD2F75">
      <w:pPr>
        <w:pStyle w:val="SingleTxtG"/>
        <w:rPr>
          <w:lang w:val="fr-FR"/>
        </w:rPr>
      </w:pPr>
      <w:r>
        <w:rPr>
          <w:lang w:val="fr-CH"/>
        </w:rPr>
        <w:t>50</w:t>
      </w:r>
      <w:r w:rsidR="00AD2F75">
        <w:rPr>
          <w:lang w:val="fr-CH"/>
        </w:rPr>
        <w:t>.</w:t>
      </w:r>
      <w:r w:rsidR="00AD2F75" w:rsidRPr="00682EC5">
        <w:rPr>
          <w:lang w:val="fr-FR"/>
        </w:rPr>
        <w:t xml:space="preserve"> </w:t>
      </w:r>
      <w:r w:rsidR="00AD2F75">
        <w:rPr>
          <w:lang w:val="fr-FR"/>
        </w:rPr>
        <w:tab/>
      </w:r>
      <w:r w:rsidR="00AD2F75" w:rsidRPr="00682EC5">
        <w:rPr>
          <w:b/>
          <w:lang w:val="fr-FR"/>
        </w:rPr>
        <w:t>A</w:t>
      </w:r>
      <w:r w:rsidR="00AD2F75">
        <w:rPr>
          <w:b/>
          <w:lang w:val="fr-FR"/>
        </w:rPr>
        <w:t xml:space="preserve"> noté</w:t>
      </w:r>
      <w:r w:rsidR="00AD2F75">
        <w:rPr>
          <w:lang w:val="fr-FR"/>
        </w:rPr>
        <w:t xml:space="preserve"> que l’adoption du rapport de la soixante-dix-neuvième session sera limitée à une liste des principales décisions et que le rapport complet du Comité sera diffusé ultérieurement</w:t>
      </w:r>
      <w:r>
        <w:rPr>
          <w:lang w:val="fr-FR"/>
        </w:rPr>
        <w:t>;</w:t>
      </w:r>
    </w:p>
    <w:p w:rsidR="00AD2F75" w:rsidRDefault="0022199E" w:rsidP="00AD2F75">
      <w:pPr>
        <w:pStyle w:val="SingleTxtG"/>
        <w:rPr>
          <w:lang w:val="fr-CH"/>
        </w:rPr>
      </w:pPr>
      <w:r>
        <w:rPr>
          <w:lang w:val="fr-CH"/>
        </w:rPr>
        <w:t>51</w:t>
      </w:r>
      <w:r w:rsidR="00AD2F75">
        <w:rPr>
          <w:lang w:val="fr-CH"/>
        </w:rPr>
        <w:t>.</w:t>
      </w:r>
      <w:r w:rsidR="00AD2F75">
        <w:rPr>
          <w:lang w:val="fr-CH"/>
        </w:rPr>
        <w:tab/>
      </w:r>
      <w:r w:rsidR="00AD2F75" w:rsidRPr="00D87435">
        <w:rPr>
          <w:b/>
          <w:lang w:val="fr-CH"/>
        </w:rPr>
        <w:t>A</w:t>
      </w:r>
      <w:r w:rsidR="00AD2F75">
        <w:rPr>
          <w:lang w:val="fr-CH"/>
        </w:rPr>
        <w:t xml:space="preserve"> </w:t>
      </w:r>
      <w:r w:rsidR="00AD2F75">
        <w:rPr>
          <w:b/>
          <w:lang w:val="fr-FR"/>
        </w:rPr>
        <w:t xml:space="preserve">émis </w:t>
      </w:r>
      <w:r w:rsidR="00AD2F75" w:rsidRPr="000F3B6A">
        <w:rPr>
          <w:bCs/>
          <w:lang w:val="fr-FR"/>
        </w:rPr>
        <w:t>des recommandations pour</w:t>
      </w:r>
      <w:r w:rsidR="00AD2F75">
        <w:rPr>
          <w:lang w:val="fr-FR"/>
        </w:rPr>
        <w:t xml:space="preserve"> son président sur les principaux messages devant figurer dans le rapport (à préparer en consultation avec le secrétariat) au Comité exécutif de la CEE qui sera présenté lors d’une de ses prochaines sessions</w:t>
      </w:r>
      <w:r>
        <w:rPr>
          <w:lang w:val="fr-FR"/>
        </w:rPr>
        <w:t>;</w:t>
      </w:r>
    </w:p>
    <w:p w:rsidR="00AD2F75" w:rsidRDefault="0022199E" w:rsidP="00AD2F75">
      <w:pPr>
        <w:pStyle w:val="SingleTxtG"/>
        <w:rPr>
          <w:lang w:val="fr-CH"/>
        </w:rPr>
      </w:pPr>
      <w:r>
        <w:rPr>
          <w:lang w:val="fr-CH"/>
        </w:rPr>
        <w:t>52</w:t>
      </w:r>
      <w:r w:rsidR="00AD2F75">
        <w:rPr>
          <w:lang w:val="fr-CH"/>
        </w:rPr>
        <w:t>.</w:t>
      </w:r>
      <w:r w:rsidR="00AD2F75">
        <w:rPr>
          <w:lang w:val="fr-CH"/>
        </w:rPr>
        <w:tab/>
      </w:r>
      <w:r w:rsidR="00AD2F75" w:rsidRPr="00AB2358">
        <w:rPr>
          <w:b/>
          <w:lang w:val="fr-CH"/>
        </w:rPr>
        <w:t>A revu</w:t>
      </w:r>
      <w:r w:rsidR="00AD2F75">
        <w:rPr>
          <w:b/>
          <w:lang w:val="fr-CH"/>
        </w:rPr>
        <w:t>, approuvé</w:t>
      </w:r>
      <w:r w:rsidR="00AD2F75" w:rsidRPr="00AB2358">
        <w:rPr>
          <w:b/>
          <w:lang w:val="fr-CH"/>
        </w:rPr>
        <w:t xml:space="preserve"> et adopté</w:t>
      </w:r>
      <w:r w:rsidR="00AD2F75">
        <w:rPr>
          <w:lang w:val="fr-CH"/>
        </w:rPr>
        <w:t xml:space="preserve"> la</w:t>
      </w:r>
      <w:r w:rsidR="00AD2F75">
        <w:rPr>
          <w:lang w:val="fr-FR"/>
        </w:rPr>
        <w:t xml:space="preserve"> liste des publications prévues pour les années 2018 et 2019</w:t>
      </w:r>
      <w:r w:rsidR="00F21009">
        <w:rPr>
          <w:lang w:val="fr-CH"/>
        </w:rPr>
        <w:t>;</w:t>
      </w:r>
    </w:p>
    <w:p w:rsidR="00AD2F75" w:rsidRDefault="00F21009" w:rsidP="00AD2F75">
      <w:pPr>
        <w:pStyle w:val="SingleTxtG"/>
        <w:rPr>
          <w:lang w:val="fr-CH"/>
        </w:rPr>
      </w:pPr>
      <w:r>
        <w:rPr>
          <w:color w:val="222222"/>
          <w:lang w:val="fr-FR"/>
        </w:rPr>
        <w:t>53</w:t>
      </w:r>
      <w:r w:rsidR="00AD2F75">
        <w:rPr>
          <w:color w:val="222222"/>
          <w:lang w:val="fr-FR"/>
        </w:rPr>
        <w:t>.</w:t>
      </w:r>
      <w:r w:rsidR="00AD2F75">
        <w:rPr>
          <w:color w:val="222222"/>
          <w:lang w:val="fr-FR"/>
        </w:rPr>
        <w:tab/>
        <w:t xml:space="preserve">Compte tenu de la réduction du budget régulier consacré aux services de consultants à la CEE, </w:t>
      </w:r>
      <w:r w:rsidR="00AD2F75" w:rsidRPr="0011533D">
        <w:rPr>
          <w:b/>
          <w:color w:val="222222"/>
          <w:lang w:val="fr-FR"/>
        </w:rPr>
        <w:t xml:space="preserve">a envisagé </w:t>
      </w:r>
      <w:r w:rsidR="00AD2F75">
        <w:rPr>
          <w:color w:val="222222"/>
          <w:lang w:val="fr-FR"/>
        </w:rPr>
        <w:t>d'autres moyens pour répondre à la demande de travaux analytiques du sous-programme qui pourraient émerger lors de la mise en œuvre du programme de travail du sous-programme en 2018-2019</w:t>
      </w:r>
      <w:r>
        <w:rPr>
          <w:color w:val="222222"/>
          <w:lang w:val="fr-FR"/>
        </w:rPr>
        <w:t>;</w:t>
      </w:r>
    </w:p>
    <w:p w:rsidR="00AD2F75" w:rsidRDefault="00F21009" w:rsidP="00AD2F75">
      <w:pPr>
        <w:pStyle w:val="SingleTxtG"/>
        <w:rPr>
          <w:lang w:val="fr-CH"/>
        </w:rPr>
      </w:pPr>
      <w:r>
        <w:rPr>
          <w:lang w:val="fr-FR"/>
        </w:rPr>
        <w:t>54</w:t>
      </w:r>
      <w:r w:rsidR="00AD2F75">
        <w:rPr>
          <w:lang w:val="fr-FR"/>
        </w:rPr>
        <w:t>.</w:t>
      </w:r>
      <w:r w:rsidR="00AD2F75">
        <w:rPr>
          <w:lang w:val="fr-FR"/>
        </w:rPr>
        <w:tab/>
      </w:r>
      <w:r w:rsidR="00AD2F75" w:rsidRPr="00533519">
        <w:rPr>
          <w:b/>
          <w:lang w:val="fr-FR"/>
        </w:rPr>
        <w:t>A examiné et adopté</w:t>
      </w:r>
      <w:r w:rsidR="00AD2F75">
        <w:rPr>
          <w:lang w:val="fr-FR"/>
        </w:rPr>
        <w:t xml:space="preserve"> la liste préliminaire des réunions établie à partir des propositions formulées par les organes subsidiaires</w:t>
      </w:r>
      <w:r w:rsidR="00AD2F75" w:rsidRPr="00533519">
        <w:rPr>
          <w:lang w:val="fr-CH"/>
        </w:rPr>
        <w:t xml:space="preserve"> (ECE/TRANS/2017/27) </w:t>
      </w:r>
      <w:r>
        <w:rPr>
          <w:lang w:val="fr-CH"/>
        </w:rPr>
        <w:t xml:space="preserve"> tout en demandant au secrétariat de s’assurer que la réunion du Bureau </w:t>
      </w:r>
      <w:r w:rsidR="00D87435">
        <w:rPr>
          <w:lang w:val="fr-CH"/>
        </w:rPr>
        <w:t>d</w:t>
      </w:r>
      <w:r>
        <w:rPr>
          <w:lang w:val="fr-CH"/>
        </w:rPr>
        <w:t>e novembre ait lieu après celle du SC.2</w:t>
      </w:r>
      <w:r w:rsidR="001E757B">
        <w:rPr>
          <w:lang w:val="fr-CH"/>
        </w:rPr>
        <w:t>;</w:t>
      </w:r>
    </w:p>
    <w:p w:rsidR="00AD2F75" w:rsidRDefault="00AD2F75" w:rsidP="00AD2F75">
      <w:pPr>
        <w:pStyle w:val="SingleTxtG"/>
        <w:rPr>
          <w:lang w:val="fr-CH"/>
        </w:rPr>
      </w:pPr>
      <w:r>
        <w:rPr>
          <w:lang w:val="fr-CH"/>
        </w:rPr>
        <w:t>5</w:t>
      </w:r>
      <w:r w:rsidR="00F21009">
        <w:rPr>
          <w:lang w:val="fr-CH"/>
        </w:rPr>
        <w:t>5</w:t>
      </w:r>
      <w:r>
        <w:rPr>
          <w:lang w:val="fr-CH"/>
        </w:rPr>
        <w:t>.</w:t>
      </w:r>
      <w:r>
        <w:rPr>
          <w:lang w:val="fr-CH"/>
        </w:rPr>
        <w:tab/>
      </w:r>
      <w:r w:rsidRPr="007F3B86">
        <w:rPr>
          <w:b/>
          <w:lang w:val="fr-CH"/>
        </w:rPr>
        <w:t xml:space="preserve">A </w:t>
      </w:r>
      <w:r>
        <w:rPr>
          <w:b/>
          <w:lang w:val="fr-FR"/>
        </w:rPr>
        <w:t>noté</w:t>
      </w:r>
      <w:r>
        <w:rPr>
          <w:lang w:val="fr-FR"/>
        </w:rPr>
        <w:t xml:space="preserve"> que sa quatre-vingtième session devrait en principe se tenir à Genève du 20 au 23 février 2018</w:t>
      </w:r>
      <w:r w:rsidR="00F21009">
        <w:rPr>
          <w:lang w:val="fr-FR"/>
        </w:rPr>
        <w:t>;</w:t>
      </w:r>
      <w:r w:rsidRPr="007F3B86">
        <w:rPr>
          <w:lang w:val="fr-CH"/>
        </w:rPr>
        <w:t xml:space="preserve"> </w:t>
      </w:r>
    </w:p>
    <w:p w:rsidR="00F21009" w:rsidRPr="00F21009" w:rsidRDefault="00F21009" w:rsidP="00AD2F75">
      <w:pPr>
        <w:pStyle w:val="SingleTxtG"/>
        <w:rPr>
          <w:lang w:val="fr-CH"/>
        </w:rPr>
      </w:pPr>
      <w:r>
        <w:rPr>
          <w:lang w:val="fr-CH"/>
        </w:rPr>
        <w:t xml:space="preserve">56. </w:t>
      </w:r>
      <w:r>
        <w:rPr>
          <w:lang w:val="fr-CH"/>
        </w:rPr>
        <w:tab/>
      </w:r>
      <w:r w:rsidRPr="00F21009">
        <w:rPr>
          <w:b/>
          <w:lang w:val="fr-CH"/>
        </w:rPr>
        <w:t>A remerci</w:t>
      </w:r>
      <w:r>
        <w:rPr>
          <w:b/>
          <w:lang w:val="fr-CH"/>
        </w:rPr>
        <w:t xml:space="preserve">é </w:t>
      </w:r>
      <w:r>
        <w:rPr>
          <w:lang w:val="fr-CH"/>
        </w:rPr>
        <w:t xml:space="preserve">le secrétariat pour tout le travail effectué pour la préparation du soixante-dixième </w:t>
      </w:r>
      <w:r w:rsidR="00A009A7" w:rsidRPr="00A009A7">
        <w:rPr>
          <w:lang w:val="fr-CH"/>
        </w:rPr>
        <w:t>anniversaire</w:t>
      </w:r>
      <w:r>
        <w:rPr>
          <w:lang w:val="fr-CH"/>
        </w:rPr>
        <w:t xml:space="preserve"> du Comité des transports intérieurs; </w:t>
      </w:r>
    </w:p>
    <w:p w:rsidR="00AD2F75" w:rsidRDefault="00F21009" w:rsidP="00AD2F75">
      <w:pPr>
        <w:pStyle w:val="SingleTxtG"/>
        <w:rPr>
          <w:b/>
          <w:lang w:val="fr-FR"/>
        </w:rPr>
      </w:pPr>
      <w:r>
        <w:rPr>
          <w:lang w:val="fr-FR"/>
        </w:rPr>
        <w:t xml:space="preserve"> </w:t>
      </w:r>
      <w:r w:rsidR="00AD2F75">
        <w:rPr>
          <w:lang w:val="fr-FR"/>
        </w:rPr>
        <w:t>5</w:t>
      </w:r>
      <w:r>
        <w:rPr>
          <w:lang w:val="fr-FR"/>
        </w:rPr>
        <w:t>7</w:t>
      </w:r>
      <w:r w:rsidR="00AD2F75">
        <w:rPr>
          <w:lang w:val="fr-FR"/>
        </w:rPr>
        <w:t>.</w:t>
      </w:r>
      <w:r w:rsidR="00AD2F75">
        <w:rPr>
          <w:lang w:val="fr-FR"/>
        </w:rPr>
        <w:tab/>
        <w:t xml:space="preserve">A </w:t>
      </w:r>
      <w:r w:rsidR="00AD2F75">
        <w:rPr>
          <w:b/>
          <w:lang w:val="fr-FR"/>
        </w:rPr>
        <w:t>adopté</w:t>
      </w:r>
      <w:r w:rsidR="00AD2F75">
        <w:rPr>
          <w:lang w:val="fr-FR"/>
        </w:rPr>
        <w:t xml:space="preserve"> la liste des décisions principales de la soixante-dix-neuvième session.</w:t>
      </w:r>
      <w:r w:rsidR="00AD2F75" w:rsidRPr="007F3B86">
        <w:rPr>
          <w:lang w:val="fr-CH"/>
        </w:rPr>
        <w:t xml:space="preserve"> </w:t>
      </w:r>
    </w:p>
    <w:p w:rsidR="00AD2F75" w:rsidRPr="007F3B86" w:rsidRDefault="00AD2F75" w:rsidP="00AD2F75">
      <w:pPr>
        <w:pStyle w:val="SingleTxtG"/>
        <w:rPr>
          <w:lang w:val="fr-FR"/>
        </w:rPr>
      </w:pPr>
    </w:p>
    <w:p w:rsidR="00554A72" w:rsidRDefault="00554A72" w:rsidP="00554A72">
      <w:pPr>
        <w:pStyle w:val="SingleTxtG"/>
        <w:rPr>
          <w:lang w:val="fr-FR"/>
        </w:rPr>
      </w:pPr>
    </w:p>
    <w:p w:rsidR="0002046F" w:rsidRPr="00437DAA" w:rsidRDefault="0002046F" w:rsidP="0002046F">
      <w:pPr>
        <w:pStyle w:val="SingleTxtG"/>
        <w:spacing w:before="120"/>
        <w:jc w:val="center"/>
        <w:rPr>
          <w:sz w:val="28"/>
          <w:szCs w:val="28"/>
          <w:u w:val="single"/>
          <w:lang w:val="fr-FR"/>
        </w:rPr>
      </w:pPr>
      <w:r w:rsidRPr="00437DAA">
        <w:rPr>
          <w:sz w:val="28"/>
          <w:szCs w:val="28"/>
          <w:u w:val="single"/>
          <w:lang w:val="fr-FR"/>
        </w:rPr>
        <w:tab/>
      </w:r>
      <w:r w:rsidRPr="00437DAA">
        <w:rPr>
          <w:sz w:val="28"/>
          <w:szCs w:val="28"/>
          <w:u w:val="single"/>
          <w:lang w:val="fr-FR"/>
        </w:rPr>
        <w:tab/>
      </w:r>
      <w:r w:rsidRPr="00437DAA">
        <w:rPr>
          <w:sz w:val="28"/>
          <w:szCs w:val="28"/>
          <w:u w:val="single"/>
          <w:lang w:val="fr-FR"/>
        </w:rPr>
        <w:tab/>
      </w:r>
    </w:p>
    <w:sectPr w:rsidR="0002046F" w:rsidRPr="00437DAA" w:rsidSect="00431A5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1701" w:left="1134" w:header="45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6C" w:rsidRDefault="0092136C"/>
  </w:endnote>
  <w:endnote w:type="continuationSeparator" w:id="0">
    <w:p w:rsidR="0092136C" w:rsidRDefault="0092136C"/>
  </w:endnote>
  <w:endnote w:type="continuationNotice" w:id="1">
    <w:p w:rsidR="0092136C" w:rsidRDefault="00921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AA" w:rsidRPr="00D95385" w:rsidRDefault="00437DAA" w:rsidP="00D95385">
    <w:pPr>
      <w:pStyle w:val="Footer"/>
      <w:tabs>
        <w:tab w:val="right" w:pos="9638"/>
      </w:tabs>
      <w:rPr>
        <w:sz w:val="18"/>
      </w:rPr>
    </w:pPr>
    <w:r w:rsidRPr="00D95385">
      <w:rPr>
        <w:b/>
        <w:sz w:val="18"/>
      </w:rPr>
      <w:fldChar w:fldCharType="begin"/>
    </w:r>
    <w:r w:rsidRPr="00D95385">
      <w:rPr>
        <w:b/>
        <w:sz w:val="18"/>
      </w:rPr>
      <w:instrText xml:space="preserve"> PAGE  \* MERGEFORMAT </w:instrText>
    </w:r>
    <w:r w:rsidRPr="00D95385">
      <w:rPr>
        <w:b/>
        <w:sz w:val="18"/>
      </w:rPr>
      <w:fldChar w:fldCharType="separate"/>
    </w:r>
    <w:r w:rsidR="00431A56">
      <w:rPr>
        <w:b/>
        <w:noProof/>
        <w:sz w:val="18"/>
      </w:rPr>
      <w:t>2</w:t>
    </w:r>
    <w:r w:rsidRPr="00D953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AA" w:rsidRPr="00D95385" w:rsidRDefault="00437DAA" w:rsidP="00D95385">
    <w:pPr>
      <w:pStyle w:val="Footer"/>
      <w:tabs>
        <w:tab w:val="right" w:pos="9638"/>
      </w:tabs>
      <w:rPr>
        <w:b/>
        <w:sz w:val="18"/>
      </w:rPr>
    </w:pPr>
    <w:r>
      <w:tab/>
    </w:r>
    <w:r w:rsidRPr="00D95385">
      <w:rPr>
        <w:b/>
        <w:sz w:val="18"/>
      </w:rPr>
      <w:fldChar w:fldCharType="begin"/>
    </w:r>
    <w:r w:rsidRPr="00D95385">
      <w:rPr>
        <w:b/>
        <w:sz w:val="18"/>
      </w:rPr>
      <w:instrText xml:space="preserve"> PAGE  \* MERGEFORMAT </w:instrText>
    </w:r>
    <w:r w:rsidRPr="00D95385">
      <w:rPr>
        <w:b/>
        <w:sz w:val="18"/>
      </w:rPr>
      <w:fldChar w:fldCharType="separate"/>
    </w:r>
    <w:r w:rsidR="00431A56">
      <w:rPr>
        <w:b/>
        <w:noProof/>
        <w:sz w:val="18"/>
      </w:rPr>
      <w:t>7</w:t>
    </w:r>
    <w:r w:rsidRPr="00D953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CCB" w:rsidRDefault="009C7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6C" w:rsidRPr="000B175B" w:rsidRDefault="0092136C" w:rsidP="000B175B">
      <w:pPr>
        <w:tabs>
          <w:tab w:val="right" w:pos="2155"/>
        </w:tabs>
        <w:spacing w:after="80"/>
        <w:ind w:left="680"/>
        <w:rPr>
          <w:u w:val="single"/>
        </w:rPr>
      </w:pPr>
      <w:r>
        <w:rPr>
          <w:u w:val="single"/>
        </w:rPr>
        <w:tab/>
      </w:r>
    </w:p>
  </w:footnote>
  <w:footnote w:type="continuationSeparator" w:id="0">
    <w:p w:rsidR="0092136C" w:rsidRPr="00FC68B7" w:rsidRDefault="0092136C" w:rsidP="00FC68B7">
      <w:pPr>
        <w:tabs>
          <w:tab w:val="left" w:pos="2155"/>
        </w:tabs>
        <w:spacing w:after="80"/>
        <w:ind w:left="680"/>
        <w:rPr>
          <w:u w:val="single"/>
        </w:rPr>
      </w:pPr>
      <w:r>
        <w:rPr>
          <w:u w:val="single"/>
        </w:rPr>
        <w:tab/>
      </w:r>
    </w:p>
  </w:footnote>
  <w:footnote w:type="continuationNotice" w:id="1">
    <w:p w:rsidR="0092136C" w:rsidRDefault="0092136C"/>
  </w:footnote>
  <w:footnote w:id="2">
    <w:p w:rsidR="00437DAA" w:rsidRPr="00960817" w:rsidRDefault="00437DAA" w:rsidP="00960817">
      <w:pPr>
        <w:pStyle w:val="FootnoteText"/>
        <w:widowControl w:val="0"/>
        <w:tabs>
          <w:tab w:val="clear" w:pos="1021"/>
          <w:tab w:val="right" w:pos="1020"/>
        </w:tabs>
        <w:rPr>
          <w:lang w:val="fr-CH"/>
        </w:rPr>
      </w:pPr>
      <w:r>
        <w:tab/>
      </w:r>
      <w:r>
        <w:rPr>
          <w:rStyle w:val="FootnoteReference"/>
        </w:rPr>
        <w:footnoteRef/>
      </w:r>
      <w:r w:rsidRPr="000D3518">
        <w:rPr>
          <w:lang w:val="fr-CH"/>
        </w:rPr>
        <w:tab/>
        <w:t xml:space="preserve"> </w:t>
      </w:r>
      <w:r w:rsidR="00132D8E">
        <w:rPr>
          <w:lang w:val="fr-CH"/>
        </w:rPr>
        <w:t>Adopté</w:t>
      </w:r>
      <w:r w:rsidR="006B3608">
        <w:rPr>
          <w:lang w:val="fr-CH"/>
        </w:rPr>
        <w:t xml:space="preserve">es </w:t>
      </w:r>
      <w:r w:rsidR="00132D8E">
        <w:rPr>
          <w:lang w:val="fr-CH"/>
        </w:rPr>
        <w:t xml:space="preserve">lors </w:t>
      </w:r>
      <w:r w:rsidRPr="000D3518">
        <w:rPr>
          <w:lang w:val="fr-CH"/>
        </w:rPr>
        <w:t xml:space="preserve"> de la s</w:t>
      </w:r>
      <w:r>
        <w:rPr>
          <w:lang w:val="fr-CH"/>
        </w:rPr>
        <w:t>oixante-</w:t>
      </w:r>
      <w:r w:rsidR="00132D8E">
        <w:rPr>
          <w:lang w:val="fr-CH"/>
        </w:rPr>
        <w:t xml:space="preserve">dix-neuvième </w:t>
      </w:r>
      <w:r>
        <w:rPr>
          <w:lang w:val="fr-CH"/>
        </w:rPr>
        <w:t xml:space="preserve"> session du CTI</w:t>
      </w:r>
      <w:r w:rsidRPr="000D3518">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AA" w:rsidRPr="00B43995" w:rsidRDefault="00437DAA">
    <w:pPr>
      <w:pStyle w:val="Header"/>
      <w:rPr>
        <w:lang w:val="fr-CH"/>
      </w:rPr>
    </w:pPr>
    <w:r w:rsidRPr="00B43995">
      <w:rPr>
        <w:lang w:val="fr-CH"/>
      </w:rPr>
      <w:t>Document informel CTI (201</w:t>
    </w:r>
    <w:r>
      <w:rPr>
        <w:lang w:val="fr-CH"/>
      </w:rPr>
      <w:t>6</w:t>
    </w:r>
    <w:r w:rsidRPr="00B43995">
      <w:rPr>
        <w:lang w:val="fr-CH"/>
      </w:rPr>
      <w:t>) No. 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AA" w:rsidRPr="00242D42" w:rsidRDefault="00437DAA" w:rsidP="00D95385">
    <w:pPr>
      <w:pStyle w:val="Header"/>
      <w:jc w:val="right"/>
      <w:rPr>
        <w:lang w:val="fr-CH"/>
      </w:rPr>
    </w:pPr>
    <w:r w:rsidRPr="00242D42">
      <w:rPr>
        <w:lang w:val="fr-CH"/>
      </w:rPr>
      <w:t>Document informel CTI (201</w:t>
    </w:r>
    <w:r>
      <w:rPr>
        <w:lang w:val="fr-CH"/>
      </w:rPr>
      <w:t>6</w:t>
    </w:r>
    <w:r w:rsidRPr="00242D42">
      <w:rPr>
        <w:lang w:val="fr-CH"/>
      </w:rPr>
      <w:t>) No. 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5245"/>
      <w:gridCol w:w="4394"/>
    </w:tblGrid>
    <w:tr w:rsidR="00431A56" w:rsidRPr="00431A56" w:rsidTr="004B1EFE">
      <w:tc>
        <w:tcPr>
          <w:tcW w:w="5245" w:type="dxa"/>
          <w:tcBorders>
            <w:bottom w:val="single" w:sz="4" w:space="0" w:color="auto"/>
          </w:tcBorders>
          <w:vAlign w:val="center"/>
        </w:tcPr>
        <w:p w:rsidR="00431A56" w:rsidRPr="00431A56" w:rsidRDefault="00431A56" w:rsidP="00431A56">
          <w:pPr>
            <w:rPr>
              <w:caps/>
              <w:lang w:val="en-US"/>
            </w:rPr>
          </w:pPr>
          <w:bookmarkStart w:id="0" w:name="_GoBack"/>
          <w:bookmarkEnd w:id="0"/>
          <w:r w:rsidRPr="00431A56">
            <w:rPr>
              <w:lang w:val="en-US"/>
            </w:rPr>
            <w:t xml:space="preserve">Submitted by the </w:t>
          </w:r>
          <w:r w:rsidRPr="00431A56">
            <w:t>Secretariat</w:t>
          </w:r>
        </w:p>
        <w:p w:rsidR="00431A56" w:rsidRPr="00431A56" w:rsidRDefault="00431A56" w:rsidP="00431A56">
          <w:pPr>
            <w:tabs>
              <w:tab w:val="center" w:pos="4677"/>
              <w:tab w:val="right" w:pos="9355"/>
            </w:tabs>
            <w:ind w:left="-108"/>
            <w:rPr>
              <w:lang w:val="en-US"/>
            </w:rPr>
          </w:pPr>
        </w:p>
      </w:tc>
      <w:tc>
        <w:tcPr>
          <w:tcW w:w="4394" w:type="dxa"/>
          <w:tcBorders>
            <w:bottom w:val="single" w:sz="4" w:space="0" w:color="auto"/>
          </w:tcBorders>
        </w:tcPr>
        <w:p w:rsidR="00431A56" w:rsidRPr="00431A56" w:rsidRDefault="00431A56" w:rsidP="00431A56">
          <w:pPr>
            <w:jc w:val="right"/>
            <w:rPr>
              <w:bCs/>
              <w:lang w:val="en-US"/>
            </w:rPr>
          </w:pPr>
          <w:r w:rsidRPr="00431A56">
            <w:rPr>
              <w:u w:val="single"/>
              <w:lang w:val="en-US"/>
            </w:rPr>
            <w:t xml:space="preserve">Informal document </w:t>
          </w:r>
          <w:r w:rsidRPr="00431A56">
            <w:rPr>
              <w:b/>
              <w:lang w:val="en-US"/>
            </w:rPr>
            <w:t>WP.29-171-3</w:t>
          </w:r>
          <w:r>
            <w:rPr>
              <w:b/>
              <w:lang w:val="en-US"/>
            </w:rPr>
            <w:t>2</w:t>
          </w:r>
          <w:r w:rsidRPr="00431A56">
            <w:rPr>
              <w:b/>
              <w:lang w:val="en-US"/>
            </w:rPr>
            <w:br/>
          </w:r>
          <w:r w:rsidRPr="00431A56">
            <w:rPr>
              <w:bCs/>
              <w:lang w:val="en-US"/>
            </w:rPr>
            <w:t>171</w:t>
          </w:r>
          <w:r w:rsidRPr="00431A56">
            <w:rPr>
              <w:bCs/>
              <w:vertAlign w:val="superscript"/>
              <w:lang w:val="en-US"/>
            </w:rPr>
            <w:t>st</w:t>
          </w:r>
          <w:r w:rsidRPr="00431A56">
            <w:rPr>
              <w:bCs/>
              <w:lang w:val="en-US"/>
            </w:rPr>
            <w:t xml:space="preserve"> WP.29, 14-17 March 2017, Agenda item 2.4</w:t>
          </w:r>
        </w:p>
      </w:tc>
    </w:tr>
  </w:tbl>
  <w:p w:rsidR="009C7CCB" w:rsidRDefault="009C7CCB" w:rsidP="00431A5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F92"/>
    <w:multiLevelType w:val="hybridMultilevel"/>
    <w:tmpl w:val="97A061D2"/>
    <w:lvl w:ilvl="0" w:tplc="0809000F">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0EF1071"/>
    <w:multiLevelType w:val="hybridMultilevel"/>
    <w:tmpl w:val="5EB26FC2"/>
    <w:lvl w:ilvl="0" w:tplc="EEC2071A">
      <w:start w:val="1"/>
      <w:numFmt w:val="decimal"/>
      <w:lvlText w:val="%1."/>
      <w:lvlJc w:val="left"/>
      <w:pPr>
        <w:ind w:left="1710" w:hanging="576"/>
      </w:pPr>
      <w:rPr>
        <w:rFonts w:hint="default"/>
        <w:b w:val="0"/>
        <w:lang w:val="fr-FR"/>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31E51"/>
    <w:multiLevelType w:val="hybridMultilevel"/>
    <w:tmpl w:val="D2D010D0"/>
    <w:lvl w:ilvl="0" w:tplc="ADE49ACA">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AF57A16"/>
    <w:multiLevelType w:val="multilevel"/>
    <w:tmpl w:val="DB087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2455C"/>
    <w:multiLevelType w:val="hybridMultilevel"/>
    <w:tmpl w:val="3886BFAE"/>
    <w:lvl w:ilvl="0" w:tplc="1688A9F6">
      <w:start w:val="1"/>
      <w:numFmt w:val="decimal"/>
      <w:lvlText w:val="%1."/>
      <w:lvlJc w:val="left"/>
      <w:pPr>
        <w:ind w:left="1710" w:hanging="576"/>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1452EA8"/>
    <w:multiLevelType w:val="hybridMultilevel"/>
    <w:tmpl w:val="992E0F2E"/>
    <w:lvl w:ilvl="0" w:tplc="6554E862">
      <w:start w:val="22"/>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8" w15:restartNumberingAfterBreak="0">
    <w:nsid w:val="11CC0559"/>
    <w:multiLevelType w:val="hybridMultilevel"/>
    <w:tmpl w:val="8DC43280"/>
    <w:lvl w:ilvl="0" w:tplc="1688A9F6">
      <w:start w:val="1"/>
      <w:numFmt w:val="decimal"/>
      <w:lvlText w:val="%1."/>
      <w:lvlJc w:val="left"/>
      <w:pPr>
        <w:ind w:left="1710" w:hanging="576"/>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44FB9"/>
    <w:multiLevelType w:val="singleLevel"/>
    <w:tmpl w:val="2562A13E"/>
    <w:lvl w:ilvl="0">
      <w:start w:val="1"/>
      <w:numFmt w:val="decimal"/>
      <w:lvlRestart w:val="0"/>
      <w:lvlText w:val="%1."/>
      <w:lvlJc w:val="left"/>
      <w:pPr>
        <w:tabs>
          <w:tab w:val="num" w:pos="475"/>
        </w:tabs>
        <w:ind w:left="0" w:firstLine="0"/>
      </w:pPr>
      <w:rPr>
        <w:rFonts w:hint="default"/>
        <w:b w:val="0"/>
        <w:bCs/>
        <w:w w:val="100"/>
      </w:rPr>
    </w:lvl>
  </w:abstractNum>
  <w:abstractNum w:abstractNumId="10" w15:restartNumberingAfterBreak="0">
    <w:nsid w:val="2C1556F0"/>
    <w:multiLevelType w:val="hybridMultilevel"/>
    <w:tmpl w:val="DC58AC9C"/>
    <w:lvl w:ilvl="0" w:tplc="EEC2071A">
      <w:start w:val="1"/>
      <w:numFmt w:val="decimal"/>
      <w:lvlText w:val="%1."/>
      <w:lvlJc w:val="left"/>
      <w:pPr>
        <w:ind w:left="2136" w:hanging="576"/>
      </w:pPr>
      <w:rPr>
        <w:rFonts w:hint="default"/>
        <w:b w:val="0"/>
        <w:lang w:val="fr-FR"/>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2C600CD1"/>
    <w:multiLevelType w:val="hybridMultilevel"/>
    <w:tmpl w:val="7356301E"/>
    <w:lvl w:ilvl="0" w:tplc="7938CF20">
      <w:start w:val="27"/>
      <w:numFmt w:val="decimal"/>
      <w:lvlText w:val="%1."/>
      <w:lvlJc w:val="left"/>
      <w:pPr>
        <w:ind w:left="2628" w:hanging="360"/>
      </w:pPr>
      <w:rPr>
        <w:rFonts w:hint="default"/>
        <w:lang w:val="fr-FR"/>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3C816694"/>
    <w:multiLevelType w:val="hybridMultilevel"/>
    <w:tmpl w:val="1A2EAB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CB061AB"/>
    <w:multiLevelType w:val="singleLevel"/>
    <w:tmpl w:val="A606A5AC"/>
    <w:lvl w:ilvl="0">
      <w:start w:val="1"/>
      <w:numFmt w:val="decimal"/>
      <w:pStyle w:val="ParaNo"/>
      <w:lvlText w:val="%1."/>
      <w:lvlJc w:val="left"/>
      <w:pPr>
        <w:tabs>
          <w:tab w:val="num" w:pos="567"/>
        </w:tabs>
        <w:ind w:left="0" w:firstLine="0"/>
      </w:pPr>
      <w:rPr>
        <w:rFonts w:hint="default"/>
      </w:rPr>
    </w:lvl>
  </w:abstractNum>
  <w:abstractNum w:abstractNumId="14" w15:restartNumberingAfterBreak="0">
    <w:nsid w:val="48EE13E6"/>
    <w:multiLevelType w:val="hybridMultilevel"/>
    <w:tmpl w:val="34224930"/>
    <w:lvl w:ilvl="0" w:tplc="EEC2071A">
      <w:start w:val="1"/>
      <w:numFmt w:val="decimal"/>
      <w:lvlText w:val="%1."/>
      <w:lvlJc w:val="left"/>
      <w:pPr>
        <w:ind w:left="4116" w:hanging="576"/>
      </w:pPr>
      <w:rPr>
        <w:rFonts w:hint="default"/>
        <w:b w:val="0"/>
        <w:lang w:val="fr-FR"/>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5" w15:restartNumberingAfterBreak="0">
    <w:nsid w:val="4AB010EB"/>
    <w:multiLevelType w:val="hybridMultilevel"/>
    <w:tmpl w:val="3B52098A"/>
    <w:lvl w:ilvl="0" w:tplc="5A68B84E">
      <w:start w:val="16"/>
      <w:numFmt w:val="decimal"/>
      <w:lvlText w:val="%1."/>
      <w:lvlJc w:val="left"/>
      <w:pPr>
        <w:tabs>
          <w:tab w:val="num" w:pos="1689"/>
        </w:tabs>
        <w:ind w:left="1689" w:hanging="555"/>
      </w:pPr>
      <w:rPr>
        <w:rFonts w:hint="default"/>
        <w:b w:val="0"/>
        <w:sz w:val="24"/>
        <w:szCs w:val="24"/>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4E76474B"/>
    <w:multiLevelType w:val="hybridMultilevel"/>
    <w:tmpl w:val="D48C910E"/>
    <w:lvl w:ilvl="0" w:tplc="D97C0458">
      <w:start w:val="19"/>
      <w:numFmt w:val="decimal"/>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7" w15:restartNumberingAfterBreak="0">
    <w:nsid w:val="5ABD4D8F"/>
    <w:multiLevelType w:val="hybridMultilevel"/>
    <w:tmpl w:val="5D8407A8"/>
    <w:lvl w:ilvl="0" w:tplc="EEC2071A">
      <w:start w:val="1"/>
      <w:numFmt w:val="decimal"/>
      <w:lvlText w:val="%1."/>
      <w:lvlJc w:val="left"/>
      <w:pPr>
        <w:ind w:left="3696" w:hanging="576"/>
      </w:pPr>
      <w:rPr>
        <w:rFonts w:hint="default"/>
        <w:b w:val="0"/>
        <w:lang w:val="fr-FR"/>
      </w:rPr>
    </w:lvl>
    <w:lvl w:ilvl="1" w:tplc="08090019" w:tentative="1">
      <w:start w:val="1"/>
      <w:numFmt w:val="lowerLetter"/>
      <w:lvlText w:val="%2."/>
      <w:lvlJc w:val="left"/>
      <w:pPr>
        <w:ind w:left="3000" w:hanging="360"/>
      </w:pPr>
    </w:lvl>
    <w:lvl w:ilvl="2" w:tplc="0809001B">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8" w15:restartNumberingAfterBreak="0">
    <w:nsid w:val="5BBE5E02"/>
    <w:multiLevelType w:val="hybridMultilevel"/>
    <w:tmpl w:val="7E1E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046593"/>
    <w:multiLevelType w:val="hybridMultilevel"/>
    <w:tmpl w:val="F0F467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7C5C22"/>
    <w:multiLevelType w:val="hybridMultilevel"/>
    <w:tmpl w:val="ECCE5BBE"/>
    <w:lvl w:ilvl="0" w:tplc="5C5ED9A4">
      <w:start w:val="1"/>
      <w:numFmt w:val="decimal"/>
      <w:pStyle w:val="StyleHeading2NotBoldAfter10pt"/>
      <w:lvlText w:val="Item %1:"/>
      <w:lvlJc w:val="left"/>
      <w:pPr>
        <w:tabs>
          <w:tab w:val="num" w:pos="1134"/>
        </w:tabs>
        <w:ind w:left="1134" w:hanging="1134"/>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92E7FB8">
      <w:start w:val="1"/>
      <w:numFmt w:val="decimal"/>
      <w:lvlText w:val="%2."/>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lang w:val="en-US"/>
      </w:rPr>
    </w:lvl>
    <w:lvl w:ilvl="2" w:tplc="CFD6C288">
      <w:start w:val="7"/>
      <w:numFmt w:val="lowerLetter"/>
      <w:lvlText w:val="(%3)"/>
      <w:lvlJc w:val="left"/>
      <w:pPr>
        <w:tabs>
          <w:tab w:val="num" w:pos="1620"/>
        </w:tabs>
        <w:ind w:left="16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ED5A2A"/>
    <w:multiLevelType w:val="hybridMultilevel"/>
    <w:tmpl w:val="661487CA"/>
    <w:lvl w:ilvl="0" w:tplc="BE463DC6">
      <w:start w:val="23"/>
      <w:numFmt w:val="decimal"/>
      <w:lvlText w:val="%1"/>
      <w:lvlJc w:val="left"/>
      <w:pPr>
        <w:ind w:left="2514" w:hanging="360"/>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num w:numId="1">
    <w:abstractNumId w:val="2"/>
  </w:num>
  <w:num w:numId="2">
    <w:abstractNumId w:val="19"/>
  </w:num>
  <w:num w:numId="3">
    <w:abstractNumId w:val="21"/>
  </w:num>
  <w:num w:numId="4">
    <w:abstractNumId w:val="13"/>
  </w:num>
  <w:num w:numId="5">
    <w:abstractNumId w:val="15"/>
  </w:num>
  <w:num w:numId="6">
    <w:abstractNumId w:val="10"/>
  </w:num>
  <w:num w:numId="7">
    <w:abstractNumId w:val="0"/>
  </w:num>
  <w:num w:numId="8">
    <w:abstractNumId w:val="12"/>
  </w:num>
  <w:num w:numId="9">
    <w:abstractNumId w:val="18"/>
  </w:num>
  <w:num w:numId="10">
    <w:abstractNumId w:val="3"/>
  </w:num>
  <w:num w:numId="11">
    <w:abstractNumId w:val="5"/>
  </w:num>
  <w:num w:numId="12">
    <w:abstractNumId w:val="8"/>
  </w:num>
  <w:num w:numId="13">
    <w:abstractNumId w:val="1"/>
  </w:num>
  <w:num w:numId="14">
    <w:abstractNumId w:val="22"/>
  </w:num>
  <w:num w:numId="15">
    <w:abstractNumId w:val="16"/>
  </w:num>
  <w:num w:numId="16">
    <w:abstractNumId w:val="7"/>
  </w:num>
  <w:num w:numId="17">
    <w:abstractNumId w:val="11"/>
  </w:num>
  <w:num w:numId="18">
    <w:abstractNumId w:val="17"/>
  </w:num>
  <w:num w:numId="19">
    <w:abstractNumId w:val="14"/>
  </w:num>
  <w:num w:numId="20">
    <w:abstractNumId w:val="4"/>
  </w:num>
  <w:num w:numId="21">
    <w:abstractNumId w:val="9"/>
  </w:num>
  <w:num w:numId="22">
    <w:abstractNumId w:val="6"/>
  </w:num>
  <w:num w:numId="2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385"/>
    <w:rsid w:val="0000048D"/>
    <w:rsid w:val="0000153C"/>
    <w:rsid w:val="00003162"/>
    <w:rsid w:val="00003FAD"/>
    <w:rsid w:val="00005ABD"/>
    <w:rsid w:val="000061B8"/>
    <w:rsid w:val="000070BA"/>
    <w:rsid w:val="00010D4F"/>
    <w:rsid w:val="000126FB"/>
    <w:rsid w:val="00013A18"/>
    <w:rsid w:val="00013B26"/>
    <w:rsid w:val="00015654"/>
    <w:rsid w:val="00020312"/>
    <w:rsid w:val="0002046F"/>
    <w:rsid w:val="00020A2F"/>
    <w:rsid w:val="00022B34"/>
    <w:rsid w:val="000245C7"/>
    <w:rsid w:val="00025F00"/>
    <w:rsid w:val="0002758B"/>
    <w:rsid w:val="00032C91"/>
    <w:rsid w:val="00035518"/>
    <w:rsid w:val="00035C8C"/>
    <w:rsid w:val="00040D8D"/>
    <w:rsid w:val="000418CD"/>
    <w:rsid w:val="00046E3F"/>
    <w:rsid w:val="0004722D"/>
    <w:rsid w:val="00050BF6"/>
    <w:rsid w:val="00050F6B"/>
    <w:rsid w:val="00056E71"/>
    <w:rsid w:val="00057FB7"/>
    <w:rsid w:val="00060660"/>
    <w:rsid w:val="00062A13"/>
    <w:rsid w:val="00064180"/>
    <w:rsid w:val="0006483B"/>
    <w:rsid w:val="00066946"/>
    <w:rsid w:val="0007205E"/>
    <w:rsid w:val="00072C20"/>
    <w:rsid w:val="00072C8C"/>
    <w:rsid w:val="00074717"/>
    <w:rsid w:val="00075858"/>
    <w:rsid w:val="00076F45"/>
    <w:rsid w:val="000810FE"/>
    <w:rsid w:val="0008569E"/>
    <w:rsid w:val="00085918"/>
    <w:rsid w:val="0008700B"/>
    <w:rsid w:val="00091C77"/>
    <w:rsid w:val="000931C0"/>
    <w:rsid w:val="000A31B8"/>
    <w:rsid w:val="000A4C5F"/>
    <w:rsid w:val="000A567F"/>
    <w:rsid w:val="000A5745"/>
    <w:rsid w:val="000B04A5"/>
    <w:rsid w:val="000B16A0"/>
    <w:rsid w:val="000B175B"/>
    <w:rsid w:val="000B1B40"/>
    <w:rsid w:val="000B1C48"/>
    <w:rsid w:val="000B3526"/>
    <w:rsid w:val="000B35F5"/>
    <w:rsid w:val="000B3A0F"/>
    <w:rsid w:val="000B4CA3"/>
    <w:rsid w:val="000B56E8"/>
    <w:rsid w:val="000B5EE5"/>
    <w:rsid w:val="000B6349"/>
    <w:rsid w:val="000B7654"/>
    <w:rsid w:val="000B7DEC"/>
    <w:rsid w:val="000C02B7"/>
    <w:rsid w:val="000C23CA"/>
    <w:rsid w:val="000C6140"/>
    <w:rsid w:val="000C665A"/>
    <w:rsid w:val="000D0268"/>
    <w:rsid w:val="000D3518"/>
    <w:rsid w:val="000D57F6"/>
    <w:rsid w:val="000E0415"/>
    <w:rsid w:val="000E322A"/>
    <w:rsid w:val="000E354D"/>
    <w:rsid w:val="000E5865"/>
    <w:rsid w:val="000F2DF0"/>
    <w:rsid w:val="000F712E"/>
    <w:rsid w:val="00101C2E"/>
    <w:rsid w:val="00103FE5"/>
    <w:rsid w:val="0010465A"/>
    <w:rsid w:val="001069AD"/>
    <w:rsid w:val="001074BD"/>
    <w:rsid w:val="0011179A"/>
    <w:rsid w:val="00111B1C"/>
    <w:rsid w:val="00112E5B"/>
    <w:rsid w:val="00113DD7"/>
    <w:rsid w:val="0011744C"/>
    <w:rsid w:val="001206FE"/>
    <w:rsid w:val="001220B8"/>
    <w:rsid w:val="0012489A"/>
    <w:rsid w:val="00127611"/>
    <w:rsid w:val="00131E3D"/>
    <w:rsid w:val="00132D8E"/>
    <w:rsid w:val="001379CD"/>
    <w:rsid w:val="00141C93"/>
    <w:rsid w:val="0014256F"/>
    <w:rsid w:val="00142B8A"/>
    <w:rsid w:val="0014384B"/>
    <w:rsid w:val="00146685"/>
    <w:rsid w:val="00152040"/>
    <w:rsid w:val="0015685E"/>
    <w:rsid w:val="00156C98"/>
    <w:rsid w:val="00160747"/>
    <w:rsid w:val="00161460"/>
    <w:rsid w:val="0016253A"/>
    <w:rsid w:val="001676FF"/>
    <w:rsid w:val="0017028A"/>
    <w:rsid w:val="00171B7C"/>
    <w:rsid w:val="00173B62"/>
    <w:rsid w:val="0017429A"/>
    <w:rsid w:val="00176883"/>
    <w:rsid w:val="00176A5E"/>
    <w:rsid w:val="00176E8D"/>
    <w:rsid w:val="00185D00"/>
    <w:rsid w:val="00192D18"/>
    <w:rsid w:val="00196A13"/>
    <w:rsid w:val="00197399"/>
    <w:rsid w:val="001A1968"/>
    <w:rsid w:val="001A38BA"/>
    <w:rsid w:val="001A7533"/>
    <w:rsid w:val="001B453A"/>
    <w:rsid w:val="001B4B04"/>
    <w:rsid w:val="001B6C1C"/>
    <w:rsid w:val="001C50FD"/>
    <w:rsid w:val="001C6663"/>
    <w:rsid w:val="001C6D1C"/>
    <w:rsid w:val="001C7895"/>
    <w:rsid w:val="001C7CC9"/>
    <w:rsid w:val="001D1EFC"/>
    <w:rsid w:val="001D26DF"/>
    <w:rsid w:val="001D53C8"/>
    <w:rsid w:val="001D5A8C"/>
    <w:rsid w:val="001E0390"/>
    <w:rsid w:val="001E112C"/>
    <w:rsid w:val="001E54DA"/>
    <w:rsid w:val="001E6ED5"/>
    <w:rsid w:val="001E757B"/>
    <w:rsid w:val="001F6399"/>
    <w:rsid w:val="00201768"/>
    <w:rsid w:val="00205AF1"/>
    <w:rsid w:val="002066A6"/>
    <w:rsid w:val="00207A68"/>
    <w:rsid w:val="00210E1A"/>
    <w:rsid w:val="00211E0B"/>
    <w:rsid w:val="00212F18"/>
    <w:rsid w:val="002144CE"/>
    <w:rsid w:val="00217974"/>
    <w:rsid w:val="00220388"/>
    <w:rsid w:val="0022199E"/>
    <w:rsid w:val="00223580"/>
    <w:rsid w:val="00225001"/>
    <w:rsid w:val="0022521A"/>
    <w:rsid w:val="0022631B"/>
    <w:rsid w:val="002317F7"/>
    <w:rsid w:val="00232C75"/>
    <w:rsid w:val="00232C92"/>
    <w:rsid w:val="0023524C"/>
    <w:rsid w:val="00240078"/>
    <w:rsid w:val="002405A7"/>
    <w:rsid w:val="00242D42"/>
    <w:rsid w:val="00245068"/>
    <w:rsid w:val="00245CC5"/>
    <w:rsid w:val="00247F18"/>
    <w:rsid w:val="00252132"/>
    <w:rsid w:val="002527EE"/>
    <w:rsid w:val="002535AF"/>
    <w:rsid w:val="002536FC"/>
    <w:rsid w:val="00257B10"/>
    <w:rsid w:val="0026016B"/>
    <w:rsid w:val="00262A7E"/>
    <w:rsid w:val="002635AE"/>
    <w:rsid w:val="00271989"/>
    <w:rsid w:val="00272AA6"/>
    <w:rsid w:val="00284013"/>
    <w:rsid w:val="00284024"/>
    <w:rsid w:val="002849E7"/>
    <w:rsid w:val="00292CD3"/>
    <w:rsid w:val="002938FE"/>
    <w:rsid w:val="00293AD0"/>
    <w:rsid w:val="0029462F"/>
    <w:rsid w:val="00297657"/>
    <w:rsid w:val="002A1682"/>
    <w:rsid w:val="002A2A1B"/>
    <w:rsid w:val="002A3C45"/>
    <w:rsid w:val="002A6A49"/>
    <w:rsid w:val="002A740C"/>
    <w:rsid w:val="002B1238"/>
    <w:rsid w:val="002B17C6"/>
    <w:rsid w:val="002C1A7E"/>
    <w:rsid w:val="002C32B4"/>
    <w:rsid w:val="002C432B"/>
    <w:rsid w:val="002D3205"/>
    <w:rsid w:val="002D3A20"/>
    <w:rsid w:val="002D3F0F"/>
    <w:rsid w:val="002D6D28"/>
    <w:rsid w:val="002E1292"/>
    <w:rsid w:val="002E220F"/>
    <w:rsid w:val="002E5FEC"/>
    <w:rsid w:val="002E6F1F"/>
    <w:rsid w:val="002E742B"/>
    <w:rsid w:val="002F0641"/>
    <w:rsid w:val="002F0EC4"/>
    <w:rsid w:val="002F1A01"/>
    <w:rsid w:val="002F399B"/>
    <w:rsid w:val="002F3FEA"/>
    <w:rsid w:val="002F4667"/>
    <w:rsid w:val="002F7CB0"/>
    <w:rsid w:val="003015AB"/>
    <w:rsid w:val="0030276B"/>
    <w:rsid w:val="00304FAA"/>
    <w:rsid w:val="003107FA"/>
    <w:rsid w:val="0031496C"/>
    <w:rsid w:val="0031791E"/>
    <w:rsid w:val="0032245E"/>
    <w:rsid w:val="003225E2"/>
    <w:rsid w:val="003229D8"/>
    <w:rsid w:val="00322A2F"/>
    <w:rsid w:val="00323B93"/>
    <w:rsid w:val="003248D6"/>
    <w:rsid w:val="00325F0D"/>
    <w:rsid w:val="00326AFC"/>
    <w:rsid w:val="00330A13"/>
    <w:rsid w:val="00332AEC"/>
    <w:rsid w:val="00332DAD"/>
    <w:rsid w:val="00334EF8"/>
    <w:rsid w:val="003370B4"/>
    <w:rsid w:val="0033745A"/>
    <w:rsid w:val="0034081C"/>
    <w:rsid w:val="00343A08"/>
    <w:rsid w:val="003445C0"/>
    <w:rsid w:val="00346D14"/>
    <w:rsid w:val="00352877"/>
    <w:rsid w:val="00352B0C"/>
    <w:rsid w:val="00353FF6"/>
    <w:rsid w:val="00355925"/>
    <w:rsid w:val="00361878"/>
    <w:rsid w:val="0036329B"/>
    <w:rsid w:val="00363DE7"/>
    <w:rsid w:val="00364B8A"/>
    <w:rsid w:val="00371FB2"/>
    <w:rsid w:val="00381A89"/>
    <w:rsid w:val="003820CC"/>
    <w:rsid w:val="00386DDD"/>
    <w:rsid w:val="0039002A"/>
    <w:rsid w:val="0039153F"/>
    <w:rsid w:val="0039163E"/>
    <w:rsid w:val="0039277A"/>
    <w:rsid w:val="0039440F"/>
    <w:rsid w:val="00396237"/>
    <w:rsid w:val="003972E0"/>
    <w:rsid w:val="003A1467"/>
    <w:rsid w:val="003A2040"/>
    <w:rsid w:val="003A25FF"/>
    <w:rsid w:val="003A312E"/>
    <w:rsid w:val="003A31B9"/>
    <w:rsid w:val="003A4443"/>
    <w:rsid w:val="003A78A1"/>
    <w:rsid w:val="003B0A49"/>
    <w:rsid w:val="003B382B"/>
    <w:rsid w:val="003B4364"/>
    <w:rsid w:val="003B4E3E"/>
    <w:rsid w:val="003B67BB"/>
    <w:rsid w:val="003B744D"/>
    <w:rsid w:val="003C2CC4"/>
    <w:rsid w:val="003C3936"/>
    <w:rsid w:val="003C4F32"/>
    <w:rsid w:val="003D0877"/>
    <w:rsid w:val="003D1EF8"/>
    <w:rsid w:val="003D2322"/>
    <w:rsid w:val="003D2646"/>
    <w:rsid w:val="003D2663"/>
    <w:rsid w:val="003D32BE"/>
    <w:rsid w:val="003D4090"/>
    <w:rsid w:val="003D4B23"/>
    <w:rsid w:val="003D57F4"/>
    <w:rsid w:val="003D5A8B"/>
    <w:rsid w:val="003D708B"/>
    <w:rsid w:val="003D75D5"/>
    <w:rsid w:val="003E11CC"/>
    <w:rsid w:val="003E1DF1"/>
    <w:rsid w:val="003E28BC"/>
    <w:rsid w:val="003E3A67"/>
    <w:rsid w:val="003E59A6"/>
    <w:rsid w:val="003F1ED3"/>
    <w:rsid w:val="003F499A"/>
    <w:rsid w:val="003F55DE"/>
    <w:rsid w:val="003F7299"/>
    <w:rsid w:val="00400746"/>
    <w:rsid w:val="004011D8"/>
    <w:rsid w:val="004039ED"/>
    <w:rsid w:val="00404CAD"/>
    <w:rsid w:val="00405C5B"/>
    <w:rsid w:val="0041080C"/>
    <w:rsid w:val="004125DD"/>
    <w:rsid w:val="00412C1A"/>
    <w:rsid w:val="00413025"/>
    <w:rsid w:val="00413505"/>
    <w:rsid w:val="00414804"/>
    <w:rsid w:val="00414E9B"/>
    <w:rsid w:val="004169B4"/>
    <w:rsid w:val="00417BD4"/>
    <w:rsid w:val="004202C9"/>
    <w:rsid w:val="00423FC4"/>
    <w:rsid w:val="00424443"/>
    <w:rsid w:val="004270B9"/>
    <w:rsid w:val="00430BA5"/>
    <w:rsid w:val="0043190C"/>
    <w:rsid w:val="0043196B"/>
    <w:rsid w:val="00431A55"/>
    <w:rsid w:val="00431A56"/>
    <w:rsid w:val="004324E5"/>
    <w:rsid w:val="004325CB"/>
    <w:rsid w:val="004373EB"/>
    <w:rsid w:val="00437DAA"/>
    <w:rsid w:val="0044377C"/>
    <w:rsid w:val="004440AD"/>
    <w:rsid w:val="00446DE4"/>
    <w:rsid w:val="00447A3C"/>
    <w:rsid w:val="0045342E"/>
    <w:rsid w:val="0045507C"/>
    <w:rsid w:val="00460048"/>
    <w:rsid w:val="0046248A"/>
    <w:rsid w:val="004635C6"/>
    <w:rsid w:val="00463E48"/>
    <w:rsid w:val="00464DE4"/>
    <w:rsid w:val="004673C1"/>
    <w:rsid w:val="00471143"/>
    <w:rsid w:val="00472A5B"/>
    <w:rsid w:val="004801F2"/>
    <w:rsid w:val="00491341"/>
    <w:rsid w:val="00492ADB"/>
    <w:rsid w:val="004933BD"/>
    <w:rsid w:val="004941B8"/>
    <w:rsid w:val="004A13D0"/>
    <w:rsid w:val="004A3DD5"/>
    <w:rsid w:val="004A41CA"/>
    <w:rsid w:val="004A43A9"/>
    <w:rsid w:val="004A714A"/>
    <w:rsid w:val="004B023C"/>
    <w:rsid w:val="004B18BA"/>
    <w:rsid w:val="004B2C05"/>
    <w:rsid w:val="004B6736"/>
    <w:rsid w:val="004C1474"/>
    <w:rsid w:val="004C2090"/>
    <w:rsid w:val="004C253D"/>
    <w:rsid w:val="004C7231"/>
    <w:rsid w:val="004D0E26"/>
    <w:rsid w:val="004D665D"/>
    <w:rsid w:val="004D71A7"/>
    <w:rsid w:val="004E5A83"/>
    <w:rsid w:val="004F0A13"/>
    <w:rsid w:val="004F4729"/>
    <w:rsid w:val="004F478C"/>
    <w:rsid w:val="004F5291"/>
    <w:rsid w:val="004F5911"/>
    <w:rsid w:val="004F6551"/>
    <w:rsid w:val="005011F1"/>
    <w:rsid w:val="00501E05"/>
    <w:rsid w:val="00503228"/>
    <w:rsid w:val="00505384"/>
    <w:rsid w:val="00510B55"/>
    <w:rsid w:val="00511BFE"/>
    <w:rsid w:val="005138ED"/>
    <w:rsid w:val="00514E6E"/>
    <w:rsid w:val="00515CA4"/>
    <w:rsid w:val="00516ED9"/>
    <w:rsid w:val="00523C6B"/>
    <w:rsid w:val="00524DB3"/>
    <w:rsid w:val="005251E1"/>
    <w:rsid w:val="00526F71"/>
    <w:rsid w:val="0053063B"/>
    <w:rsid w:val="005365F4"/>
    <w:rsid w:val="005420F2"/>
    <w:rsid w:val="00545E40"/>
    <w:rsid w:val="00547A83"/>
    <w:rsid w:val="0055357A"/>
    <w:rsid w:val="00553590"/>
    <w:rsid w:val="00554A72"/>
    <w:rsid w:val="005559BA"/>
    <w:rsid w:val="005567CE"/>
    <w:rsid w:val="00556872"/>
    <w:rsid w:val="005629FF"/>
    <w:rsid w:val="00566711"/>
    <w:rsid w:val="00567222"/>
    <w:rsid w:val="00575CF0"/>
    <w:rsid w:val="0057606F"/>
    <w:rsid w:val="00577B1E"/>
    <w:rsid w:val="00577EC6"/>
    <w:rsid w:val="00577EC7"/>
    <w:rsid w:val="005804F2"/>
    <w:rsid w:val="005828C7"/>
    <w:rsid w:val="00586B63"/>
    <w:rsid w:val="0058787F"/>
    <w:rsid w:val="005910FA"/>
    <w:rsid w:val="00591FD6"/>
    <w:rsid w:val="0059752F"/>
    <w:rsid w:val="005A36B1"/>
    <w:rsid w:val="005A4555"/>
    <w:rsid w:val="005A524C"/>
    <w:rsid w:val="005B1810"/>
    <w:rsid w:val="005B3DB3"/>
    <w:rsid w:val="005B48D5"/>
    <w:rsid w:val="005B5AED"/>
    <w:rsid w:val="005C6197"/>
    <w:rsid w:val="005D2E2D"/>
    <w:rsid w:val="005E2077"/>
    <w:rsid w:val="005E506D"/>
    <w:rsid w:val="005E5601"/>
    <w:rsid w:val="005E683B"/>
    <w:rsid w:val="005E7DB0"/>
    <w:rsid w:val="005F02F0"/>
    <w:rsid w:val="005F0CCE"/>
    <w:rsid w:val="005F176C"/>
    <w:rsid w:val="005F1A5B"/>
    <w:rsid w:val="005F2E81"/>
    <w:rsid w:val="005F3311"/>
    <w:rsid w:val="005F3897"/>
    <w:rsid w:val="005F5757"/>
    <w:rsid w:val="005F5D7A"/>
    <w:rsid w:val="006003EB"/>
    <w:rsid w:val="006005FF"/>
    <w:rsid w:val="00603ED3"/>
    <w:rsid w:val="00603FFA"/>
    <w:rsid w:val="00604FEA"/>
    <w:rsid w:val="00605890"/>
    <w:rsid w:val="00605F6A"/>
    <w:rsid w:val="00611C0E"/>
    <w:rsid w:val="00611FC4"/>
    <w:rsid w:val="006176FB"/>
    <w:rsid w:val="006209C6"/>
    <w:rsid w:val="00622216"/>
    <w:rsid w:val="00622969"/>
    <w:rsid w:val="00623ACA"/>
    <w:rsid w:val="00624830"/>
    <w:rsid w:val="00627ED0"/>
    <w:rsid w:val="00630312"/>
    <w:rsid w:val="006303CD"/>
    <w:rsid w:val="00631A7A"/>
    <w:rsid w:val="0063208A"/>
    <w:rsid w:val="0063310C"/>
    <w:rsid w:val="0063376D"/>
    <w:rsid w:val="0063488F"/>
    <w:rsid w:val="00636F22"/>
    <w:rsid w:val="00636FD2"/>
    <w:rsid w:val="00640B26"/>
    <w:rsid w:val="00643A81"/>
    <w:rsid w:val="00645987"/>
    <w:rsid w:val="006471F3"/>
    <w:rsid w:val="006474F9"/>
    <w:rsid w:val="00647E31"/>
    <w:rsid w:val="00654853"/>
    <w:rsid w:val="006632F6"/>
    <w:rsid w:val="00663C9F"/>
    <w:rsid w:val="00664671"/>
    <w:rsid w:val="00665595"/>
    <w:rsid w:val="00665649"/>
    <w:rsid w:val="006715A1"/>
    <w:rsid w:val="00672DF6"/>
    <w:rsid w:val="00673B5F"/>
    <w:rsid w:val="00676F21"/>
    <w:rsid w:val="006773A4"/>
    <w:rsid w:val="00677744"/>
    <w:rsid w:val="00680A12"/>
    <w:rsid w:val="00681711"/>
    <w:rsid w:val="00682954"/>
    <w:rsid w:val="00683E71"/>
    <w:rsid w:val="0068525F"/>
    <w:rsid w:val="0068719C"/>
    <w:rsid w:val="006908C3"/>
    <w:rsid w:val="006913F7"/>
    <w:rsid w:val="00693DDA"/>
    <w:rsid w:val="00694BF4"/>
    <w:rsid w:val="0069699E"/>
    <w:rsid w:val="006977DB"/>
    <w:rsid w:val="006A09F8"/>
    <w:rsid w:val="006A6D5A"/>
    <w:rsid w:val="006A7392"/>
    <w:rsid w:val="006B00D3"/>
    <w:rsid w:val="006B314B"/>
    <w:rsid w:val="006B3608"/>
    <w:rsid w:val="006B3FDD"/>
    <w:rsid w:val="006B61DF"/>
    <w:rsid w:val="006C0029"/>
    <w:rsid w:val="006C25AD"/>
    <w:rsid w:val="006C3B72"/>
    <w:rsid w:val="006C4F40"/>
    <w:rsid w:val="006C50D9"/>
    <w:rsid w:val="006D018D"/>
    <w:rsid w:val="006D06A9"/>
    <w:rsid w:val="006D1D80"/>
    <w:rsid w:val="006D2414"/>
    <w:rsid w:val="006D35D8"/>
    <w:rsid w:val="006D6667"/>
    <w:rsid w:val="006D6BCB"/>
    <w:rsid w:val="006E4219"/>
    <w:rsid w:val="006E532F"/>
    <w:rsid w:val="006E564B"/>
    <w:rsid w:val="006F1168"/>
    <w:rsid w:val="006F3BD7"/>
    <w:rsid w:val="006F4BFD"/>
    <w:rsid w:val="00704445"/>
    <w:rsid w:val="00706217"/>
    <w:rsid w:val="007105DE"/>
    <w:rsid w:val="007108E8"/>
    <w:rsid w:val="0071143C"/>
    <w:rsid w:val="007116AD"/>
    <w:rsid w:val="00716E5C"/>
    <w:rsid w:val="0071743C"/>
    <w:rsid w:val="007228B6"/>
    <w:rsid w:val="0072632A"/>
    <w:rsid w:val="00726457"/>
    <w:rsid w:val="0073015F"/>
    <w:rsid w:val="00731242"/>
    <w:rsid w:val="00732612"/>
    <w:rsid w:val="00732B1B"/>
    <w:rsid w:val="00740CC6"/>
    <w:rsid w:val="00743763"/>
    <w:rsid w:val="00744F47"/>
    <w:rsid w:val="00745C2D"/>
    <w:rsid w:val="00745C55"/>
    <w:rsid w:val="0075030E"/>
    <w:rsid w:val="0075358B"/>
    <w:rsid w:val="00755891"/>
    <w:rsid w:val="0076155F"/>
    <w:rsid w:val="0076452A"/>
    <w:rsid w:val="00764D7F"/>
    <w:rsid w:val="0076668B"/>
    <w:rsid w:val="00771AC5"/>
    <w:rsid w:val="007740DD"/>
    <w:rsid w:val="00774E55"/>
    <w:rsid w:val="00775251"/>
    <w:rsid w:val="00775B2A"/>
    <w:rsid w:val="00781750"/>
    <w:rsid w:val="00783AD1"/>
    <w:rsid w:val="0079150B"/>
    <w:rsid w:val="0079153C"/>
    <w:rsid w:val="007A22ED"/>
    <w:rsid w:val="007A23D7"/>
    <w:rsid w:val="007A37F6"/>
    <w:rsid w:val="007B6224"/>
    <w:rsid w:val="007B64A5"/>
    <w:rsid w:val="007B6BA5"/>
    <w:rsid w:val="007C3390"/>
    <w:rsid w:val="007C3B83"/>
    <w:rsid w:val="007C4F4B"/>
    <w:rsid w:val="007C61C9"/>
    <w:rsid w:val="007C752A"/>
    <w:rsid w:val="007C7977"/>
    <w:rsid w:val="007D0769"/>
    <w:rsid w:val="007D34F1"/>
    <w:rsid w:val="007D5C10"/>
    <w:rsid w:val="007E3A35"/>
    <w:rsid w:val="007E5BA3"/>
    <w:rsid w:val="007F0A67"/>
    <w:rsid w:val="007F0B83"/>
    <w:rsid w:val="007F1649"/>
    <w:rsid w:val="007F1D3C"/>
    <w:rsid w:val="007F321D"/>
    <w:rsid w:val="007F50C0"/>
    <w:rsid w:val="007F6166"/>
    <w:rsid w:val="007F6611"/>
    <w:rsid w:val="007F6C43"/>
    <w:rsid w:val="00806362"/>
    <w:rsid w:val="00806AB4"/>
    <w:rsid w:val="008128AC"/>
    <w:rsid w:val="00816D00"/>
    <w:rsid w:val="008175E9"/>
    <w:rsid w:val="008201D6"/>
    <w:rsid w:val="008242D7"/>
    <w:rsid w:val="0082446E"/>
    <w:rsid w:val="00826408"/>
    <w:rsid w:val="00827E05"/>
    <w:rsid w:val="008311A3"/>
    <w:rsid w:val="008346AF"/>
    <w:rsid w:val="00834ABF"/>
    <w:rsid w:val="00835DB2"/>
    <w:rsid w:val="00837C5D"/>
    <w:rsid w:val="008423F0"/>
    <w:rsid w:val="008456B4"/>
    <w:rsid w:val="0085008D"/>
    <w:rsid w:val="00850473"/>
    <w:rsid w:val="00850497"/>
    <w:rsid w:val="00854B5D"/>
    <w:rsid w:val="00855576"/>
    <w:rsid w:val="008570A6"/>
    <w:rsid w:val="0086020E"/>
    <w:rsid w:val="008625B5"/>
    <w:rsid w:val="00865E8A"/>
    <w:rsid w:val="008716D6"/>
    <w:rsid w:val="008717C5"/>
    <w:rsid w:val="00871FD5"/>
    <w:rsid w:val="008732B8"/>
    <w:rsid w:val="00873AC1"/>
    <w:rsid w:val="00874C8D"/>
    <w:rsid w:val="00874EAB"/>
    <w:rsid w:val="00880527"/>
    <w:rsid w:val="00880B4A"/>
    <w:rsid w:val="00882FD1"/>
    <w:rsid w:val="00883A17"/>
    <w:rsid w:val="00883CC5"/>
    <w:rsid w:val="0089142E"/>
    <w:rsid w:val="008945D4"/>
    <w:rsid w:val="008955BD"/>
    <w:rsid w:val="008977AA"/>
    <w:rsid w:val="008979B1"/>
    <w:rsid w:val="008A0357"/>
    <w:rsid w:val="008A2008"/>
    <w:rsid w:val="008A420E"/>
    <w:rsid w:val="008A66D2"/>
    <w:rsid w:val="008A6B25"/>
    <w:rsid w:val="008A6C4F"/>
    <w:rsid w:val="008B4A54"/>
    <w:rsid w:val="008C1056"/>
    <w:rsid w:val="008C1D4A"/>
    <w:rsid w:val="008D1C4E"/>
    <w:rsid w:val="008D472D"/>
    <w:rsid w:val="008D4D32"/>
    <w:rsid w:val="008D54E1"/>
    <w:rsid w:val="008E057C"/>
    <w:rsid w:val="008E09DC"/>
    <w:rsid w:val="008E0C84"/>
    <w:rsid w:val="008E0E46"/>
    <w:rsid w:val="008E21A5"/>
    <w:rsid w:val="008F2157"/>
    <w:rsid w:val="008F3540"/>
    <w:rsid w:val="008F5DB8"/>
    <w:rsid w:val="008F6FB6"/>
    <w:rsid w:val="00901B03"/>
    <w:rsid w:val="009062DA"/>
    <w:rsid w:val="00907AD2"/>
    <w:rsid w:val="0091141D"/>
    <w:rsid w:val="0091198B"/>
    <w:rsid w:val="00912A3E"/>
    <w:rsid w:val="00912DAC"/>
    <w:rsid w:val="00913042"/>
    <w:rsid w:val="0091528D"/>
    <w:rsid w:val="009159EE"/>
    <w:rsid w:val="00921146"/>
    <w:rsid w:val="0092136C"/>
    <w:rsid w:val="00921F2E"/>
    <w:rsid w:val="009228D6"/>
    <w:rsid w:val="0092555A"/>
    <w:rsid w:val="00925C32"/>
    <w:rsid w:val="00925C33"/>
    <w:rsid w:val="00926CC2"/>
    <w:rsid w:val="00935A2B"/>
    <w:rsid w:val="00935E3F"/>
    <w:rsid w:val="00936E48"/>
    <w:rsid w:val="009417FE"/>
    <w:rsid w:val="0094245E"/>
    <w:rsid w:val="0094328F"/>
    <w:rsid w:val="00944DB0"/>
    <w:rsid w:val="00955058"/>
    <w:rsid w:val="00956724"/>
    <w:rsid w:val="00956CCF"/>
    <w:rsid w:val="00960817"/>
    <w:rsid w:val="00963CBA"/>
    <w:rsid w:val="00964A5E"/>
    <w:rsid w:val="00964F91"/>
    <w:rsid w:val="00965A10"/>
    <w:rsid w:val="00966105"/>
    <w:rsid w:val="00974A8D"/>
    <w:rsid w:val="00975406"/>
    <w:rsid w:val="009754BE"/>
    <w:rsid w:val="00975C3D"/>
    <w:rsid w:val="009770F5"/>
    <w:rsid w:val="009801A0"/>
    <w:rsid w:val="009830FC"/>
    <w:rsid w:val="00983685"/>
    <w:rsid w:val="00983C7B"/>
    <w:rsid w:val="0098479D"/>
    <w:rsid w:val="00984901"/>
    <w:rsid w:val="00984953"/>
    <w:rsid w:val="00985F4A"/>
    <w:rsid w:val="00987AD2"/>
    <w:rsid w:val="00991261"/>
    <w:rsid w:val="00995057"/>
    <w:rsid w:val="009A19D1"/>
    <w:rsid w:val="009A4405"/>
    <w:rsid w:val="009A7577"/>
    <w:rsid w:val="009B43BF"/>
    <w:rsid w:val="009B7D5E"/>
    <w:rsid w:val="009C0501"/>
    <w:rsid w:val="009C2166"/>
    <w:rsid w:val="009C77D0"/>
    <w:rsid w:val="009C7A27"/>
    <w:rsid w:val="009C7CCB"/>
    <w:rsid w:val="009D03E2"/>
    <w:rsid w:val="009D0A56"/>
    <w:rsid w:val="009D2AAB"/>
    <w:rsid w:val="009D38E4"/>
    <w:rsid w:val="009D4DCF"/>
    <w:rsid w:val="009D523E"/>
    <w:rsid w:val="009D68D0"/>
    <w:rsid w:val="009D77CC"/>
    <w:rsid w:val="009E0912"/>
    <w:rsid w:val="009E0B12"/>
    <w:rsid w:val="009E10FD"/>
    <w:rsid w:val="009E2114"/>
    <w:rsid w:val="009E7AEC"/>
    <w:rsid w:val="009F0556"/>
    <w:rsid w:val="009F3257"/>
    <w:rsid w:val="009F3A17"/>
    <w:rsid w:val="009F43F6"/>
    <w:rsid w:val="009F45B0"/>
    <w:rsid w:val="009F4B3F"/>
    <w:rsid w:val="009F5310"/>
    <w:rsid w:val="00A009A7"/>
    <w:rsid w:val="00A00F51"/>
    <w:rsid w:val="00A0189B"/>
    <w:rsid w:val="00A01F97"/>
    <w:rsid w:val="00A049E0"/>
    <w:rsid w:val="00A0523C"/>
    <w:rsid w:val="00A05D27"/>
    <w:rsid w:val="00A13A7F"/>
    <w:rsid w:val="00A1427D"/>
    <w:rsid w:val="00A145B7"/>
    <w:rsid w:val="00A21B34"/>
    <w:rsid w:val="00A23375"/>
    <w:rsid w:val="00A245C3"/>
    <w:rsid w:val="00A27315"/>
    <w:rsid w:val="00A3380E"/>
    <w:rsid w:val="00A35336"/>
    <w:rsid w:val="00A35C21"/>
    <w:rsid w:val="00A403BE"/>
    <w:rsid w:val="00A42C01"/>
    <w:rsid w:val="00A43C4D"/>
    <w:rsid w:val="00A44553"/>
    <w:rsid w:val="00A44B83"/>
    <w:rsid w:val="00A45DD2"/>
    <w:rsid w:val="00A572D3"/>
    <w:rsid w:val="00A60477"/>
    <w:rsid w:val="00A61775"/>
    <w:rsid w:val="00A622AF"/>
    <w:rsid w:val="00A62872"/>
    <w:rsid w:val="00A6378E"/>
    <w:rsid w:val="00A66E01"/>
    <w:rsid w:val="00A70180"/>
    <w:rsid w:val="00A71B01"/>
    <w:rsid w:val="00A72559"/>
    <w:rsid w:val="00A72F22"/>
    <w:rsid w:val="00A748A6"/>
    <w:rsid w:val="00A77F64"/>
    <w:rsid w:val="00A805FE"/>
    <w:rsid w:val="00A806CE"/>
    <w:rsid w:val="00A811A6"/>
    <w:rsid w:val="00A8279C"/>
    <w:rsid w:val="00A83384"/>
    <w:rsid w:val="00A85F3C"/>
    <w:rsid w:val="00A86A48"/>
    <w:rsid w:val="00A879A4"/>
    <w:rsid w:val="00A90BE2"/>
    <w:rsid w:val="00A97638"/>
    <w:rsid w:val="00AA2D22"/>
    <w:rsid w:val="00AA2DA0"/>
    <w:rsid w:val="00AA6C34"/>
    <w:rsid w:val="00AC1A8B"/>
    <w:rsid w:val="00AC2584"/>
    <w:rsid w:val="00AD2687"/>
    <w:rsid w:val="00AD2F75"/>
    <w:rsid w:val="00AD38F3"/>
    <w:rsid w:val="00AD59CB"/>
    <w:rsid w:val="00AD5A1E"/>
    <w:rsid w:val="00AD6068"/>
    <w:rsid w:val="00AD7069"/>
    <w:rsid w:val="00AD7DA1"/>
    <w:rsid w:val="00AE2088"/>
    <w:rsid w:val="00AE25EF"/>
    <w:rsid w:val="00AE279E"/>
    <w:rsid w:val="00AE3C25"/>
    <w:rsid w:val="00AE44C0"/>
    <w:rsid w:val="00AF0295"/>
    <w:rsid w:val="00AF0980"/>
    <w:rsid w:val="00AF4D0F"/>
    <w:rsid w:val="00AF4F35"/>
    <w:rsid w:val="00AF5760"/>
    <w:rsid w:val="00AF741E"/>
    <w:rsid w:val="00B02E03"/>
    <w:rsid w:val="00B0428A"/>
    <w:rsid w:val="00B04832"/>
    <w:rsid w:val="00B0693E"/>
    <w:rsid w:val="00B079FD"/>
    <w:rsid w:val="00B1192A"/>
    <w:rsid w:val="00B13736"/>
    <w:rsid w:val="00B15C87"/>
    <w:rsid w:val="00B208ED"/>
    <w:rsid w:val="00B20EC8"/>
    <w:rsid w:val="00B25362"/>
    <w:rsid w:val="00B26B85"/>
    <w:rsid w:val="00B30179"/>
    <w:rsid w:val="00B31AF3"/>
    <w:rsid w:val="00B324A8"/>
    <w:rsid w:val="00B33EC0"/>
    <w:rsid w:val="00B354D7"/>
    <w:rsid w:val="00B372F8"/>
    <w:rsid w:val="00B37E7C"/>
    <w:rsid w:val="00B41964"/>
    <w:rsid w:val="00B43995"/>
    <w:rsid w:val="00B43DE9"/>
    <w:rsid w:val="00B44691"/>
    <w:rsid w:val="00B446A3"/>
    <w:rsid w:val="00B468E4"/>
    <w:rsid w:val="00B47447"/>
    <w:rsid w:val="00B47A47"/>
    <w:rsid w:val="00B524DD"/>
    <w:rsid w:val="00B52AF6"/>
    <w:rsid w:val="00B52D1C"/>
    <w:rsid w:val="00B54723"/>
    <w:rsid w:val="00B54D66"/>
    <w:rsid w:val="00B55A4A"/>
    <w:rsid w:val="00B5657E"/>
    <w:rsid w:val="00B61100"/>
    <w:rsid w:val="00B6198D"/>
    <w:rsid w:val="00B6213E"/>
    <w:rsid w:val="00B6307B"/>
    <w:rsid w:val="00B6510E"/>
    <w:rsid w:val="00B657A1"/>
    <w:rsid w:val="00B728C9"/>
    <w:rsid w:val="00B73F89"/>
    <w:rsid w:val="00B760AD"/>
    <w:rsid w:val="00B80B13"/>
    <w:rsid w:val="00B81E12"/>
    <w:rsid w:val="00B85A32"/>
    <w:rsid w:val="00B85E55"/>
    <w:rsid w:val="00B90A26"/>
    <w:rsid w:val="00B94E94"/>
    <w:rsid w:val="00B95CF2"/>
    <w:rsid w:val="00B97954"/>
    <w:rsid w:val="00B979AE"/>
    <w:rsid w:val="00BA21E8"/>
    <w:rsid w:val="00BA3DC2"/>
    <w:rsid w:val="00BA5AC3"/>
    <w:rsid w:val="00BB22D5"/>
    <w:rsid w:val="00BB2D9A"/>
    <w:rsid w:val="00BB3553"/>
    <w:rsid w:val="00BB3D5A"/>
    <w:rsid w:val="00BB466E"/>
    <w:rsid w:val="00BB6B35"/>
    <w:rsid w:val="00BB7E9B"/>
    <w:rsid w:val="00BC0B8D"/>
    <w:rsid w:val="00BC0E73"/>
    <w:rsid w:val="00BC5E5A"/>
    <w:rsid w:val="00BC74E9"/>
    <w:rsid w:val="00BD17EC"/>
    <w:rsid w:val="00BD2146"/>
    <w:rsid w:val="00BD2307"/>
    <w:rsid w:val="00BD4E04"/>
    <w:rsid w:val="00BD6EC6"/>
    <w:rsid w:val="00BE4F74"/>
    <w:rsid w:val="00BE618E"/>
    <w:rsid w:val="00BF1E1A"/>
    <w:rsid w:val="00BF62D1"/>
    <w:rsid w:val="00C011F0"/>
    <w:rsid w:val="00C02DCD"/>
    <w:rsid w:val="00C06049"/>
    <w:rsid w:val="00C0758F"/>
    <w:rsid w:val="00C10EC1"/>
    <w:rsid w:val="00C14430"/>
    <w:rsid w:val="00C14F32"/>
    <w:rsid w:val="00C17699"/>
    <w:rsid w:val="00C234E3"/>
    <w:rsid w:val="00C24B76"/>
    <w:rsid w:val="00C25F7C"/>
    <w:rsid w:val="00C25F8E"/>
    <w:rsid w:val="00C27058"/>
    <w:rsid w:val="00C308BF"/>
    <w:rsid w:val="00C321DC"/>
    <w:rsid w:val="00C331EC"/>
    <w:rsid w:val="00C34C79"/>
    <w:rsid w:val="00C350C4"/>
    <w:rsid w:val="00C3656D"/>
    <w:rsid w:val="00C41A28"/>
    <w:rsid w:val="00C41D21"/>
    <w:rsid w:val="00C463DD"/>
    <w:rsid w:val="00C50E78"/>
    <w:rsid w:val="00C511F3"/>
    <w:rsid w:val="00C53514"/>
    <w:rsid w:val="00C56729"/>
    <w:rsid w:val="00C568C6"/>
    <w:rsid w:val="00C56983"/>
    <w:rsid w:val="00C578E5"/>
    <w:rsid w:val="00C61215"/>
    <w:rsid w:val="00C61C1A"/>
    <w:rsid w:val="00C643C6"/>
    <w:rsid w:val="00C65CA9"/>
    <w:rsid w:val="00C745C3"/>
    <w:rsid w:val="00C801D4"/>
    <w:rsid w:val="00C80847"/>
    <w:rsid w:val="00C814D6"/>
    <w:rsid w:val="00C81A24"/>
    <w:rsid w:val="00C822B8"/>
    <w:rsid w:val="00C837C1"/>
    <w:rsid w:val="00C85087"/>
    <w:rsid w:val="00C85170"/>
    <w:rsid w:val="00C85505"/>
    <w:rsid w:val="00C85693"/>
    <w:rsid w:val="00C86CC3"/>
    <w:rsid w:val="00C91790"/>
    <w:rsid w:val="00C92E6B"/>
    <w:rsid w:val="00C93E77"/>
    <w:rsid w:val="00C93F5E"/>
    <w:rsid w:val="00C941CA"/>
    <w:rsid w:val="00C95670"/>
    <w:rsid w:val="00C97D28"/>
    <w:rsid w:val="00CA050B"/>
    <w:rsid w:val="00CA05CE"/>
    <w:rsid w:val="00CA2EB9"/>
    <w:rsid w:val="00CA2F65"/>
    <w:rsid w:val="00CA314C"/>
    <w:rsid w:val="00CA388A"/>
    <w:rsid w:val="00CA5FE9"/>
    <w:rsid w:val="00CA623F"/>
    <w:rsid w:val="00CA6284"/>
    <w:rsid w:val="00CB06BD"/>
    <w:rsid w:val="00CB1ACB"/>
    <w:rsid w:val="00CB5C47"/>
    <w:rsid w:val="00CB5FF3"/>
    <w:rsid w:val="00CC16D9"/>
    <w:rsid w:val="00CD1380"/>
    <w:rsid w:val="00CD19C4"/>
    <w:rsid w:val="00CD3D7A"/>
    <w:rsid w:val="00CD3EC3"/>
    <w:rsid w:val="00CD7991"/>
    <w:rsid w:val="00CD7A88"/>
    <w:rsid w:val="00CE217A"/>
    <w:rsid w:val="00CE4A8F"/>
    <w:rsid w:val="00CE51B9"/>
    <w:rsid w:val="00CE55A0"/>
    <w:rsid w:val="00CF208D"/>
    <w:rsid w:val="00CF59A8"/>
    <w:rsid w:val="00CF762D"/>
    <w:rsid w:val="00D04332"/>
    <w:rsid w:val="00D047ED"/>
    <w:rsid w:val="00D05AAC"/>
    <w:rsid w:val="00D05CF6"/>
    <w:rsid w:val="00D05D5B"/>
    <w:rsid w:val="00D0619E"/>
    <w:rsid w:val="00D07B1A"/>
    <w:rsid w:val="00D11168"/>
    <w:rsid w:val="00D1429E"/>
    <w:rsid w:val="00D144B0"/>
    <w:rsid w:val="00D147A4"/>
    <w:rsid w:val="00D14E52"/>
    <w:rsid w:val="00D2031B"/>
    <w:rsid w:val="00D231B2"/>
    <w:rsid w:val="00D237C1"/>
    <w:rsid w:val="00D23C06"/>
    <w:rsid w:val="00D23E6A"/>
    <w:rsid w:val="00D25FE2"/>
    <w:rsid w:val="00D26B69"/>
    <w:rsid w:val="00D317BB"/>
    <w:rsid w:val="00D32C26"/>
    <w:rsid w:val="00D3591F"/>
    <w:rsid w:val="00D3665D"/>
    <w:rsid w:val="00D370ED"/>
    <w:rsid w:val="00D41F0D"/>
    <w:rsid w:val="00D41F9A"/>
    <w:rsid w:val="00D43252"/>
    <w:rsid w:val="00D47075"/>
    <w:rsid w:val="00D47977"/>
    <w:rsid w:val="00D543EF"/>
    <w:rsid w:val="00D5462F"/>
    <w:rsid w:val="00D61653"/>
    <w:rsid w:val="00D6187F"/>
    <w:rsid w:val="00D6350A"/>
    <w:rsid w:val="00D63648"/>
    <w:rsid w:val="00D6558C"/>
    <w:rsid w:val="00D66719"/>
    <w:rsid w:val="00D70D9D"/>
    <w:rsid w:val="00D747A0"/>
    <w:rsid w:val="00D7678C"/>
    <w:rsid w:val="00D76E66"/>
    <w:rsid w:val="00D81A33"/>
    <w:rsid w:val="00D81AA7"/>
    <w:rsid w:val="00D82316"/>
    <w:rsid w:val="00D87435"/>
    <w:rsid w:val="00D918F2"/>
    <w:rsid w:val="00D93381"/>
    <w:rsid w:val="00D93C9F"/>
    <w:rsid w:val="00D93D2C"/>
    <w:rsid w:val="00D9504C"/>
    <w:rsid w:val="00D95385"/>
    <w:rsid w:val="00D978C6"/>
    <w:rsid w:val="00DA0ED1"/>
    <w:rsid w:val="00DA28A9"/>
    <w:rsid w:val="00DA3DB2"/>
    <w:rsid w:val="00DA635B"/>
    <w:rsid w:val="00DA6371"/>
    <w:rsid w:val="00DA67AD"/>
    <w:rsid w:val="00DA6E3C"/>
    <w:rsid w:val="00DA7A31"/>
    <w:rsid w:val="00DB350F"/>
    <w:rsid w:val="00DB4A4D"/>
    <w:rsid w:val="00DB5D0F"/>
    <w:rsid w:val="00DB6D8D"/>
    <w:rsid w:val="00DC1492"/>
    <w:rsid w:val="00DC3112"/>
    <w:rsid w:val="00DC4E37"/>
    <w:rsid w:val="00DD1335"/>
    <w:rsid w:val="00DD186C"/>
    <w:rsid w:val="00DD22B7"/>
    <w:rsid w:val="00DD34B1"/>
    <w:rsid w:val="00DD3EA7"/>
    <w:rsid w:val="00DD6A85"/>
    <w:rsid w:val="00DD7784"/>
    <w:rsid w:val="00DE1DEA"/>
    <w:rsid w:val="00DE20BF"/>
    <w:rsid w:val="00DE5CE6"/>
    <w:rsid w:val="00DE6977"/>
    <w:rsid w:val="00DF12F7"/>
    <w:rsid w:val="00DF38AD"/>
    <w:rsid w:val="00DF3CA8"/>
    <w:rsid w:val="00DF49D6"/>
    <w:rsid w:val="00E01519"/>
    <w:rsid w:val="00E020E8"/>
    <w:rsid w:val="00E02C81"/>
    <w:rsid w:val="00E0443D"/>
    <w:rsid w:val="00E053EA"/>
    <w:rsid w:val="00E056CD"/>
    <w:rsid w:val="00E07E97"/>
    <w:rsid w:val="00E07ED2"/>
    <w:rsid w:val="00E10E65"/>
    <w:rsid w:val="00E11D31"/>
    <w:rsid w:val="00E130AB"/>
    <w:rsid w:val="00E171BC"/>
    <w:rsid w:val="00E21422"/>
    <w:rsid w:val="00E245C6"/>
    <w:rsid w:val="00E26791"/>
    <w:rsid w:val="00E27EED"/>
    <w:rsid w:val="00E36588"/>
    <w:rsid w:val="00E401FA"/>
    <w:rsid w:val="00E43D92"/>
    <w:rsid w:val="00E44BAD"/>
    <w:rsid w:val="00E466E1"/>
    <w:rsid w:val="00E51E20"/>
    <w:rsid w:val="00E53AA4"/>
    <w:rsid w:val="00E55CDE"/>
    <w:rsid w:val="00E61D44"/>
    <w:rsid w:val="00E62A51"/>
    <w:rsid w:val="00E62E49"/>
    <w:rsid w:val="00E63DB0"/>
    <w:rsid w:val="00E6792B"/>
    <w:rsid w:val="00E7260F"/>
    <w:rsid w:val="00E7446F"/>
    <w:rsid w:val="00E82F45"/>
    <w:rsid w:val="00E843B7"/>
    <w:rsid w:val="00E84BCD"/>
    <w:rsid w:val="00E86268"/>
    <w:rsid w:val="00E87921"/>
    <w:rsid w:val="00E87B11"/>
    <w:rsid w:val="00E90A99"/>
    <w:rsid w:val="00E92A5E"/>
    <w:rsid w:val="00E93904"/>
    <w:rsid w:val="00E96630"/>
    <w:rsid w:val="00EA0DBD"/>
    <w:rsid w:val="00EA1452"/>
    <w:rsid w:val="00EA196C"/>
    <w:rsid w:val="00EA264E"/>
    <w:rsid w:val="00EA2D98"/>
    <w:rsid w:val="00EA44D6"/>
    <w:rsid w:val="00EA4DF0"/>
    <w:rsid w:val="00EA677B"/>
    <w:rsid w:val="00EA7A36"/>
    <w:rsid w:val="00EB3F80"/>
    <w:rsid w:val="00EB5425"/>
    <w:rsid w:val="00EB6DDD"/>
    <w:rsid w:val="00EB7E70"/>
    <w:rsid w:val="00EC5A19"/>
    <w:rsid w:val="00EC642A"/>
    <w:rsid w:val="00EC78F8"/>
    <w:rsid w:val="00ED0835"/>
    <w:rsid w:val="00ED1BAF"/>
    <w:rsid w:val="00ED26FF"/>
    <w:rsid w:val="00ED5FDE"/>
    <w:rsid w:val="00ED7A2A"/>
    <w:rsid w:val="00EE0AB8"/>
    <w:rsid w:val="00EF13A7"/>
    <w:rsid w:val="00EF1D7F"/>
    <w:rsid w:val="00EF272E"/>
    <w:rsid w:val="00EF459B"/>
    <w:rsid w:val="00EF4906"/>
    <w:rsid w:val="00EF4A65"/>
    <w:rsid w:val="00EF66E6"/>
    <w:rsid w:val="00EF76B8"/>
    <w:rsid w:val="00F0018E"/>
    <w:rsid w:val="00F00B4C"/>
    <w:rsid w:val="00F01F49"/>
    <w:rsid w:val="00F05AD5"/>
    <w:rsid w:val="00F079AA"/>
    <w:rsid w:val="00F106F2"/>
    <w:rsid w:val="00F11314"/>
    <w:rsid w:val="00F12299"/>
    <w:rsid w:val="00F14834"/>
    <w:rsid w:val="00F14903"/>
    <w:rsid w:val="00F14964"/>
    <w:rsid w:val="00F1500D"/>
    <w:rsid w:val="00F17FB2"/>
    <w:rsid w:val="00F21009"/>
    <w:rsid w:val="00F21DBA"/>
    <w:rsid w:val="00F253A9"/>
    <w:rsid w:val="00F254A2"/>
    <w:rsid w:val="00F2765A"/>
    <w:rsid w:val="00F2773A"/>
    <w:rsid w:val="00F3440B"/>
    <w:rsid w:val="00F37251"/>
    <w:rsid w:val="00F41822"/>
    <w:rsid w:val="00F46B57"/>
    <w:rsid w:val="00F47A27"/>
    <w:rsid w:val="00F5291A"/>
    <w:rsid w:val="00F53EA6"/>
    <w:rsid w:val="00F53EDA"/>
    <w:rsid w:val="00F551E3"/>
    <w:rsid w:val="00F63A04"/>
    <w:rsid w:val="00F6505C"/>
    <w:rsid w:val="00F652DF"/>
    <w:rsid w:val="00F6584A"/>
    <w:rsid w:val="00F7014C"/>
    <w:rsid w:val="00F72527"/>
    <w:rsid w:val="00F74B5C"/>
    <w:rsid w:val="00F75DDA"/>
    <w:rsid w:val="00F760A0"/>
    <w:rsid w:val="00F7753D"/>
    <w:rsid w:val="00F827E5"/>
    <w:rsid w:val="00F8431E"/>
    <w:rsid w:val="00F85F34"/>
    <w:rsid w:val="00F874A5"/>
    <w:rsid w:val="00F87E3D"/>
    <w:rsid w:val="00F90256"/>
    <w:rsid w:val="00F940A1"/>
    <w:rsid w:val="00F95564"/>
    <w:rsid w:val="00F9683D"/>
    <w:rsid w:val="00FA03B1"/>
    <w:rsid w:val="00FA0435"/>
    <w:rsid w:val="00FA06F7"/>
    <w:rsid w:val="00FA1E8E"/>
    <w:rsid w:val="00FB0AAA"/>
    <w:rsid w:val="00FB171A"/>
    <w:rsid w:val="00FB5EC6"/>
    <w:rsid w:val="00FC2378"/>
    <w:rsid w:val="00FC27FA"/>
    <w:rsid w:val="00FC3D17"/>
    <w:rsid w:val="00FC3D1F"/>
    <w:rsid w:val="00FC68B7"/>
    <w:rsid w:val="00FC6D0B"/>
    <w:rsid w:val="00FD000C"/>
    <w:rsid w:val="00FD0B93"/>
    <w:rsid w:val="00FD1743"/>
    <w:rsid w:val="00FD4E70"/>
    <w:rsid w:val="00FD7BF6"/>
    <w:rsid w:val="00FE09FE"/>
    <w:rsid w:val="00FE3220"/>
    <w:rsid w:val="00FE3B24"/>
    <w:rsid w:val="00FE5BC2"/>
    <w:rsid w:val="00FE5DB1"/>
    <w:rsid w:val="00FE606F"/>
    <w:rsid w:val="00FF0593"/>
    <w:rsid w:val="00FF0C58"/>
    <w:rsid w:val="00FF39D3"/>
    <w:rsid w:val="00FF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D6AC3B8"/>
  <w15:chartTrackingRefBased/>
  <w15:docId w15:val="{C3A816CB-9F8B-4DCA-8FE8-85122804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Heading2NotBoldAfter10pt">
    <w:name w:val="Style Heading 2 + Not Bold After:  10 pt"/>
    <w:basedOn w:val="Heading2"/>
    <w:rsid w:val="00D95385"/>
    <w:pPr>
      <w:keepNext/>
      <w:numPr>
        <w:numId w:val="3"/>
      </w:numPr>
      <w:suppressAutoHyphens w:val="0"/>
      <w:spacing w:after="200"/>
    </w:pPr>
    <w:rPr>
      <w:caps/>
      <w:snapToGrid w:val="0"/>
      <w:sz w:val="24"/>
    </w:rPr>
  </w:style>
  <w:style w:type="character" w:customStyle="1" w:styleId="ParaNoChar">
    <w:name w:val="ParaNo. Char"/>
    <w:link w:val="ParaNo"/>
    <w:rsid w:val="00F079AA"/>
    <w:rPr>
      <w:sz w:val="24"/>
      <w:lang w:val="en-GB" w:eastAsia="en-US" w:bidi="ar-SA"/>
    </w:rPr>
  </w:style>
  <w:style w:type="paragraph" w:customStyle="1" w:styleId="ParaNo">
    <w:name w:val="ParaNo."/>
    <w:basedOn w:val="Normal"/>
    <w:link w:val="ParaNoChar"/>
    <w:rsid w:val="00F079AA"/>
    <w:pPr>
      <w:numPr>
        <w:numId w:val="4"/>
      </w:numPr>
      <w:suppressAutoHyphens w:val="0"/>
      <w:spacing w:after="240" w:line="240" w:lineRule="auto"/>
      <w:jc w:val="both"/>
    </w:pPr>
    <w:rPr>
      <w:sz w:val="24"/>
    </w:rPr>
  </w:style>
  <w:style w:type="paragraph" w:styleId="BalloonText">
    <w:name w:val="Balloon Text"/>
    <w:basedOn w:val="Normal"/>
    <w:semiHidden/>
    <w:rsid w:val="00F079AA"/>
    <w:rPr>
      <w:rFonts w:ascii="Tahoma" w:hAnsi="Tahoma" w:cs="Tahoma"/>
      <w:sz w:val="16"/>
      <w:szCs w:val="16"/>
    </w:rPr>
  </w:style>
  <w:style w:type="character" w:customStyle="1" w:styleId="SingleTxtGChar">
    <w:name w:val="_ Single Txt_G Char"/>
    <w:link w:val="SingleTxtG"/>
    <w:rsid w:val="002144CE"/>
    <w:rPr>
      <w:lang w:val="en-GB" w:eastAsia="en-US" w:bidi="ar-SA"/>
    </w:rPr>
  </w:style>
  <w:style w:type="paragraph" w:styleId="DocumentMap">
    <w:name w:val="Document Map"/>
    <w:basedOn w:val="Normal"/>
    <w:semiHidden/>
    <w:rsid w:val="005828C7"/>
    <w:pPr>
      <w:shd w:val="clear" w:color="auto" w:fill="000080"/>
    </w:pPr>
    <w:rPr>
      <w:rFonts w:ascii="Tahoma" w:hAnsi="Tahoma" w:cs="Tahoma"/>
    </w:rPr>
  </w:style>
  <w:style w:type="paragraph" w:styleId="ListParagraph">
    <w:name w:val="List Paragraph"/>
    <w:basedOn w:val="Normal"/>
    <w:uiPriority w:val="34"/>
    <w:qFormat/>
    <w:rsid w:val="00F63A04"/>
    <w:pPr>
      <w:ind w:left="720"/>
    </w:pPr>
  </w:style>
  <w:style w:type="paragraph" w:customStyle="1" w:styleId="Default">
    <w:name w:val="Default"/>
    <w:rsid w:val="006D2414"/>
    <w:pPr>
      <w:autoSpaceDE w:val="0"/>
      <w:autoSpaceDN w:val="0"/>
      <w:adjustRightInd w:val="0"/>
    </w:pPr>
    <w:rPr>
      <w:rFonts w:ascii="Arial" w:eastAsia="Calibri" w:hAnsi="Arial" w:cs="Arial"/>
      <w:color w:val="000000"/>
      <w:sz w:val="24"/>
      <w:szCs w:val="24"/>
      <w:lang w:eastAsia="en-US"/>
    </w:rPr>
  </w:style>
  <w:style w:type="character" w:styleId="Strong">
    <w:name w:val="Strong"/>
    <w:uiPriority w:val="22"/>
    <w:qFormat/>
    <w:rsid w:val="00F551E3"/>
    <w:rPr>
      <w:b/>
      <w:bCs/>
    </w:rPr>
  </w:style>
  <w:style w:type="character" w:customStyle="1" w:styleId="hps">
    <w:name w:val="hps"/>
    <w:rsid w:val="00960817"/>
  </w:style>
  <w:style w:type="character" w:customStyle="1" w:styleId="FootnoteTextChar">
    <w:name w:val="Footnote Text Char"/>
    <w:aliases w:val="5_G Char"/>
    <w:link w:val="FootnoteText"/>
    <w:uiPriority w:val="99"/>
    <w:rsid w:val="00732B1B"/>
    <w:rPr>
      <w:sz w:val="18"/>
      <w:lang w:eastAsia="en-US"/>
    </w:rPr>
  </w:style>
  <w:style w:type="character" w:customStyle="1" w:styleId="HeaderChar">
    <w:name w:val="Header Char"/>
    <w:aliases w:val="6_G Char"/>
    <w:link w:val="Header"/>
    <w:rsid w:val="00E86268"/>
    <w:rPr>
      <w:b/>
      <w:sz w:val="18"/>
      <w:lang w:eastAsia="en-US"/>
    </w:rPr>
  </w:style>
  <w:style w:type="paragraph" w:styleId="HTMLPreformatted">
    <w:name w:val="HTML Preformatted"/>
    <w:basedOn w:val="Normal"/>
    <w:link w:val="HTMLPreformattedChar"/>
    <w:uiPriority w:val="99"/>
    <w:unhideWhenUsed/>
    <w:rsid w:val="00AC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AC2584"/>
    <w:rPr>
      <w:rFonts w:ascii="Courier New" w:hAnsi="Courier New" w:cs="Courier New"/>
    </w:rPr>
  </w:style>
  <w:style w:type="paragraph" w:customStyle="1" w:styleId="SingleTxt">
    <w:name w:val="__Single Txt"/>
    <w:basedOn w:val="Normal"/>
    <w:qFormat/>
    <w:rsid w:val="000B4CA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styleId="Revision">
    <w:name w:val="Revision"/>
    <w:hidden/>
    <w:uiPriority w:val="99"/>
    <w:semiHidden/>
    <w:rsid w:val="0002046F"/>
    <w:rPr>
      <w:rFonts w:eastAsia="SimSun"/>
      <w:lang w:eastAsia="en-US"/>
    </w:rPr>
  </w:style>
  <w:style w:type="character" w:styleId="CommentReference">
    <w:name w:val="annotation reference"/>
    <w:rsid w:val="0071143C"/>
    <w:rPr>
      <w:sz w:val="16"/>
      <w:szCs w:val="16"/>
    </w:rPr>
  </w:style>
  <w:style w:type="paragraph" w:styleId="CommentText">
    <w:name w:val="annotation text"/>
    <w:basedOn w:val="Normal"/>
    <w:link w:val="CommentTextChar"/>
    <w:rsid w:val="0071143C"/>
  </w:style>
  <w:style w:type="character" w:customStyle="1" w:styleId="CommentTextChar">
    <w:name w:val="Comment Text Char"/>
    <w:link w:val="CommentText"/>
    <w:rsid w:val="0071143C"/>
    <w:rPr>
      <w:lang w:val="en-GB"/>
    </w:rPr>
  </w:style>
  <w:style w:type="paragraph" w:styleId="CommentSubject">
    <w:name w:val="annotation subject"/>
    <w:basedOn w:val="CommentText"/>
    <w:next w:val="CommentText"/>
    <w:link w:val="CommentSubjectChar"/>
    <w:rsid w:val="0071143C"/>
    <w:rPr>
      <w:b/>
      <w:bCs/>
    </w:rPr>
  </w:style>
  <w:style w:type="character" w:customStyle="1" w:styleId="CommentSubjectChar">
    <w:name w:val="Comment Subject Char"/>
    <w:link w:val="CommentSubject"/>
    <w:rsid w:val="0071143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40303">
      <w:bodyDiv w:val="1"/>
      <w:marLeft w:val="0"/>
      <w:marRight w:val="0"/>
      <w:marTop w:val="0"/>
      <w:marBottom w:val="0"/>
      <w:divBdr>
        <w:top w:val="none" w:sz="0" w:space="0" w:color="auto"/>
        <w:left w:val="none" w:sz="0" w:space="0" w:color="auto"/>
        <w:bottom w:val="none" w:sz="0" w:space="0" w:color="auto"/>
        <w:right w:val="none" w:sz="0" w:space="0" w:color="auto"/>
      </w:divBdr>
    </w:div>
    <w:div w:id="409235554">
      <w:bodyDiv w:val="1"/>
      <w:marLeft w:val="0"/>
      <w:marRight w:val="0"/>
      <w:marTop w:val="0"/>
      <w:marBottom w:val="0"/>
      <w:divBdr>
        <w:top w:val="none" w:sz="0" w:space="0" w:color="auto"/>
        <w:left w:val="none" w:sz="0" w:space="0" w:color="auto"/>
        <w:bottom w:val="none" w:sz="0" w:space="0" w:color="auto"/>
        <w:right w:val="none" w:sz="0" w:space="0" w:color="auto"/>
      </w:divBdr>
    </w:div>
    <w:div w:id="427963455">
      <w:bodyDiv w:val="1"/>
      <w:marLeft w:val="0"/>
      <w:marRight w:val="0"/>
      <w:marTop w:val="0"/>
      <w:marBottom w:val="0"/>
      <w:divBdr>
        <w:top w:val="none" w:sz="0" w:space="0" w:color="auto"/>
        <w:left w:val="none" w:sz="0" w:space="0" w:color="auto"/>
        <w:bottom w:val="none" w:sz="0" w:space="0" w:color="auto"/>
        <w:right w:val="none" w:sz="0" w:space="0" w:color="auto"/>
      </w:divBdr>
    </w:div>
    <w:div w:id="530846711">
      <w:bodyDiv w:val="1"/>
      <w:marLeft w:val="0"/>
      <w:marRight w:val="0"/>
      <w:marTop w:val="0"/>
      <w:marBottom w:val="0"/>
      <w:divBdr>
        <w:top w:val="none" w:sz="0" w:space="0" w:color="auto"/>
        <w:left w:val="none" w:sz="0" w:space="0" w:color="auto"/>
        <w:bottom w:val="none" w:sz="0" w:space="0" w:color="auto"/>
        <w:right w:val="none" w:sz="0" w:space="0" w:color="auto"/>
      </w:divBdr>
    </w:div>
    <w:div w:id="627324581">
      <w:bodyDiv w:val="1"/>
      <w:marLeft w:val="0"/>
      <w:marRight w:val="0"/>
      <w:marTop w:val="0"/>
      <w:marBottom w:val="0"/>
      <w:divBdr>
        <w:top w:val="none" w:sz="0" w:space="0" w:color="auto"/>
        <w:left w:val="none" w:sz="0" w:space="0" w:color="auto"/>
        <w:bottom w:val="none" w:sz="0" w:space="0" w:color="auto"/>
        <w:right w:val="none" w:sz="0" w:space="0" w:color="auto"/>
      </w:divBdr>
    </w:div>
    <w:div w:id="674575159">
      <w:bodyDiv w:val="1"/>
      <w:marLeft w:val="0"/>
      <w:marRight w:val="0"/>
      <w:marTop w:val="0"/>
      <w:marBottom w:val="0"/>
      <w:divBdr>
        <w:top w:val="none" w:sz="0" w:space="0" w:color="auto"/>
        <w:left w:val="none" w:sz="0" w:space="0" w:color="auto"/>
        <w:bottom w:val="none" w:sz="0" w:space="0" w:color="auto"/>
        <w:right w:val="none" w:sz="0" w:space="0" w:color="auto"/>
      </w:divBdr>
    </w:div>
    <w:div w:id="1004628125">
      <w:bodyDiv w:val="1"/>
      <w:marLeft w:val="0"/>
      <w:marRight w:val="0"/>
      <w:marTop w:val="0"/>
      <w:marBottom w:val="0"/>
      <w:divBdr>
        <w:top w:val="none" w:sz="0" w:space="0" w:color="auto"/>
        <w:left w:val="none" w:sz="0" w:space="0" w:color="auto"/>
        <w:bottom w:val="none" w:sz="0" w:space="0" w:color="auto"/>
        <w:right w:val="none" w:sz="0" w:space="0" w:color="auto"/>
      </w:divBdr>
    </w:div>
    <w:div w:id="1212618736">
      <w:bodyDiv w:val="1"/>
      <w:marLeft w:val="0"/>
      <w:marRight w:val="0"/>
      <w:marTop w:val="0"/>
      <w:marBottom w:val="0"/>
      <w:divBdr>
        <w:top w:val="none" w:sz="0" w:space="0" w:color="auto"/>
        <w:left w:val="none" w:sz="0" w:space="0" w:color="auto"/>
        <w:bottom w:val="none" w:sz="0" w:space="0" w:color="auto"/>
        <w:right w:val="none" w:sz="0" w:space="0" w:color="auto"/>
      </w:divBdr>
    </w:div>
    <w:div w:id="1277250243">
      <w:bodyDiv w:val="1"/>
      <w:marLeft w:val="0"/>
      <w:marRight w:val="0"/>
      <w:marTop w:val="0"/>
      <w:marBottom w:val="0"/>
      <w:divBdr>
        <w:top w:val="none" w:sz="0" w:space="0" w:color="auto"/>
        <w:left w:val="none" w:sz="0" w:space="0" w:color="auto"/>
        <w:bottom w:val="none" w:sz="0" w:space="0" w:color="auto"/>
        <w:right w:val="none" w:sz="0" w:space="0" w:color="auto"/>
      </w:divBdr>
    </w:div>
    <w:div w:id="1296178401">
      <w:bodyDiv w:val="1"/>
      <w:marLeft w:val="0"/>
      <w:marRight w:val="0"/>
      <w:marTop w:val="0"/>
      <w:marBottom w:val="0"/>
      <w:divBdr>
        <w:top w:val="none" w:sz="0" w:space="0" w:color="auto"/>
        <w:left w:val="none" w:sz="0" w:space="0" w:color="auto"/>
        <w:bottom w:val="none" w:sz="0" w:space="0" w:color="auto"/>
        <w:right w:val="none" w:sz="0" w:space="0" w:color="auto"/>
      </w:divBdr>
      <w:divsChild>
        <w:div w:id="1809975902">
          <w:marLeft w:val="0"/>
          <w:marRight w:val="0"/>
          <w:marTop w:val="0"/>
          <w:marBottom w:val="0"/>
          <w:divBdr>
            <w:top w:val="none" w:sz="0" w:space="0" w:color="auto"/>
            <w:left w:val="none" w:sz="0" w:space="0" w:color="auto"/>
            <w:bottom w:val="none" w:sz="0" w:space="0" w:color="auto"/>
            <w:right w:val="none" w:sz="0" w:space="0" w:color="auto"/>
          </w:divBdr>
          <w:divsChild>
            <w:div w:id="1426881674">
              <w:marLeft w:val="0"/>
              <w:marRight w:val="0"/>
              <w:marTop w:val="0"/>
              <w:marBottom w:val="0"/>
              <w:divBdr>
                <w:top w:val="none" w:sz="0" w:space="0" w:color="auto"/>
                <w:left w:val="none" w:sz="0" w:space="0" w:color="auto"/>
                <w:bottom w:val="none" w:sz="0" w:space="0" w:color="auto"/>
                <w:right w:val="none" w:sz="0" w:space="0" w:color="auto"/>
              </w:divBdr>
              <w:divsChild>
                <w:div w:id="184636818">
                  <w:marLeft w:val="0"/>
                  <w:marRight w:val="0"/>
                  <w:marTop w:val="0"/>
                  <w:marBottom w:val="0"/>
                  <w:divBdr>
                    <w:top w:val="none" w:sz="0" w:space="0" w:color="auto"/>
                    <w:left w:val="none" w:sz="0" w:space="0" w:color="auto"/>
                    <w:bottom w:val="none" w:sz="0" w:space="0" w:color="auto"/>
                    <w:right w:val="none" w:sz="0" w:space="0" w:color="auto"/>
                  </w:divBdr>
                  <w:divsChild>
                    <w:div w:id="440491402">
                      <w:marLeft w:val="0"/>
                      <w:marRight w:val="0"/>
                      <w:marTop w:val="0"/>
                      <w:marBottom w:val="0"/>
                      <w:divBdr>
                        <w:top w:val="none" w:sz="0" w:space="0" w:color="auto"/>
                        <w:left w:val="none" w:sz="0" w:space="0" w:color="auto"/>
                        <w:bottom w:val="none" w:sz="0" w:space="0" w:color="auto"/>
                        <w:right w:val="none" w:sz="0" w:space="0" w:color="auto"/>
                      </w:divBdr>
                      <w:divsChild>
                        <w:div w:id="1217011208">
                          <w:marLeft w:val="0"/>
                          <w:marRight w:val="0"/>
                          <w:marTop w:val="0"/>
                          <w:marBottom w:val="0"/>
                          <w:divBdr>
                            <w:top w:val="none" w:sz="0" w:space="0" w:color="auto"/>
                            <w:left w:val="none" w:sz="0" w:space="0" w:color="auto"/>
                            <w:bottom w:val="none" w:sz="0" w:space="0" w:color="auto"/>
                            <w:right w:val="none" w:sz="0" w:space="0" w:color="auto"/>
                          </w:divBdr>
                          <w:divsChild>
                            <w:div w:id="123932645">
                              <w:marLeft w:val="0"/>
                              <w:marRight w:val="0"/>
                              <w:marTop w:val="0"/>
                              <w:marBottom w:val="0"/>
                              <w:divBdr>
                                <w:top w:val="none" w:sz="0" w:space="0" w:color="auto"/>
                                <w:left w:val="none" w:sz="0" w:space="0" w:color="auto"/>
                                <w:bottom w:val="none" w:sz="0" w:space="0" w:color="auto"/>
                                <w:right w:val="none" w:sz="0" w:space="0" w:color="auto"/>
                              </w:divBdr>
                              <w:divsChild>
                                <w:div w:id="1827740414">
                                  <w:marLeft w:val="0"/>
                                  <w:marRight w:val="0"/>
                                  <w:marTop w:val="0"/>
                                  <w:marBottom w:val="0"/>
                                  <w:divBdr>
                                    <w:top w:val="none" w:sz="0" w:space="0" w:color="auto"/>
                                    <w:left w:val="none" w:sz="0" w:space="0" w:color="auto"/>
                                    <w:bottom w:val="none" w:sz="0" w:space="0" w:color="auto"/>
                                    <w:right w:val="none" w:sz="0" w:space="0" w:color="auto"/>
                                  </w:divBdr>
                                  <w:divsChild>
                                    <w:div w:id="1265383881">
                                      <w:marLeft w:val="60"/>
                                      <w:marRight w:val="0"/>
                                      <w:marTop w:val="0"/>
                                      <w:marBottom w:val="0"/>
                                      <w:divBdr>
                                        <w:top w:val="none" w:sz="0" w:space="0" w:color="auto"/>
                                        <w:left w:val="none" w:sz="0" w:space="0" w:color="auto"/>
                                        <w:bottom w:val="none" w:sz="0" w:space="0" w:color="auto"/>
                                        <w:right w:val="none" w:sz="0" w:space="0" w:color="auto"/>
                                      </w:divBdr>
                                      <w:divsChild>
                                        <w:div w:id="1233269228">
                                          <w:marLeft w:val="0"/>
                                          <w:marRight w:val="0"/>
                                          <w:marTop w:val="0"/>
                                          <w:marBottom w:val="0"/>
                                          <w:divBdr>
                                            <w:top w:val="none" w:sz="0" w:space="0" w:color="auto"/>
                                            <w:left w:val="none" w:sz="0" w:space="0" w:color="auto"/>
                                            <w:bottom w:val="none" w:sz="0" w:space="0" w:color="auto"/>
                                            <w:right w:val="none" w:sz="0" w:space="0" w:color="auto"/>
                                          </w:divBdr>
                                          <w:divsChild>
                                            <w:div w:id="499547744">
                                              <w:marLeft w:val="0"/>
                                              <w:marRight w:val="0"/>
                                              <w:marTop w:val="0"/>
                                              <w:marBottom w:val="120"/>
                                              <w:divBdr>
                                                <w:top w:val="single" w:sz="6" w:space="0" w:color="F5F5F5"/>
                                                <w:left w:val="single" w:sz="6" w:space="0" w:color="F5F5F5"/>
                                                <w:bottom w:val="single" w:sz="6" w:space="0" w:color="F5F5F5"/>
                                                <w:right w:val="single" w:sz="6" w:space="0" w:color="F5F5F5"/>
                                              </w:divBdr>
                                              <w:divsChild>
                                                <w:div w:id="419718145">
                                                  <w:marLeft w:val="0"/>
                                                  <w:marRight w:val="0"/>
                                                  <w:marTop w:val="0"/>
                                                  <w:marBottom w:val="0"/>
                                                  <w:divBdr>
                                                    <w:top w:val="none" w:sz="0" w:space="0" w:color="auto"/>
                                                    <w:left w:val="none" w:sz="0" w:space="0" w:color="auto"/>
                                                    <w:bottom w:val="none" w:sz="0" w:space="0" w:color="auto"/>
                                                    <w:right w:val="none" w:sz="0" w:space="0" w:color="auto"/>
                                                  </w:divBdr>
                                                  <w:divsChild>
                                                    <w:div w:id="1806972275">
                                                      <w:marLeft w:val="0"/>
                                                      <w:marRight w:val="0"/>
                                                      <w:marTop w:val="0"/>
                                                      <w:marBottom w:val="0"/>
                                                      <w:divBdr>
                                                        <w:top w:val="none" w:sz="0" w:space="0" w:color="auto"/>
                                                        <w:left w:val="none" w:sz="0" w:space="0" w:color="auto"/>
                                                        <w:bottom w:val="none" w:sz="0" w:space="0" w:color="auto"/>
                                                        <w:right w:val="none" w:sz="0" w:space="0" w:color="auto"/>
                                                      </w:divBdr>
                                                    </w:div>
                                                  </w:divsChild>
                                                </w:div>
                                                <w:div w:id="709916863">
                                                  <w:marLeft w:val="0"/>
                                                  <w:marRight w:val="0"/>
                                                  <w:marTop w:val="0"/>
                                                  <w:marBottom w:val="0"/>
                                                  <w:divBdr>
                                                    <w:top w:val="none" w:sz="0" w:space="0" w:color="auto"/>
                                                    <w:left w:val="none" w:sz="0" w:space="0" w:color="auto"/>
                                                    <w:bottom w:val="none" w:sz="0" w:space="0" w:color="auto"/>
                                                    <w:right w:val="none" w:sz="0" w:space="0" w:color="auto"/>
                                                  </w:divBdr>
                                                  <w:divsChild>
                                                    <w:div w:id="13534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318586">
      <w:bodyDiv w:val="1"/>
      <w:marLeft w:val="0"/>
      <w:marRight w:val="0"/>
      <w:marTop w:val="0"/>
      <w:marBottom w:val="0"/>
      <w:divBdr>
        <w:top w:val="none" w:sz="0" w:space="0" w:color="auto"/>
        <w:left w:val="none" w:sz="0" w:space="0" w:color="auto"/>
        <w:bottom w:val="none" w:sz="0" w:space="0" w:color="auto"/>
        <w:right w:val="none" w:sz="0" w:space="0" w:color="auto"/>
      </w:divBdr>
    </w:div>
    <w:div w:id="1347054073">
      <w:bodyDiv w:val="1"/>
      <w:marLeft w:val="0"/>
      <w:marRight w:val="0"/>
      <w:marTop w:val="0"/>
      <w:marBottom w:val="0"/>
      <w:divBdr>
        <w:top w:val="none" w:sz="0" w:space="0" w:color="auto"/>
        <w:left w:val="none" w:sz="0" w:space="0" w:color="auto"/>
        <w:bottom w:val="none" w:sz="0" w:space="0" w:color="auto"/>
        <w:right w:val="none" w:sz="0" w:space="0" w:color="auto"/>
      </w:divBdr>
      <w:divsChild>
        <w:div w:id="1909877062">
          <w:marLeft w:val="0"/>
          <w:marRight w:val="0"/>
          <w:marTop w:val="0"/>
          <w:marBottom w:val="0"/>
          <w:divBdr>
            <w:top w:val="none" w:sz="0" w:space="0" w:color="auto"/>
            <w:left w:val="none" w:sz="0" w:space="0" w:color="auto"/>
            <w:bottom w:val="none" w:sz="0" w:space="0" w:color="auto"/>
            <w:right w:val="none" w:sz="0" w:space="0" w:color="auto"/>
          </w:divBdr>
          <w:divsChild>
            <w:div w:id="1210537466">
              <w:marLeft w:val="0"/>
              <w:marRight w:val="0"/>
              <w:marTop w:val="0"/>
              <w:marBottom w:val="0"/>
              <w:divBdr>
                <w:top w:val="none" w:sz="0" w:space="0" w:color="auto"/>
                <w:left w:val="none" w:sz="0" w:space="0" w:color="auto"/>
                <w:bottom w:val="none" w:sz="0" w:space="0" w:color="auto"/>
                <w:right w:val="none" w:sz="0" w:space="0" w:color="auto"/>
              </w:divBdr>
              <w:divsChild>
                <w:div w:id="602492608">
                  <w:marLeft w:val="0"/>
                  <w:marRight w:val="0"/>
                  <w:marTop w:val="0"/>
                  <w:marBottom w:val="0"/>
                  <w:divBdr>
                    <w:top w:val="none" w:sz="0" w:space="0" w:color="auto"/>
                    <w:left w:val="none" w:sz="0" w:space="0" w:color="auto"/>
                    <w:bottom w:val="none" w:sz="0" w:space="0" w:color="auto"/>
                    <w:right w:val="none" w:sz="0" w:space="0" w:color="auto"/>
                  </w:divBdr>
                  <w:divsChild>
                    <w:div w:id="339700741">
                      <w:marLeft w:val="0"/>
                      <w:marRight w:val="0"/>
                      <w:marTop w:val="0"/>
                      <w:marBottom w:val="0"/>
                      <w:divBdr>
                        <w:top w:val="none" w:sz="0" w:space="0" w:color="auto"/>
                        <w:left w:val="none" w:sz="0" w:space="0" w:color="auto"/>
                        <w:bottom w:val="none" w:sz="0" w:space="0" w:color="auto"/>
                        <w:right w:val="none" w:sz="0" w:space="0" w:color="auto"/>
                      </w:divBdr>
                      <w:divsChild>
                        <w:div w:id="1717389101">
                          <w:marLeft w:val="0"/>
                          <w:marRight w:val="0"/>
                          <w:marTop w:val="0"/>
                          <w:marBottom w:val="0"/>
                          <w:divBdr>
                            <w:top w:val="none" w:sz="0" w:space="0" w:color="auto"/>
                            <w:left w:val="none" w:sz="0" w:space="0" w:color="auto"/>
                            <w:bottom w:val="none" w:sz="0" w:space="0" w:color="auto"/>
                            <w:right w:val="none" w:sz="0" w:space="0" w:color="auto"/>
                          </w:divBdr>
                          <w:divsChild>
                            <w:div w:id="1119757797">
                              <w:marLeft w:val="0"/>
                              <w:marRight w:val="0"/>
                              <w:marTop w:val="0"/>
                              <w:marBottom w:val="0"/>
                              <w:divBdr>
                                <w:top w:val="none" w:sz="0" w:space="0" w:color="auto"/>
                                <w:left w:val="none" w:sz="0" w:space="0" w:color="auto"/>
                                <w:bottom w:val="none" w:sz="0" w:space="0" w:color="auto"/>
                                <w:right w:val="none" w:sz="0" w:space="0" w:color="auto"/>
                              </w:divBdr>
                              <w:divsChild>
                                <w:div w:id="2113623221">
                                  <w:marLeft w:val="0"/>
                                  <w:marRight w:val="0"/>
                                  <w:marTop w:val="0"/>
                                  <w:marBottom w:val="0"/>
                                  <w:divBdr>
                                    <w:top w:val="none" w:sz="0" w:space="0" w:color="auto"/>
                                    <w:left w:val="none" w:sz="0" w:space="0" w:color="auto"/>
                                    <w:bottom w:val="none" w:sz="0" w:space="0" w:color="auto"/>
                                    <w:right w:val="none" w:sz="0" w:space="0" w:color="auto"/>
                                  </w:divBdr>
                                  <w:divsChild>
                                    <w:div w:id="2142529900">
                                      <w:marLeft w:val="0"/>
                                      <w:marRight w:val="0"/>
                                      <w:marTop w:val="0"/>
                                      <w:marBottom w:val="0"/>
                                      <w:divBdr>
                                        <w:top w:val="none" w:sz="0" w:space="0" w:color="auto"/>
                                        <w:left w:val="none" w:sz="0" w:space="0" w:color="auto"/>
                                        <w:bottom w:val="none" w:sz="0" w:space="0" w:color="auto"/>
                                        <w:right w:val="none" w:sz="0" w:space="0" w:color="auto"/>
                                      </w:divBdr>
                                      <w:divsChild>
                                        <w:div w:id="942300103">
                                          <w:marLeft w:val="0"/>
                                          <w:marRight w:val="0"/>
                                          <w:marTop w:val="0"/>
                                          <w:marBottom w:val="0"/>
                                          <w:divBdr>
                                            <w:top w:val="none" w:sz="0" w:space="0" w:color="auto"/>
                                            <w:left w:val="none" w:sz="0" w:space="0" w:color="auto"/>
                                            <w:bottom w:val="none" w:sz="0" w:space="0" w:color="auto"/>
                                            <w:right w:val="none" w:sz="0" w:space="0" w:color="auto"/>
                                          </w:divBdr>
                                          <w:divsChild>
                                            <w:div w:id="264506694">
                                              <w:marLeft w:val="0"/>
                                              <w:marRight w:val="0"/>
                                              <w:marTop w:val="0"/>
                                              <w:marBottom w:val="0"/>
                                              <w:divBdr>
                                                <w:top w:val="none" w:sz="0" w:space="0" w:color="auto"/>
                                                <w:left w:val="none" w:sz="0" w:space="0" w:color="auto"/>
                                                <w:bottom w:val="none" w:sz="0" w:space="0" w:color="auto"/>
                                                <w:right w:val="none" w:sz="0" w:space="0" w:color="auto"/>
                                              </w:divBdr>
                                              <w:divsChild>
                                                <w:div w:id="790975057">
                                                  <w:marLeft w:val="0"/>
                                                  <w:marRight w:val="0"/>
                                                  <w:marTop w:val="0"/>
                                                  <w:marBottom w:val="0"/>
                                                  <w:divBdr>
                                                    <w:top w:val="none" w:sz="0" w:space="0" w:color="auto"/>
                                                    <w:left w:val="none" w:sz="0" w:space="0" w:color="auto"/>
                                                    <w:bottom w:val="none" w:sz="0" w:space="0" w:color="auto"/>
                                                    <w:right w:val="none" w:sz="0" w:space="0" w:color="auto"/>
                                                  </w:divBdr>
                                                  <w:divsChild>
                                                    <w:div w:id="769162560">
                                                      <w:marLeft w:val="0"/>
                                                      <w:marRight w:val="0"/>
                                                      <w:marTop w:val="0"/>
                                                      <w:marBottom w:val="0"/>
                                                      <w:divBdr>
                                                        <w:top w:val="none" w:sz="0" w:space="0" w:color="auto"/>
                                                        <w:left w:val="none" w:sz="0" w:space="0" w:color="auto"/>
                                                        <w:bottom w:val="none" w:sz="0" w:space="0" w:color="auto"/>
                                                        <w:right w:val="none" w:sz="0" w:space="0" w:color="auto"/>
                                                      </w:divBdr>
                                                      <w:divsChild>
                                                        <w:div w:id="1220477523">
                                                          <w:marLeft w:val="0"/>
                                                          <w:marRight w:val="0"/>
                                                          <w:marTop w:val="0"/>
                                                          <w:marBottom w:val="0"/>
                                                          <w:divBdr>
                                                            <w:top w:val="none" w:sz="0" w:space="0" w:color="auto"/>
                                                            <w:left w:val="none" w:sz="0" w:space="0" w:color="auto"/>
                                                            <w:bottom w:val="none" w:sz="0" w:space="0" w:color="auto"/>
                                                            <w:right w:val="none" w:sz="0" w:space="0" w:color="auto"/>
                                                          </w:divBdr>
                                                          <w:divsChild>
                                                            <w:div w:id="1072123031">
                                                              <w:marLeft w:val="0"/>
                                                              <w:marRight w:val="0"/>
                                                              <w:marTop w:val="0"/>
                                                              <w:marBottom w:val="0"/>
                                                              <w:divBdr>
                                                                <w:top w:val="none" w:sz="0" w:space="0" w:color="auto"/>
                                                                <w:left w:val="none" w:sz="0" w:space="0" w:color="auto"/>
                                                                <w:bottom w:val="none" w:sz="0" w:space="0" w:color="auto"/>
                                                                <w:right w:val="none" w:sz="0" w:space="0" w:color="auto"/>
                                                              </w:divBdr>
                                                              <w:divsChild>
                                                                <w:div w:id="202980034">
                                                                  <w:marLeft w:val="0"/>
                                                                  <w:marRight w:val="0"/>
                                                                  <w:marTop w:val="0"/>
                                                                  <w:marBottom w:val="0"/>
                                                                  <w:divBdr>
                                                                    <w:top w:val="none" w:sz="0" w:space="0" w:color="auto"/>
                                                                    <w:left w:val="none" w:sz="0" w:space="0" w:color="auto"/>
                                                                    <w:bottom w:val="none" w:sz="0" w:space="0" w:color="auto"/>
                                                                    <w:right w:val="none" w:sz="0" w:space="0" w:color="auto"/>
                                                                  </w:divBdr>
                                                                  <w:divsChild>
                                                                    <w:div w:id="1418820587">
                                                                      <w:marLeft w:val="0"/>
                                                                      <w:marRight w:val="0"/>
                                                                      <w:marTop w:val="0"/>
                                                                      <w:marBottom w:val="0"/>
                                                                      <w:divBdr>
                                                                        <w:top w:val="none" w:sz="0" w:space="0" w:color="auto"/>
                                                                        <w:left w:val="none" w:sz="0" w:space="0" w:color="auto"/>
                                                                        <w:bottom w:val="none" w:sz="0" w:space="0" w:color="auto"/>
                                                                        <w:right w:val="none" w:sz="0" w:space="0" w:color="auto"/>
                                                                      </w:divBdr>
                                                                      <w:divsChild>
                                                                        <w:div w:id="2035883756">
                                                                          <w:marLeft w:val="0"/>
                                                                          <w:marRight w:val="0"/>
                                                                          <w:marTop w:val="0"/>
                                                                          <w:marBottom w:val="0"/>
                                                                          <w:divBdr>
                                                                            <w:top w:val="none" w:sz="0" w:space="0" w:color="auto"/>
                                                                            <w:left w:val="none" w:sz="0" w:space="0" w:color="auto"/>
                                                                            <w:bottom w:val="none" w:sz="0" w:space="0" w:color="auto"/>
                                                                            <w:right w:val="none" w:sz="0" w:space="0" w:color="auto"/>
                                                                          </w:divBdr>
                                                                          <w:divsChild>
                                                                            <w:div w:id="7365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78985">
      <w:bodyDiv w:val="1"/>
      <w:marLeft w:val="0"/>
      <w:marRight w:val="0"/>
      <w:marTop w:val="0"/>
      <w:marBottom w:val="0"/>
      <w:divBdr>
        <w:top w:val="none" w:sz="0" w:space="0" w:color="auto"/>
        <w:left w:val="none" w:sz="0" w:space="0" w:color="auto"/>
        <w:bottom w:val="none" w:sz="0" w:space="0" w:color="auto"/>
        <w:right w:val="none" w:sz="0" w:space="0" w:color="auto"/>
      </w:divBdr>
    </w:div>
    <w:div w:id="1636136777">
      <w:bodyDiv w:val="1"/>
      <w:marLeft w:val="0"/>
      <w:marRight w:val="0"/>
      <w:marTop w:val="0"/>
      <w:marBottom w:val="0"/>
      <w:divBdr>
        <w:top w:val="none" w:sz="0" w:space="0" w:color="auto"/>
        <w:left w:val="none" w:sz="0" w:space="0" w:color="auto"/>
        <w:bottom w:val="none" w:sz="0" w:space="0" w:color="auto"/>
        <w:right w:val="none" w:sz="0" w:space="0" w:color="auto"/>
      </w:divBdr>
    </w:div>
    <w:div w:id="1654288286">
      <w:bodyDiv w:val="1"/>
      <w:marLeft w:val="0"/>
      <w:marRight w:val="0"/>
      <w:marTop w:val="0"/>
      <w:marBottom w:val="0"/>
      <w:divBdr>
        <w:top w:val="none" w:sz="0" w:space="0" w:color="auto"/>
        <w:left w:val="none" w:sz="0" w:space="0" w:color="auto"/>
        <w:bottom w:val="none" w:sz="0" w:space="0" w:color="auto"/>
        <w:right w:val="none" w:sz="0" w:space="0" w:color="auto"/>
      </w:divBdr>
    </w:div>
    <w:div w:id="1671056234">
      <w:bodyDiv w:val="1"/>
      <w:marLeft w:val="0"/>
      <w:marRight w:val="0"/>
      <w:marTop w:val="0"/>
      <w:marBottom w:val="0"/>
      <w:divBdr>
        <w:top w:val="none" w:sz="0" w:space="0" w:color="auto"/>
        <w:left w:val="none" w:sz="0" w:space="0" w:color="auto"/>
        <w:bottom w:val="none" w:sz="0" w:space="0" w:color="auto"/>
        <w:right w:val="none" w:sz="0" w:space="0" w:color="auto"/>
      </w:divBdr>
    </w:div>
    <w:div w:id="1675692671">
      <w:bodyDiv w:val="1"/>
      <w:marLeft w:val="0"/>
      <w:marRight w:val="0"/>
      <w:marTop w:val="0"/>
      <w:marBottom w:val="0"/>
      <w:divBdr>
        <w:top w:val="none" w:sz="0" w:space="0" w:color="auto"/>
        <w:left w:val="none" w:sz="0" w:space="0" w:color="auto"/>
        <w:bottom w:val="none" w:sz="0" w:space="0" w:color="auto"/>
        <w:right w:val="none" w:sz="0" w:space="0" w:color="auto"/>
      </w:divBdr>
    </w:div>
    <w:div w:id="1683779762">
      <w:bodyDiv w:val="1"/>
      <w:marLeft w:val="0"/>
      <w:marRight w:val="0"/>
      <w:marTop w:val="0"/>
      <w:marBottom w:val="0"/>
      <w:divBdr>
        <w:top w:val="none" w:sz="0" w:space="0" w:color="auto"/>
        <w:left w:val="none" w:sz="0" w:space="0" w:color="auto"/>
        <w:bottom w:val="none" w:sz="0" w:space="0" w:color="auto"/>
        <w:right w:val="none" w:sz="0" w:space="0" w:color="auto"/>
      </w:divBdr>
    </w:div>
    <w:div w:id="1696886034">
      <w:bodyDiv w:val="1"/>
      <w:marLeft w:val="0"/>
      <w:marRight w:val="0"/>
      <w:marTop w:val="0"/>
      <w:marBottom w:val="0"/>
      <w:divBdr>
        <w:top w:val="none" w:sz="0" w:space="0" w:color="auto"/>
        <w:left w:val="none" w:sz="0" w:space="0" w:color="auto"/>
        <w:bottom w:val="none" w:sz="0" w:space="0" w:color="auto"/>
        <w:right w:val="none" w:sz="0" w:space="0" w:color="auto"/>
      </w:divBdr>
    </w:div>
    <w:div w:id="1770076242">
      <w:bodyDiv w:val="1"/>
      <w:marLeft w:val="0"/>
      <w:marRight w:val="0"/>
      <w:marTop w:val="0"/>
      <w:marBottom w:val="0"/>
      <w:divBdr>
        <w:top w:val="none" w:sz="0" w:space="0" w:color="auto"/>
        <w:left w:val="none" w:sz="0" w:space="0" w:color="auto"/>
        <w:bottom w:val="none" w:sz="0" w:space="0" w:color="auto"/>
        <w:right w:val="none" w:sz="0" w:space="0" w:color="auto"/>
      </w:divBdr>
    </w:div>
    <w:div w:id="1844708595">
      <w:bodyDiv w:val="1"/>
      <w:marLeft w:val="0"/>
      <w:marRight w:val="0"/>
      <w:marTop w:val="0"/>
      <w:marBottom w:val="0"/>
      <w:divBdr>
        <w:top w:val="none" w:sz="0" w:space="0" w:color="auto"/>
        <w:left w:val="none" w:sz="0" w:space="0" w:color="auto"/>
        <w:bottom w:val="none" w:sz="0" w:space="0" w:color="auto"/>
        <w:right w:val="none" w:sz="0" w:space="0" w:color="auto"/>
      </w:divBdr>
    </w:div>
    <w:div w:id="1847285170">
      <w:bodyDiv w:val="1"/>
      <w:marLeft w:val="0"/>
      <w:marRight w:val="0"/>
      <w:marTop w:val="0"/>
      <w:marBottom w:val="0"/>
      <w:divBdr>
        <w:top w:val="none" w:sz="0" w:space="0" w:color="auto"/>
        <w:left w:val="none" w:sz="0" w:space="0" w:color="auto"/>
        <w:bottom w:val="none" w:sz="0" w:space="0" w:color="auto"/>
        <w:right w:val="none" w:sz="0" w:space="0" w:color="auto"/>
      </w:divBdr>
    </w:div>
    <w:div w:id="2019917635">
      <w:bodyDiv w:val="1"/>
      <w:marLeft w:val="0"/>
      <w:marRight w:val="0"/>
      <w:marTop w:val="0"/>
      <w:marBottom w:val="0"/>
      <w:divBdr>
        <w:top w:val="none" w:sz="0" w:space="0" w:color="auto"/>
        <w:left w:val="none" w:sz="0" w:space="0" w:color="auto"/>
        <w:bottom w:val="none" w:sz="0" w:space="0" w:color="auto"/>
        <w:right w:val="none" w:sz="0" w:space="0" w:color="auto"/>
      </w:divBdr>
    </w:div>
    <w:div w:id="2077628865">
      <w:bodyDiv w:val="1"/>
      <w:marLeft w:val="0"/>
      <w:marRight w:val="0"/>
      <w:marTop w:val="0"/>
      <w:marBottom w:val="0"/>
      <w:divBdr>
        <w:top w:val="none" w:sz="0" w:space="0" w:color="auto"/>
        <w:left w:val="none" w:sz="0" w:space="0" w:color="auto"/>
        <w:bottom w:val="none" w:sz="0" w:space="0" w:color="auto"/>
        <w:right w:val="none" w:sz="0" w:space="0" w:color="auto"/>
      </w:divBdr>
      <w:divsChild>
        <w:div w:id="1456020829">
          <w:marLeft w:val="0"/>
          <w:marRight w:val="0"/>
          <w:marTop w:val="0"/>
          <w:marBottom w:val="0"/>
          <w:divBdr>
            <w:top w:val="none" w:sz="0" w:space="0" w:color="auto"/>
            <w:left w:val="none" w:sz="0" w:space="0" w:color="auto"/>
            <w:bottom w:val="none" w:sz="0" w:space="0" w:color="auto"/>
            <w:right w:val="none" w:sz="0" w:space="0" w:color="auto"/>
          </w:divBdr>
          <w:divsChild>
            <w:div w:id="132255123">
              <w:marLeft w:val="0"/>
              <w:marRight w:val="0"/>
              <w:marTop w:val="0"/>
              <w:marBottom w:val="0"/>
              <w:divBdr>
                <w:top w:val="none" w:sz="0" w:space="0" w:color="auto"/>
                <w:left w:val="none" w:sz="0" w:space="0" w:color="auto"/>
                <w:bottom w:val="none" w:sz="0" w:space="0" w:color="auto"/>
                <w:right w:val="none" w:sz="0" w:space="0" w:color="auto"/>
              </w:divBdr>
              <w:divsChild>
                <w:div w:id="1544560512">
                  <w:marLeft w:val="0"/>
                  <w:marRight w:val="0"/>
                  <w:marTop w:val="0"/>
                  <w:marBottom w:val="0"/>
                  <w:divBdr>
                    <w:top w:val="none" w:sz="0" w:space="0" w:color="auto"/>
                    <w:left w:val="none" w:sz="0" w:space="0" w:color="auto"/>
                    <w:bottom w:val="none" w:sz="0" w:space="0" w:color="auto"/>
                    <w:right w:val="none" w:sz="0" w:space="0" w:color="auto"/>
                  </w:divBdr>
                  <w:divsChild>
                    <w:div w:id="940449620">
                      <w:marLeft w:val="0"/>
                      <w:marRight w:val="0"/>
                      <w:marTop w:val="0"/>
                      <w:marBottom w:val="0"/>
                      <w:divBdr>
                        <w:top w:val="none" w:sz="0" w:space="0" w:color="auto"/>
                        <w:left w:val="none" w:sz="0" w:space="0" w:color="auto"/>
                        <w:bottom w:val="none" w:sz="0" w:space="0" w:color="auto"/>
                        <w:right w:val="none" w:sz="0" w:space="0" w:color="auto"/>
                      </w:divBdr>
                      <w:divsChild>
                        <w:div w:id="1930625352">
                          <w:marLeft w:val="0"/>
                          <w:marRight w:val="0"/>
                          <w:marTop w:val="0"/>
                          <w:marBottom w:val="0"/>
                          <w:divBdr>
                            <w:top w:val="none" w:sz="0" w:space="0" w:color="auto"/>
                            <w:left w:val="none" w:sz="0" w:space="0" w:color="auto"/>
                            <w:bottom w:val="none" w:sz="0" w:space="0" w:color="auto"/>
                            <w:right w:val="none" w:sz="0" w:space="0" w:color="auto"/>
                          </w:divBdr>
                          <w:divsChild>
                            <w:div w:id="338311325">
                              <w:marLeft w:val="0"/>
                              <w:marRight w:val="0"/>
                              <w:marTop w:val="0"/>
                              <w:marBottom w:val="0"/>
                              <w:divBdr>
                                <w:top w:val="none" w:sz="0" w:space="0" w:color="auto"/>
                                <w:left w:val="none" w:sz="0" w:space="0" w:color="auto"/>
                                <w:bottom w:val="none" w:sz="0" w:space="0" w:color="auto"/>
                                <w:right w:val="none" w:sz="0" w:space="0" w:color="auto"/>
                              </w:divBdr>
                              <w:divsChild>
                                <w:div w:id="1444573719">
                                  <w:marLeft w:val="0"/>
                                  <w:marRight w:val="0"/>
                                  <w:marTop w:val="0"/>
                                  <w:marBottom w:val="0"/>
                                  <w:divBdr>
                                    <w:top w:val="none" w:sz="0" w:space="0" w:color="auto"/>
                                    <w:left w:val="none" w:sz="0" w:space="0" w:color="auto"/>
                                    <w:bottom w:val="none" w:sz="0" w:space="0" w:color="auto"/>
                                    <w:right w:val="none" w:sz="0" w:space="0" w:color="auto"/>
                                  </w:divBdr>
                                  <w:divsChild>
                                    <w:div w:id="1423993726">
                                      <w:marLeft w:val="60"/>
                                      <w:marRight w:val="0"/>
                                      <w:marTop w:val="0"/>
                                      <w:marBottom w:val="0"/>
                                      <w:divBdr>
                                        <w:top w:val="none" w:sz="0" w:space="0" w:color="auto"/>
                                        <w:left w:val="none" w:sz="0" w:space="0" w:color="auto"/>
                                        <w:bottom w:val="none" w:sz="0" w:space="0" w:color="auto"/>
                                        <w:right w:val="none" w:sz="0" w:space="0" w:color="auto"/>
                                      </w:divBdr>
                                      <w:divsChild>
                                        <w:div w:id="594676405">
                                          <w:marLeft w:val="0"/>
                                          <w:marRight w:val="0"/>
                                          <w:marTop w:val="0"/>
                                          <w:marBottom w:val="0"/>
                                          <w:divBdr>
                                            <w:top w:val="none" w:sz="0" w:space="0" w:color="auto"/>
                                            <w:left w:val="none" w:sz="0" w:space="0" w:color="auto"/>
                                            <w:bottom w:val="none" w:sz="0" w:space="0" w:color="auto"/>
                                            <w:right w:val="none" w:sz="0" w:space="0" w:color="auto"/>
                                          </w:divBdr>
                                          <w:divsChild>
                                            <w:div w:id="1563982274">
                                              <w:marLeft w:val="0"/>
                                              <w:marRight w:val="0"/>
                                              <w:marTop w:val="0"/>
                                              <w:marBottom w:val="120"/>
                                              <w:divBdr>
                                                <w:top w:val="single" w:sz="6" w:space="0" w:color="F5F5F5"/>
                                                <w:left w:val="single" w:sz="6" w:space="0" w:color="F5F5F5"/>
                                                <w:bottom w:val="single" w:sz="6" w:space="0" w:color="F5F5F5"/>
                                                <w:right w:val="single" w:sz="6" w:space="0" w:color="F5F5F5"/>
                                              </w:divBdr>
                                              <w:divsChild>
                                                <w:div w:id="1233084282">
                                                  <w:marLeft w:val="0"/>
                                                  <w:marRight w:val="0"/>
                                                  <w:marTop w:val="0"/>
                                                  <w:marBottom w:val="0"/>
                                                  <w:divBdr>
                                                    <w:top w:val="none" w:sz="0" w:space="0" w:color="auto"/>
                                                    <w:left w:val="none" w:sz="0" w:space="0" w:color="auto"/>
                                                    <w:bottom w:val="none" w:sz="0" w:space="0" w:color="auto"/>
                                                    <w:right w:val="none" w:sz="0" w:space="0" w:color="auto"/>
                                                  </w:divBdr>
                                                  <w:divsChild>
                                                    <w:div w:id="1452900112">
                                                      <w:marLeft w:val="0"/>
                                                      <w:marRight w:val="0"/>
                                                      <w:marTop w:val="0"/>
                                                      <w:marBottom w:val="0"/>
                                                      <w:divBdr>
                                                        <w:top w:val="none" w:sz="0" w:space="0" w:color="auto"/>
                                                        <w:left w:val="none" w:sz="0" w:space="0" w:color="auto"/>
                                                        <w:bottom w:val="none" w:sz="0" w:space="0" w:color="auto"/>
                                                        <w:right w:val="none" w:sz="0" w:space="0" w:color="auto"/>
                                                      </w:divBdr>
                                                    </w:div>
                                                  </w:divsChild>
                                                </w:div>
                                                <w:div w:id="1587109567">
                                                  <w:marLeft w:val="0"/>
                                                  <w:marRight w:val="0"/>
                                                  <w:marTop w:val="0"/>
                                                  <w:marBottom w:val="0"/>
                                                  <w:divBdr>
                                                    <w:top w:val="none" w:sz="0" w:space="0" w:color="auto"/>
                                                    <w:left w:val="none" w:sz="0" w:space="0" w:color="auto"/>
                                                    <w:bottom w:val="none" w:sz="0" w:space="0" w:color="auto"/>
                                                    <w:right w:val="none" w:sz="0" w:space="0" w:color="auto"/>
                                                  </w:divBdr>
                                                  <w:divsChild>
                                                    <w:div w:id="5419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5AA7-9FFA-4C62-8897-247E6D80DCA5}">
  <ds:schemaRefs>
    <ds:schemaRef ds:uri="http://schemas.openxmlformats.org/officeDocument/2006/bibliography"/>
  </ds:schemaRefs>
</ds:datastoreItem>
</file>

<file path=customXml/itemProps2.xml><?xml version="1.0" encoding="utf-8"?>
<ds:datastoreItem xmlns:ds="http://schemas.openxmlformats.org/officeDocument/2006/customXml" ds:itemID="{1CE1EC91-62E7-49E5-97DA-E3EADB43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7</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Informal document</vt:lpstr>
    </vt:vector>
  </TitlesOfParts>
  <Company>CSD</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dc:title>
  <dc:subject/>
  <dc:creator>Dominique Leger</dc:creator>
  <cp:keywords/>
  <cp:lastModifiedBy>Caillot</cp:lastModifiedBy>
  <cp:revision>2</cp:revision>
  <cp:lastPrinted>2017-02-16T13:28:00Z</cp:lastPrinted>
  <dcterms:created xsi:type="dcterms:W3CDTF">2017-03-13T17:36:00Z</dcterms:created>
  <dcterms:modified xsi:type="dcterms:W3CDTF">2017-03-13T17:36:00Z</dcterms:modified>
</cp:coreProperties>
</file>