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AE4" w:rsidRDefault="00AF223F" w:rsidP="00B22501">
      <w:pPr>
        <w:pStyle w:val="HChG"/>
        <w:tabs>
          <w:tab w:val="clear" w:pos="851"/>
        </w:tabs>
        <w:ind w:right="1088" w:firstLine="0"/>
        <w:jc w:val="center"/>
      </w:pPr>
      <w:r>
        <w:t xml:space="preserve">Draft proposal for </w:t>
      </w:r>
      <w:r w:rsidR="00CD74EF">
        <w:t xml:space="preserve">purchasing DETA through </w:t>
      </w:r>
      <w:r w:rsidR="00301E02">
        <w:br/>
      </w:r>
      <w:bookmarkStart w:id="0" w:name="_GoBack"/>
      <w:bookmarkEnd w:id="0"/>
      <w:r w:rsidR="00CD74EF">
        <w:t>the Sole Source procedure</w:t>
      </w:r>
    </w:p>
    <w:p w:rsidR="002400DD" w:rsidRDefault="002400DD" w:rsidP="002B6060">
      <w:pPr>
        <w:pStyle w:val="HChG"/>
        <w:tabs>
          <w:tab w:val="left" w:pos="1134"/>
        </w:tabs>
        <w:spacing w:before="240" w:after="120" w:line="240" w:lineRule="auto"/>
        <w:ind w:right="902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EC7CEB">
        <w:rPr>
          <w:lang w:val="en-US"/>
        </w:rPr>
        <w:t>Preamble</w:t>
      </w:r>
    </w:p>
    <w:p w:rsidR="002400DD" w:rsidRDefault="002400DD" w:rsidP="00BD0D9B">
      <w:pPr>
        <w:pStyle w:val="SingleTxtG"/>
        <w:tabs>
          <w:tab w:val="left" w:pos="1701"/>
        </w:tabs>
        <w:rPr>
          <w:lang w:val="en-US"/>
        </w:rPr>
      </w:pPr>
      <w:r>
        <w:rPr>
          <w:lang w:val="en-US"/>
        </w:rPr>
        <w:tab/>
        <w:t xml:space="preserve">The aim of this document is to propose </w:t>
      </w:r>
      <w:r w:rsidR="00CD74EF">
        <w:rPr>
          <w:lang w:val="en-US"/>
        </w:rPr>
        <w:t>t</w:t>
      </w:r>
      <w:r w:rsidR="004D672C">
        <w:rPr>
          <w:lang w:val="en-US"/>
        </w:rPr>
        <w:t>hat</w:t>
      </w:r>
      <w:r w:rsidR="00CD74EF">
        <w:rPr>
          <w:lang w:val="en-US"/>
        </w:rPr>
        <w:t xml:space="preserve"> the Contracting Parties </w:t>
      </w:r>
      <w:r w:rsidR="004D672C">
        <w:rPr>
          <w:lang w:val="en-US"/>
        </w:rPr>
        <w:t xml:space="preserve">request the UN Secretariat to initiate </w:t>
      </w:r>
      <w:r w:rsidR="004D672C" w:rsidRPr="004D672C">
        <w:t xml:space="preserve">a procedure </w:t>
      </w:r>
      <w:r w:rsidR="0011566F">
        <w:rPr>
          <w:lang w:val="en-US"/>
        </w:rPr>
        <w:t xml:space="preserve">for </w:t>
      </w:r>
      <w:r w:rsidR="00CD74EF">
        <w:rPr>
          <w:lang w:val="en-US"/>
        </w:rPr>
        <w:t>the Sole Source purchase of DETA</w:t>
      </w:r>
      <w:r w:rsidR="004D672C">
        <w:rPr>
          <w:lang w:val="en-US"/>
        </w:rPr>
        <w:t>,</w:t>
      </w:r>
      <w:r w:rsidR="00CD74EF">
        <w:rPr>
          <w:lang w:val="en-US"/>
        </w:rPr>
        <w:t xml:space="preserve"> in accordance with </w:t>
      </w:r>
      <w:r w:rsidR="0011566F">
        <w:rPr>
          <w:lang w:val="en-US"/>
        </w:rPr>
        <w:t>the United Nations procurement procedure</w:t>
      </w:r>
      <w:r w:rsidR="00EF710E">
        <w:rPr>
          <w:lang w:val="en-US"/>
        </w:rPr>
        <w:t>s,</w:t>
      </w:r>
      <w:r w:rsidR="0011566F">
        <w:rPr>
          <w:lang w:val="en-US"/>
        </w:rPr>
        <w:t xml:space="preserve"> Chapter 9 Section 9.10.</w:t>
      </w:r>
      <w:r w:rsidR="00043D17">
        <w:rPr>
          <w:lang w:val="en-US"/>
        </w:rPr>
        <w:t xml:space="preserve"> </w:t>
      </w:r>
      <w:r w:rsidR="0011566F">
        <w:rPr>
          <w:lang w:val="en-US"/>
        </w:rPr>
        <w:t>Th</w:t>
      </w:r>
      <w:r w:rsidR="004D672C">
        <w:rPr>
          <w:lang w:val="en-US"/>
        </w:rPr>
        <w:t xml:space="preserve">is </w:t>
      </w:r>
      <w:r w:rsidR="0011566F">
        <w:rPr>
          <w:lang w:val="en-US"/>
        </w:rPr>
        <w:t>is due</w:t>
      </w:r>
      <w:r>
        <w:rPr>
          <w:lang w:val="en-US"/>
        </w:rPr>
        <w:t xml:space="preserve"> </w:t>
      </w:r>
      <w:r w:rsidR="0011566F">
        <w:rPr>
          <w:lang w:val="en-US"/>
        </w:rPr>
        <w:t xml:space="preserve">to </w:t>
      </w:r>
      <w:r>
        <w:rPr>
          <w:lang w:val="en-US"/>
        </w:rPr>
        <w:t xml:space="preserve">the emergency </w:t>
      </w:r>
      <w:r w:rsidR="00043D17">
        <w:rPr>
          <w:lang w:val="en-US"/>
        </w:rPr>
        <w:t>of the</w:t>
      </w:r>
      <w:r>
        <w:rPr>
          <w:lang w:val="en-US"/>
        </w:rPr>
        <w:t xml:space="preserve"> implementing of DETA according to the provisions set </w:t>
      </w:r>
      <w:r w:rsidR="004D672C">
        <w:rPr>
          <w:lang w:val="en-US"/>
        </w:rPr>
        <w:t xml:space="preserve">out </w:t>
      </w:r>
      <w:r>
        <w:rPr>
          <w:lang w:val="en-US"/>
        </w:rPr>
        <w:t>in Rev</w:t>
      </w:r>
      <w:r w:rsidR="004D672C">
        <w:rPr>
          <w:lang w:val="en-US"/>
        </w:rPr>
        <w:t>ision</w:t>
      </w:r>
      <w:r>
        <w:rPr>
          <w:lang w:val="en-US"/>
        </w:rPr>
        <w:t xml:space="preserve"> 3 to the 1958 Agreement</w:t>
      </w:r>
      <w:r>
        <w:rPr>
          <w:vertAlign w:val="superscript"/>
          <w:lang w:val="en-US"/>
        </w:rPr>
        <w:t>1</w:t>
      </w:r>
      <w:r w:rsidR="00BD0D9B">
        <w:rPr>
          <w:lang w:val="en-US"/>
        </w:rPr>
        <w:t xml:space="preserve">, </w:t>
      </w:r>
      <w:r w:rsidR="00A656ED">
        <w:rPr>
          <w:lang w:val="en-US"/>
        </w:rPr>
        <w:t>expected to enter into force in September 2017.</w:t>
      </w:r>
    </w:p>
    <w:p w:rsidR="00474127" w:rsidRPr="00E307B8" w:rsidRDefault="002B6060" w:rsidP="002B6060">
      <w:pPr>
        <w:pStyle w:val="HChG"/>
        <w:tabs>
          <w:tab w:val="left" w:pos="1134"/>
        </w:tabs>
        <w:spacing w:before="240" w:after="120" w:line="240" w:lineRule="auto"/>
        <w:ind w:right="902"/>
        <w:rPr>
          <w:lang w:val="en-US"/>
        </w:rPr>
      </w:pPr>
      <w:r w:rsidRPr="00E307B8">
        <w:rPr>
          <w:lang w:val="en-US"/>
        </w:rPr>
        <w:tab/>
        <w:t>1.</w:t>
      </w:r>
      <w:r w:rsidRPr="00E307B8">
        <w:rPr>
          <w:lang w:val="en-US"/>
        </w:rPr>
        <w:tab/>
      </w:r>
      <w:r w:rsidR="00474127" w:rsidRPr="00E307B8">
        <w:rPr>
          <w:lang w:val="en-US"/>
        </w:rPr>
        <w:t>Introduction</w:t>
      </w:r>
    </w:p>
    <w:p w:rsidR="00474127" w:rsidRDefault="004D0CD4" w:rsidP="006419D3">
      <w:pPr>
        <w:tabs>
          <w:tab w:val="left" w:pos="1701"/>
        </w:tabs>
        <w:spacing w:after="120"/>
        <w:ind w:left="1134" w:right="1134"/>
        <w:jc w:val="both"/>
        <w:rPr>
          <w:spacing w:val="-2"/>
          <w:lang w:val="en-US"/>
        </w:rPr>
      </w:pPr>
      <w:r>
        <w:rPr>
          <w:spacing w:val="-2"/>
          <w:lang w:val="en-US"/>
        </w:rPr>
        <w:tab/>
      </w:r>
      <w:r w:rsidR="00257A56" w:rsidRPr="002B6060">
        <w:rPr>
          <w:spacing w:val="-2"/>
          <w:lang w:val="en-US"/>
        </w:rPr>
        <w:t xml:space="preserve">WP.29 </w:t>
      </w:r>
      <w:r w:rsidR="00D077E9">
        <w:rPr>
          <w:spacing w:val="-2"/>
          <w:lang w:val="en-US"/>
        </w:rPr>
        <w:t xml:space="preserve">has </w:t>
      </w:r>
      <w:r w:rsidR="00257A56" w:rsidRPr="002B6060">
        <w:rPr>
          <w:spacing w:val="-2"/>
          <w:lang w:val="en-US"/>
        </w:rPr>
        <w:t xml:space="preserve">considered </w:t>
      </w:r>
      <w:r w:rsidR="00D077E9">
        <w:rPr>
          <w:spacing w:val="-2"/>
          <w:lang w:val="en-US"/>
        </w:rPr>
        <w:t xml:space="preserve">various options to set up a system that would allow </w:t>
      </w:r>
      <w:r w:rsidR="00257A56" w:rsidRPr="002B6060">
        <w:rPr>
          <w:spacing w:val="-2"/>
          <w:lang w:val="en-US"/>
        </w:rPr>
        <w:t>type approvals granted according to UN Regulations annexed to the 1958 Agreement</w:t>
      </w:r>
      <w:r w:rsidR="0074268D">
        <w:rPr>
          <w:rStyle w:val="FootnoteReference"/>
          <w:spacing w:val="-2"/>
          <w:lang w:val="en-US"/>
        </w:rPr>
        <w:footnoteReference w:id="1"/>
      </w:r>
      <w:r w:rsidR="00D077E9">
        <w:rPr>
          <w:spacing w:val="-2"/>
          <w:lang w:val="en-US"/>
        </w:rPr>
        <w:t xml:space="preserve"> to be managed electronically</w:t>
      </w:r>
      <w:r w:rsidR="00257A56" w:rsidRPr="002B6060">
        <w:rPr>
          <w:spacing w:val="-2"/>
          <w:lang w:val="en-US"/>
        </w:rPr>
        <w:t xml:space="preserve">. The initial objective of the WP.29 discussion in 2002/2003 </w:t>
      </w:r>
      <w:r w:rsidR="00D077E9" w:rsidRPr="002B6060">
        <w:rPr>
          <w:spacing w:val="-2"/>
          <w:lang w:val="en-US"/>
        </w:rPr>
        <w:t>w</w:t>
      </w:r>
      <w:r w:rsidR="00D077E9">
        <w:rPr>
          <w:spacing w:val="-2"/>
          <w:lang w:val="en-US"/>
        </w:rPr>
        <w:t xml:space="preserve">as </w:t>
      </w:r>
      <w:r w:rsidR="00257A56" w:rsidRPr="002B6060">
        <w:rPr>
          <w:spacing w:val="-2"/>
          <w:lang w:val="en-US"/>
        </w:rPr>
        <w:t xml:space="preserve">to reinforce the transparency and the efficiency of the 1958 Agreement. </w:t>
      </w:r>
      <w:r w:rsidR="00D077E9">
        <w:rPr>
          <w:spacing w:val="-2"/>
          <w:lang w:val="en-US"/>
        </w:rPr>
        <w:t>Currently</w:t>
      </w:r>
      <w:r w:rsidR="00257A56" w:rsidRPr="002B6060">
        <w:rPr>
          <w:spacing w:val="-2"/>
          <w:lang w:val="en-US"/>
        </w:rPr>
        <w:t xml:space="preserve">, </w:t>
      </w:r>
      <w:r w:rsidR="00D077E9">
        <w:rPr>
          <w:spacing w:val="-2"/>
          <w:lang w:val="en-US"/>
        </w:rPr>
        <w:t xml:space="preserve">the activities concerning the creation of an electronic </w:t>
      </w:r>
      <w:r w:rsidR="00D077E9" w:rsidRPr="002B6060">
        <w:rPr>
          <w:spacing w:val="-2"/>
          <w:lang w:val="en-US"/>
        </w:rPr>
        <w:t>Database for Exchange of Type Approvals (DETA)</w:t>
      </w:r>
      <w:r w:rsidR="00D077E9">
        <w:rPr>
          <w:spacing w:val="-2"/>
          <w:lang w:val="en-US"/>
        </w:rPr>
        <w:t xml:space="preserve"> as well as </w:t>
      </w:r>
      <w:r w:rsidR="00D077E9" w:rsidRPr="002B6060">
        <w:rPr>
          <w:spacing w:val="-2"/>
          <w:lang w:val="en-US"/>
        </w:rPr>
        <w:t xml:space="preserve">the </w:t>
      </w:r>
      <w:r w:rsidR="00451040">
        <w:rPr>
          <w:spacing w:val="-2"/>
          <w:lang w:val="en-US"/>
        </w:rPr>
        <w:t xml:space="preserve">entry into force </w:t>
      </w:r>
      <w:r w:rsidR="00D077E9" w:rsidRPr="002B6060">
        <w:rPr>
          <w:spacing w:val="-2"/>
          <w:lang w:val="en-US"/>
        </w:rPr>
        <w:t xml:space="preserve">of </w:t>
      </w:r>
      <w:r w:rsidR="00451040">
        <w:rPr>
          <w:spacing w:val="-2"/>
          <w:lang w:val="en-US"/>
        </w:rPr>
        <w:t xml:space="preserve">the </w:t>
      </w:r>
      <w:r w:rsidR="00D077E9" w:rsidRPr="002B6060">
        <w:rPr>
          <w:spacing w:val="-2"/>
          <w:lang w:val="en-US"/>
        </w:rPr>
        <w:t>draft Revision 3 to the 1958 Agreement</w:t>
      </w:r>
      <w:r w:rsidR="00D077E9" w:rsidRPr="002B6060" w:rsidDel="00D077E9">
        <w:rPr>
          <w:spacing w:val="-2"/>
          <w:lang w:val="en-US"/>
        </w:rPr>
        <w:t xml:space="preserve"> </w:t>
      </w:r>
      <w:r w:rsidR="00257A56" w:rsidRPr="002B6060">
        <w:rPr>
          <w:spacing w:val="-2"/>
          <w:lang w:val="en-US"/>
        </w:rPr>
        <w:t xml:space="preserve">are in </w:t>
      </w:r>
      <w:r w:rsidR="00D077E9">
        <w:rPr>
          <w:spacing w:val="-2"/>
          <w:lang w:val="en-US"/>
        </w:rPr>
        <w:t>the</w:t>
      </w:r>
      <w:r w:rsidR="00D077E9" w:rsidRPr="002B6060">
        <w:rPr>
          <w:spacing w:val="-2"/>
          <w:lang w:val="en-US"/>
        </w:rPr>
        <w:t xml:space="preserve"> </w:t>
      </w:r>
      <w:r w:rsidR="00257A56" w:rsidRPr="002B6060">
        <w:rPr>
          <w:spacing w:val="-2"/>
          <w:lang w:val="en-US"/>
        </w:rPr>
        <w:t>final stage</w:t>
      </w:r>
      <w:r w:rsidR="00D077E9">
        <w:rPr>
          <w:spacing w:val="-2"/>
          <w:lang w:val="en-US"/>
        </w:rPr>
        <w:t>s</w:t>
      </w:r>
      <w:r w:rsidR="00257A56" w:rsidRPr="002B6060">
        <w:rPr>
          <w:spacing w:val="-2"/>
          <w:lang w:val="en-US"/>
        </w:rPr>
        <w:t xml:space="preserve"> </w:t>
      </w:r>
      <w:r w:rsidR="00D077E9">
        <w:rPr>
          <w:spacing w:val="-2"/>
          <w:lang w:val="en-US"/>
        </w:rPr>
        <w:t xml:space="preserve">and are </w:t>
      </w:r>
      <w:r w:rsidR="00257A56" w:rsidRPr="002B6060">
        <w:rPr>
          <w:spacing w:val="-2"/>
          <w:lang w:val="en-US"/>
        </w:rPr>
        <w:t>of highest priority</w:t>
      </w:r>
      <w:r w:rsidR="00D077E9">
        <w:rPr>
          <w:spacing w:val="-2"/>
          <w:lang w:val="en-US"/>
        </w:rPr>
        <w:t>.</w:t>
      </w:r>
      <w:r w:rsidR="00257A56" w:rsidRPr="002B6060">
        <w:rPr>
          <w:spacing w:val="-2"/>
          <w:lang w:val="en-US"/>
        </w:rPr>
        <w:t xml:space="preserve"> According to the provisions of each UN Regulation annexed to the 1958 Agreement, the competent authority of each Contracting Party applying a Regulation shall communicate, to the competent authority of the other Contracting Parties to the 1958 Agreement which apply that Regulation, a notice of approval or of extension or refusal of approval of a type of vehicle, equipment or parts pursuant to that Regulation</w:t>
      </w:r>
      <w:r w:rsidR="00D077E9">
        <w:rPr>
          <w:spacing w:val="-2"/>
          <w:lang w:val="en-US"/>
        </w:rPr>
        <w:t>. This communication should take place</w:t>
      </w:r>
      <w:r w:rsidR="00257A56" w:rsidRPr="002B6060">
        <w:rPr>
          <w:spacing w:val="-2"/>
          <w:lang w:val="en-US"/>
        </w:rPr>
        <w:t xml:space="preserve"> by means of a form </w:t>
      </w:r>
      <w:r w:rsidR="00D077E9">
        <w:rPr>
          <w:spacing w:val="-2"/>
          <w:lang w:val="en-US"/>
        </w:rPr>
        <w:t>following</w:t>
      </w:r>
      <w:r w:rsidR="00257A56" w:rsidRPr="002B6060">
        <w:rPr>
          <w:spacing w:val="-2"/>
          <w:lang w:val="en-US"/>
        </w:rPr>
        <w:t xml:space="preserve"> the model annexed to the Regulation. Under the current Revision 2 </w:t>
      </w:r>
      <w:r w:rsidR="00D077E9">
        <w:rPr>
          <w:spacing w:val="-2"/>
          <w:lang w:val="en-US"/>
        </w:rPr>
        <w:t>of</w:t>
      </w:r>
      <w:r w:rsidR="00D077E9" w:rsidRPr="002B6060">
        <w:rPr>
          <w:spacing w:val="-2"/>
          <w:lang w:val="en-US"/>
        </w:rPr>
        <w:t xml:space="preserve"> </w:t>
      </w:r>
      <w:r w:rsidR="00257A56" w:rsidRPr="002B6060">
        <w:rPr>
          <w:spacing w:val="-2"/>
          <w:lang w:val="en-US"/>
        </w:rPr>
        <w:t>the 1958 Agreement, this communication shall be done by</w:t>
      </w:r>
      <w:r w:rsidR="00D077E9">
        <w:rPr>
          <w:spacing w:val="-2"/>
          <w:lang w:val="en-US"/>
        </w:rPr>
        <w:t xml:space="preserve"> sending</w:t>
      </w:r>
      <w:r w:rsidR="00257A56" w:rsidRPr="002B6060">
        <w:rPr>
          <w:spacing w:val="-2"/>
          <w:lang w:val="en-US"/>
        </w:rPr>
        <w:t xml:space="preserve"> paper copies via mail. To reduce the </w:t>
      </w:r>
      <w:r w:rsidR="00D077E9">
        <w:rPr>
          <w:spacing w:val="-2"/>
          <w:lang w:val="en-US"/>
        </w:rPr>
        <w:t>costs related to</w:t>
      </w:r>
      <w:r w:rsidR="00257A56" w:rsidRPr="002B6060">
        <w:rPr>
          <w:spacing w:val="-2"/>
          <w:lang w:val="en-US"/>
        </w:rPr>
        <w:t xml:space="preserve"> type approval documentation </w:t>
      </w:r>
      <w:r w:rsidR="00D077E9">
        <w:rPr>
          <w:spacing w:val="-2"/>
          <w:lang w:val="en-US"/>
        </w:rPr>
        <w:t>for</w:t>
      </w:r>
      <w:r w:rsidR="00D077E9" w:rsidRPr="002B6060">
        <w:rPr>
          <w:spacing w:val="-2"/>
          <w:lang w:val="en-US"/>
        </w:rPr>
        <w:t xml:space="preserve"> </w:t>
      </w:r>
      <w:r w:rsidR="00257A56" w:rsidRPr="002B6060">
        <w:rPr>
          <w:spacing w:val="-2"/>
          <w:lang w:val="en-US"/>
        </w:rPr>
        <w:t xml:space="preserve">all Contracting Parties, WP.29 </w:t>
      </w:r>
      <w:r w:rsidR="00D077E9">
        <w:rPr>
          <w:spacing w:val="-2"/>
          <w:lang w:val="en-US"/>
        </w:rPr>
        <w:t xml:space="preserve">has </w:t>
      </w:r>
      <w:r w:rsidR="00257A56" w:rsidRPr="002B6060">
        <w:rPr>
          <w:spacing w:val="-2"/>
          <w:lang w:val="en-US"/>
        </w:rPr>
        <w:t xml:space="preserve">considered the possibility </w:t>
      </w:r>
      <w:r w:rsidR="00D077E9">
        <w:rPr>
          <w:spacing w:val="-2"/>
          <w:lang w:val="en-US"/>
        </w:rPr>
        <w:t>of distributing</w:t>
      </w:r>
      <w:r w:rsidR="00257A56" w:rsidRPr="002B6060">
        <w:rPr>
          <w:spacing w:val="-2"/>
          <w:lang w:val="en-US"/>
        </w:rPr>
        <w:t xml:space="preserve"> the type approval documentation</w:t>
      </w:r>
      <w:r w:rsidR="00D077E9" w:rsidRPr="00D077E9">
        <w:rPr>
          <w:spacing w:val="-2"/>
          <w:lang w:val="en-US"/>
        </w:rPr>
        <w:t xml:space="preserve"> </w:t>
      </w:r>
      <w:r w:rsidR="00D077E9" w:rsidRPr="002B6060">
        <w:rPr>
          <w:spacing w:val="-2"/>
          <w:lang w:val="en-US"/>
        </w:rPr>
        <w:t>electronically</w:t>
      </w:r>
      <w:r w:rsidR="00257A56" w:rsidRPr="002B6060">
        <w:rPr>
          <w:spacing w:val="-2"/>
          <w:lang w:val="en-US"/>
        </w:rPr>
        <w:t>.</w:t>
      </w:r>
      <w:r w:rsidR="00E3222E">
        <w:rPr>
          <w:spacing w:val="-2"/>
          <w:lang w:val="en-US"/>
        </w:rPr>
        <w:t xml:space="preserve"> Among other</w:t>
      </w:r>
      <w:r w:rsidR="00D077E9">
        <w:rPr>
          <w:spacing w:val="-2"/>
          <w:lang w:val="en-US"/>
        </w:rPr>
        <w:t xml:space="preserve"> benefit</w:t>
      </w:r>
      <w:r w:rsidR="00E3222E">
        <w:rPr>
          <w:spacing w:val="-2"/>
          <w:lang w:val="en-US"/>
        </w:rPr>
        <w:t xml:space="preserve">s, this </w:t>
      </w:r>
      <w:r w:rsidR="00D077E9">
        <w:rPr>
          <w:spacing w:val="-2"/>
          <w:lang w:val="en-US"/>
        </w:rPr>
        <w:t xml:space="preserve">system </w:t>
      </w:r>
      <w:r w:rsidR="00E3222E">
        <w:rPr>
          <w:spacing w:val="-2"/>
          <w:lang w:val="en-US"/>
        </w:rPr>
        <w:t>w</w:t>
      </w:r>
      <w:r w:rsidR="00D077E9">
        <w:rPr>
          <w:spacing w:val="-2"/>
          <w:lang w:val="en-US"/>
        </w:rPr>
        <w:t>ould</w:t>
      </w:r>
      <w:r w:rsidR="00E3222E">
        <w:rPr>
          <w:spacing w:val="-2"/>
          <w:lang w:val="en-US"/>
        </w:rPr>
        <w:t xml:space="preserve"> help a Type Approval Authority </w:t>
      </w:r>
      <w:r w:rsidR="00D077E9">
        <w:rPr>
          <w:spacing w:val="-2"/>
          <w:lang w:val="en-US"/>
        </w:rPr>
        <w:t>keep track of</w:t>
      </w:r>
      <w:r w:rsidR="00E3222E">
        <w:rPr>
          <w:spacing w:val="-2"/>
          <w:lang w:val="en-US"/>
        </w:rPr>
        <w:t xml:space="preserve"> whether a vehicle </w:t>
      </w:r>
      <w:r w:rsidR="00D077E9">
        <w:rPr>
          <w:spacing w:val="-2"/>
          <w:lang w:val="en-US"/>
        </w:rPr>
        <w:t xml:space="preserve">has </w:t>
      </w:r>
      <w:r w:rsidR="00E3222E">
        <w:rPr>
          <w:spacing w:val="-2"/>
          <w:lang w:val="en-US"/>
        </w:rPr>
        <w:t xml:space="preserve">already received a refusal. WP.29 </w:t>
      </w:r>
      <w:r w:rsidR="00D077E9">
        <w:rPr>
          <w:spacing w:val="-2"/>
          <w:lang w:val="en-US"/>
        </w:rPr>
        <w:t xml:space="preserve">has </w:t>
      </w:r>
      <w:r w:rsidR="00843C12">
        <w:rPr>
          <w:spacing w:val="-2"/>
          <w:lang w:val="en-US"/>
        </w:rPr>
        <w:t>decided</w:t>
      </w:r>
      <w:r w:rsidR="00E3222E">
        <w:rPr>
          <w:spacing w:val="-2"/>
          <w:lang w:val="en-US"/>
        </w:rPr>
        <w:t xml:space="preserve"> DETA to be hosted by UNECE.</w:t>
      </w:r>
      <w:r w:rsidR="00D077E9">
        <w:rPr>
          <w:spacing w:val="-2"/>
          <w:lang w:val="en-US"/>
        </w:rPr>
        <w:t xml:space="preserve"> </w:t>
      </w:r>
      <w:r w:rsidR="0074268D">
        <w:rPr>
          <w:spacing w:val="-2"/>
          <w:lang w:val="en-US"/>
        </w:rPr>
        <w:t xml:space="preserve">The Revision 3 to the 1958 Agreement is </w:t>
      </w:r>
      <w:r w:rsidR="00C24C69">
        <w:rPr>
          <w:spacing w:val="-2"/>
          <w:lang w:val="en-US"/>
        </w:rPr>
        <w:t>mentioning</w:t>
      </w:r>
      <w:r w:rsidR="0074268D">
        <w:rPr>
          <w:spacing w:val="-2"/>
          <w:lang w:val="en-US"/>
        </w:rPr>
        <w:t xml:space="preserve"> DETA</w:t>
      </w:r>
      <w:r w:rsidR="0074268D">
        <w:rPr>
          <w:rStyle w:val="FootnoteReference"/>
          <w:spacing w:val="-2"/>
          <w:lang w:val="en-US"/>
        </w:rPr>
        <w:footnoteReference w:id="2"/>
      </w:r>
      <w:r w:rsidR="006419D3">
        <w:rPr>
          <w:spacing w:val="-2"/>
          <w:lang w:val="en-US"/>
        </w:rPr>
        <w:t>:</w:t>
      </w:r>
    </w:p>
    <w:p w:rsidR="006419D3" w:rsidRPr="006419D3" w:rsidRDefault="006419D3" w:rsidP="006419D3">
      <w:pPr>
        <w:pStyle w:val="SingleTxtG"/>
        <w:widowControl w:val="0"/>
        <w:ind w:left="2257" w:hanging="1123"/>
        <w:jc w:val="center"/>
        <w:rPr>
          <w:i/>
        </w:rPr>
      </w:pPr>
      <w:r>
        <w:rPr>
          <w:spacing w:val="-2"/>
          <w:lang w:val="en-US"/>
        </w:rPr>
        <w:t>"</w:t>
      </w:r>
      <w:r w:rsidRPr="006419D3">
        <w:rPr>
          <w:i/>
        </w:rPr>
        <w:t>Article 5</w:t>
      </w:r>
    </w:p>
    <w:p w:rsidR="006419D3" w:rsidRPr="006419D3" w:rsidRDefault="006419D3" w:rsidP="006419D3">
      <w:pPr>
        <w:pStyle w:val="SingleTxtG"/>
        <w:widowControl w:val="0"/>
        <w:tabs>
          <w:tab w:val="left" w:pos="2268"/>
        </w:tabs>
        <w:rPr>
          <w:i/>
        </w:rPr>
      </w:pPr>
      <w:r w:rsidRPr="006419D3">
        <w:rPr>
          <w:i/>
        </w:rPr>
        <w:t>1.</w:t>
      </w:r>
      <w:r w:rsidRPr="006419D3">
        <w:rPr>
          <w:i/>
        </w:rPr>
        <w:tab/>
        <w:t>The approval authorities of each Contracting Party applying UN Regulations shall send upon the request from the other Contracting Parties, a list of the wheeled vehicles, equipment or parts, of which it has refused to grant or has withdrawn approvals.</w:t>
      </w:r>
    </w:p>
    <w:p w:rsidR="006419D3" w:rsidRPr="006419D3" w:rsidRDefault="006419D3" w:rsidP="006419D3">
      <w:pPr>
        <w:pStyle w:val="SingleTxtG"/>
        <w:widowControl w:val="0"/>
        <w:tabs>
          <w:tab w:val="left" w:pos="2268"/>
        </w:tabs>
        <w:rPr>
          <w:i/>
        </w:rPr>
      </w:pPr>
      <w:r w:rsidRPr="006419D3">
        <w:rPr>
          <w:i/>
        </w:rPr>
        <w:t>2.</w:t>
      </w:r>
      <w:r w:rsidRPr="006419D3">
        <w:rPr>
          <w:i/>
        </w:rPr>
        <w:tab/>
        <w:t>In addition, on receiving a request from another Contracting Party applying a UN Regulation, it shall send forthwith, in accordance with the provisions of Schedule 5 annexed to this Agreement, to that Contracting Party a copy of all relevant information on which it based its decision to grant, refuse to grant, or to withdraw an approval of a wheeled vehicle, equipment or part pursuant to that UN Regulation.</w:t>
      </w:r>
    </w:p>
    <w:p w:rsidR="006419D3" w:rsidRPr="006419D3" w:rsidRDefault="006419D3" w:rsidP="006419D3">
      <w:pPr>
        <w:pStyle w:val="SingleTxtG"/>
        <w:widowControl w:val="0"/>
        <w:tabs>
          <w:tab w:val="left" w:pos="2268"/>
        </w:tabs>
        <w:rPr>
          <w:i/>
        </w:rPr>
      </w:pPr>
      <w:r w:rsidRPr="006419D3">
        <w:rPr>
          <w:i/>
        </w:rPr>
        <w:t>3.</w:t>
      </w:r>
      <w:r w:rsidRPr="006419D3">
        <w:rPr>
          <w:i/>
        </w:rPr>
        <w:tab/>
        <w:t xml:space="preserve">The paper copy may be replaced by an </w:t>
      </w:r>
      <w:r w:rsidRPr="006419D3">
        <w:rPr>
          <w:b/>
          <w:i/>
        </w:rPr>
        <w:t xml:space="preserve">electronic file in accordance with </w:t>
      </w:r>
      <w:r w:rsidRPr="006419D3">
        <w:rPr>
          <w:b/>
          <w:i/>
        </w:rPr>
        <w:lastRenderedPageBreak/>
        <w:t>Schedule 5</w:t>
      </w:r>
      <w:r w:rsidRPr="006419D3">
        <w:rPr>
          <w:i/>
        </w:rPr>
        <w:t xml:space="preserve"> annexed to this Agreement."</w:t>
      </w:r>
    </w:p>
    <w:p w:rsidR="006419D3" w:rsidRPr="006419D3" w:rsidRDefault="006419D3" w:rsidP="006419D3">
      <w:pPr>
        <w:pStyle w:val="SingleTxtG"/>
        <w:widowControl w:val="0"/>
        <w:tabs>
          <w:tab w:val="left" w:pos="2268"/>
        </w:tabs>
        <w:rPr>
          <w:b/>
          <w:i/>
        </w:rPr>
      </w:pPr>
      <w:r>
        <w:t>"</w:t>
      </w:r>
      <w:r w:rsidRPr="006419D3">
        <w:rPr>
          <w:b/>
          <w:i/>
        </w:rPr>
        <w:t>Schedule 5 …</w:t>
      </w:r>
    </w:p>
    <w:p w:rsidR="006419D3" w:rsidRDefault="006419D3" w:rsidP="006419D3">
      <w:pPr>
        <w:pStyle w:val="SingleTxtG"/>
        <w:ind w:left="2268" w:hanging="1134"/>
        <w:rPr>
          <w:i/>
        </w:rPr>
      </w:pPr>
      <w:r w:rsidRPr="006419D3">
        <w:rPr>
          <w:i/>
        </w:rPr>
        <w:t>1.</w:t>
      </w:r>
      <w:r w:rsidRPr="006419D3">
        <w:rPr>
          <w:i/>
        </w:rPr>
        <w:tab/>
        <w:t xml:space="preserve">Where an approval authority is required to or is requested to provide a copy of an approval and its attachments, it shall send the documents as paper copies, or by e-mail in electronic format, or by </w:t>
      </w:r>
      <w:r w:rsidRPr="006419D3">
        <w:rPr>
          <w:b/>
          <w:i/>
        </w:rPr>
        <w:t>utilizing the secure internet database established by the United Nations Economic Commission for Europe</w:t>
      </w:r>
      <w:r w:rsidRPr="006419D3">
        <w:rPr>
          <w:i/>
        </w:rPr>
        <w:t>. …"</w:t>
      </w:r>
    </w:p>
    <w:p w:rsidR="002400DD" w:rsidRPr="002400DD" w:rsidRDefault="002400DD" w:rsidP="002400DD">
      <w:pPr>
        <w:tabs>
          <w:tab w:val="left" w:pos="1701"/>
        </w:tabs>
        <w:spacing w:after="120"/>
        <w:ind w:left="1134" w:right="1134"/>
        <w:jc w:val="both"/>
        <w:rPr>
          <w:spacing w:val="-2"/>
          <w:lang w:val="en-US"/>
        </w:rPr>
      </w:pPr>
      <w:r>
        <w:tab/>
      </w:r>
      <w:r w:rsidRPr="002400DD">
        <w:t>In addition</w:t>
      </w:r>
      <w:r>
        <w:t xml:space="preserve"> and</w:t>
      </w:r>
      <w:r w:rsidRPr="002400DD">
        <w:t xml:space="preserve"> </w:t>
      </w:r>
      <w:r>
        <w:t>in accordance to the 1958 Agreement, DETA shall be able to generate the "Unique Identifier" for Type-Approved products.</w:t>
      </w:r>
    </w:p>
    <w:p w:rsidR="00257A56" w:rsidRDefault="002B6060" w:rsidP="002B6060">
      <w:pPr>
        <w:pStyle w:val="HChG"/>
        <w:tabs>
          <w:tab w:val="left" w:pos="1134"/>
        </w:tabs>
        <w:spacing w:before="240" w:after="120" w:line="240" w:lineRule="auto"/>
        <w:ind w:right="902"/>
        <w:rPr>
          <w:lang w:val="en-US"/>
        </w:rPr>
      </w:pPr>
      <w:r>
        <w:rPr>
          <w:lang w:val="en-US"/>
        </w:rPr>
        <w:tab/>
        <w:t>2.</w:t>
      </w:r>
      <w:r>
        <w:rPr>
          <w:lang w:val="en-US"/>
        </w:rPr>
        <w:tab/>
        <w:t>Costs</w:t>
      </w:r>
    </w:p>
    <w:p w:rsidR="00A656ED" w:rsidRDefault="00A656ED" w:rsidP="006419D3">
      <w:pPr>
        <w:tabs>
          <w:tab w:val="left" w:pos="1701"/>
        </w:tabs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ab/>
        <w:t xml:space="preserve">The </w:t>
      </w:r>
      <w:r w:rsidR="009F229A">
        <w:rPr>
          <w:lang w:val="en-US"/>
        </w:rPr>
        <w:t xml:space="preserve">one time </w:t>
      </w:r>
      <w:r>
        <w:rPr>
          <w:lang w:val="en-US"/>
        </w:rPr>
        <w:t>cost</w:t>
      </w:r>
      <w:r w:rsidR="00EC7CEB">
        <w:rPr>
          <w:lang w:val="en-US"/>
        </w:rPr>
        <w:t>s</w:t>
      </w:r>
      <w:r>
        <w:rPr>
          <w:lang w:val="en-US"/>
        </w:rPr>
        <w:t xml:space="preserve"> in order to </w:t>
      </w:r>
      <w:r w:rsidR="006C3D76">
        <w:rPr>
          <w:lang w:val="en-US"/>
        </w:rPr>
        <w:t>purchase</w:t>
      </w:r>
      <w:r>
        <w:rPr>
          <w:lang w:val="en-US"/>
        </w:rPr>
        <w:t xml:space="preserve"> DETA from</w:t>
      </w:r>
      <w:r w:rsidR="004F1E69">
        <w:rPr>
          <w:lang w:val="en-US"/>
        </w:rPr>
        <w:t xml:space="preserve"> T-Systems are expected to be ~€</w:t>
      </w:r>
      <w:r w:rsidR="009F229A">
        <w:rPr>
          <w:lang w:val="en-US"/>
        </w:rPr>
        <w:t>4</w:t>
      </w:r>
      <w:r>
        <w:rPr>
          <w:lang w:val="en-US"/>
        </w:rPr>
        <w:t>0</w:t>
      </w:r>
      <w:r w:rsidR="00A52922">
        <w:rPr>
          <w:lang w:val="en-US"/>
        </w:rPr>
        <w:t>,</w:t>
      </w:r>
      <w:r>
        <w:rPr>
          <w:lang w:val="en-US"/>
        </w:rPr>
        <w:t>000</w:t>
      </w:r>
      <w:r w:rsidR="009F229A">
        <w:rPr>
          <w:lang w:val="en-US"/>
        </w:rPr>
        <w:t xml:space="preserve"> </w:t>
      </w:r>
      <w:r w:rsidR="00A52922">
        <w:rPr>
          <w:lang w:val="en-US"/>
        </w:rPr>
        <w:t xml:space="preserve">for license and ramp up </w:t>
      </w:r>
      <w:r w:rsidR="009F229A">
        <w:rPr>
          <w:lang w:val="en-US"/>
        </w:rPr>
        <w:t>and in addition ~€12</w:t>
      </w:r>
      <w:r w:rsidR="00A52922">
        <w:rPr>
          <w:lang w:val="en-US"/>
        </w:rPr>
        <w:t>,</w:t>
      </w:r>
      <w:r w:rsidR="009F229A">
        <w:rPr>
          <w:lang w:val="en-US"/>
        </w:rPr>
        <w:t xml:space="preserve">000 annually </w:t>
      </w:r>
      <w:r>
        <w:rPr>
          <w:lang w:val="en-US"/>
        </w:rPr>
        <w:t>for the maintenance.</w:t>
      </w:r>
    </w:p>
    <w:p w:rsidR="00843C12" w:rsidRDefault="004D0CD4" w:rsidP="006419D3">
      <w:pPr>
        <w:tabs>
          <w:tab w:val="left" w:pos="1701"/>
        </w:tabs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ab/>
      </w:r>
      <w:r w:rsidR="00843C12">
        <w:rPr>
          <w:lang w:val="en-US"/>
        </w:rPr>
        <w:t>In addition, Contracting Parties may wish to benefit from technical progress and may request that new functions be added to DETA in order to make sure that DETA doesn't become obsolete</w:t>
      </w:r>
      <w:r w:rsidR="00C24C69">
        <w:rPr>
          <w:lang w:val="en-US"/>
        </w:rPr>
        <w:t>.</w:t>
      </w:r>
      <w:r>
        <w:rPr>
          <w:lang w:val="en-US"/>
        </w:rPr>
        <w:t xml:space="preserve"> </w:t>
      </w:r>
      <w:r w:rsidR="00C24C69">
        <w:rPr>
          <w:lang w:val="en-US"/>
        </w:rPr>
        <w:t>Contracting Parties may</w:t>
      </w:r>
      <w:r>
        <w:rPr>
          <w:lang w:val="en-US"/>
        </w:rPr>
        <w:t xml:space="preserve"> request analytical work from </w:t>
      </w:r>
      <w:r w:rsidR="008B7193">
        <w:rPr>
          <w:lang w:val="en-US"/>
        </w:rPr>
        <w:t xml:space="preserve">the IWG </w:t>
      </w:r>
      <w:r>
        <w:rPr>
          <w:lang w:val="en-US"/>
        </w:rPr>
        <w:t>DETA</w:t>
      </w:r>
      <w:r w:rsidR="008B7193">
        <w:rPr>
          <w:lang w:val="en-US"/>
        </w:rPr>
        <w:t xml:space="preserve"> (or successor)</w:t>
      </w:r>
      <w:r w:rsidR="00843C12">
        <w:rPr>
          <w:lang w:val="en-US"/>
        </w:rPr>
        <w:t>.</w:t>
      </w:r>
    </w:p>
    <w:p w:rsidR="002E3183" w:rsidRDefault="004D0CD4" w:rsidP="006419D3">
      <w:pPr>
        <w:tabs>
          <w:tab w:val="left" w:pos="1701"/>
        </w:tabs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ab/>
      </w:r>
      <w:r w:rsidR="008B7193">
        <w:rPr>
          <w:lang w:val="en-US"/>
        </w:rPr>
        <w:t>T</w:t>
      </w:r>
      <w:r w:rsidR="00843C12">
        <w:rPr>
          <w:lang w:val="en-US"/>
        </w:rPr>
        <w:t>he addition of new features</w:t>
      </w:r>
      <w:r w:rsidR="00C24C69">
        <w:rPr>
          <w:lang w:val="en-US"/>
        </w:rPr>
        <w:t>, updates</w:t>
      </w:r>
      <w:r w:rsidR="00843C12">
        <w:rPr>
          <w:lang w:val="en-US"/>
        </w:rPr>
        <w:t xml:space="preserve"> and function</w:t>
      </w:r>
      <w:r w:rsidR="00A656ED">
        <w:rPr>
          <w:lang w:val="en-US"/>
        </w:rPr>
        <w:t>s</w:t>
      </w:r>
      <w:r w:rsidR="00843C12">
        <w:rPr>
          <w:lang w:val="en-US"/>
        </w:rPr>
        <w:t xml:space="preserve"> </w:t>
      </w:r>
      <w:r>
        <w:rPr>
          <w:lang w:val="en-US"/>
        </w:rPr>
        <w:t xml:space="preserve">or analytical work </w:t>
      </w:r>
      <w:r w:rsidR="00843C12">
        <w:rPr>
          <w:lang w:val="en-US"/>
        </w:rPr>
        <w:t>may request additional funds not assessed in the calculation and subject to further fin</w:t>
      </w:r>
      <w:r w:rsidR="0074268D">
        <w:rPr>
          <w:lang w:val="en-US"/>
        </w:rPr>
        <w:t>ancial agreements or donations.</w:t>
      </w:r>
    </w:p>
    <w:p w:rsidR="00843C12" w:rsidRDefault="00843C12" w:rsidP="00843C12">
      <w:pPr>
        <w:pStyle w:val="HChG"/>
        <w:tabs>
          <w:tab w:val="left" w:pos="1134"/>
        </w:tabs>
        <w:spacing w:before="240" w:after="120" w:line="240" w:lineRule="auto"/>
        <w:ind w:right="902"/>
        <w:rPr>
          <w:lang w:val="en-US"/>
        </w:rPr>
      </w:pPr>
      <w:r>
        <w:rPr>
          <w:lang w:val="en-US"/>
        </w:rPr>
        <w:tab/>
        <w:t>3.</w:t>
      </w:r>
      <w:r>
        <w:rPr>
          <w:lang w:val="en-US"/>
        </w:rPr>
        <w:tab/>
      </w:r>
      <w:r w:rsidR="00635C96">
        <w:rPr>
          <w:lang w:val="en-US"/>
        </w:rPr>
        <w:t>Procurement</w:t>
      </w:r>
    </w:p>
    <w:p w:rsidR="00BF4F97" w:rsidRDefault="004D0CD4" w:rsidP="00043D17">
      <w:pPr>
        <w:tabs>
          <w:tab w:val="left" w:pos="1701"/>
        </w:tabs>
        <w:spacing w:after="240"/>
        <w:ind w:left="1134" w:right="1134"/>
        <w:jc w:val="both"/>
        <w:rPr>
          <w:lang w:val="en-US"/>
        </w:rPr>
      </w:pPr>
      <w:r>
        <w:rPr>
          <w:lang w:val="en-US"/>
        </w:rPr>
        <w:tab/>
      </w:r>
      <w:r w:rsidR="00C14C87">
        <w:rPr>
          <w:lang w:val="en-US"/>
        </w:rPr>
        <w:t xml:space="preserve">To justify the rationale for </w:t>
      </w:r>
      <w:r w:rsidR="00043D17">
        <w:rPr>
          <w:lang w:val="en-US"/>
        </w:rPr>
        <w:t xml:space="preserve">the Sole Source purchase of DETA and the software house </w:t>
      </w:r>
      <w:r w:rsidR="00BF4F97">
        <w:rPr>
          <w:lang w:val="en-US"/>
        </w:rPr>
        <w:t xml:space="preserve">T-Systems </w:t>
      </w:r>
      <w:r w:rsidR="00C14C87">
        <w:rPr>
          <w:lang w:val="en-US"/>
        </w:rPr>
        <w:t>as</w:t>
      </w:r>
      <w:r w:rsidR="00BF4F97">
        <w:rPr>
          <w:lang w:val="en-US"/>
        </w:rPr>
        <w:t xml:space="preserve"> the preferred single Vendor:</w:t>
      </w:r>
    </w:p>
    <w:p w:rsidR="00843C12" w:rsidRDefault="00A656ED" w:rsidP="003A294F">
      <w:pPr>
        <w:pStyle w:val="SingleTxtG"/>
        <w:tabs>
          <w:tab w:val="left" w:pos="1701"/>
        </w:tabs>
        <w:rPr>
          <w:lang w:val="en-US"/>
        </w:rPr>
      </w:pPr>
      <w:r>
        <w:rPr>
          <w:lang w:val="en-US"/>
        </w:rPr>
        <w:tab/>
      </w:r>
      <w:r w:rsidR="00BF4F97">
        <w:rPr>
          <w:lang w:val="en-US"/>
        </w:rPr>
        <w:t>DETA should be operational upon the entry into force of Revision 3 to the 1958 Agreement, September 2017;</w:t>
      </w:r>
    </w:p>
    <w:p w:rsidR="00BF4F97" w:rsidRDefault="00A656ED" w:rsidP="003A294F">
      <w:pPr>
        <w:pStyle w:val="SingleTxtG"/>
        <w:ind w:left="1701" w:hanging="567"/>
        <w:rPr>
          <w:lang w:val="en-US"/>
        </w:rPr>
      </w:pPr>
      <w:r>
        <w:rPr>
          <w:lang w:val="en-US"/>
        </w:rPr>
        <w:t>(a)</w:t>
      </w:r>
      <w:r>
        <w:rPr>
          <w:lang w:val="en-US"/>
        </w:rPr>
        <w:tab/>
        <w:t xml:space="preserve">A </w:t>
      </w:r>
      <w:r w:rsidR="00BF4F97">
        <w:rPr>
          <w:lang w:val="en-US"/>
        </w:rPr>
        <w:t xml:space="preserve">system with the </w:t>
      </w:r>
      <w:r w:rsidR="00C14C87">
        <w:rPr>
          <w:lang w:val="en-US"/>
        </w:rPr>
        <w:t>necessary</w:t>
      </w:r>
      <w:r w:rsidR="00BF4F97">
        <w:rPr>
          <w:lang w:val="en-US"/>
        </w:rPr>
        <w:t xml:space="preserve"> functionalities</w:t>
      </w:r>
      <w:r w:rsidR="00EF710E">
        <w:rPr>
          <w:lang w:val="en-US"/>
        </w:rPr>
        <w:t xml:space="preserve"> for </w:t>
      </w:r>
      <w:r w:rsidR="00BF4F97">
        <w:rPr>
          <w:lang w:val="en-US"/>
        </w:rPr>
        <w:t xml:space="preserve">DETA currently exists as the T-Systems TypMaster/DD system “ETAES”. ETAES is the </w:t>
      </w:r>
      <w:r w:rsidR="00C14C87">
        <w:rPr>
          <w:lang w:val="en-US"/>
        </w:rPr>
        <w:t>well-established</w:t>
      </w:r>
      <w:r w:rsidR="00BF4F97">
        <w:rPr>
          <w:lang w:val="en-US"/>
        </w:rPr>
        <w:t xml:space="preserve"> system </w:t>
      </w:r>
      <w:r w:rsidR="00C14C87">
        <w:rPr>
          <w:lang w:val="en-US"/>
        </w:rPr>
        <w:t xml:space="preserve">by which the </w:t>
      </w:r>
      <w:r w:rsidR="00BF4F97">
        <w:rPr>
          <w:lang w:val="en-US"/>
        </w:rPr>
        <w:t xml:space="preserve">approval authorities of the </w:t>
      </w:r>
      <w:r w:rsidR="00C14C87">
        <w:rPr>
          <w:lang w:val="en-US"/>
        </w:rPr>
        <w:t>European</w:t>
      </w:r>
      <w:r>
        <w:rPr>
          <w:lang w:val="en-US"/>
        </w:rPr>
        <w:t xml:space="preserve"> </w:t>
      </w:r>
      <w:r w:rsidR="00C14C87">
        <w:rPr>
          <w:lang w:val="en-US"/>
        </w:rPr>
        <w:t>Union’s Member States exchange type approvals for already many years</w:t>
      </w:r>
      <w:r w:rsidR="00CF171E">
        <w:rPr>
          <w:lang w:val="en-US"/>
        </w:rPr>
        <w:t xml:space="preserve">. Purchasing another system would require </w:t>
      </w:r>
      <w:r w:rsidR="006C3D76">
        <w:rPr>
          <w:lang w:val="en-US"/>
        </w:rPr>
        <w:t>organizing</w:t>
      </w:r>
      <w:r w:rsidR="00CF171E">
        <w:rPr>
          <w:lang w:val="en-US"/>
        </w:rPr>
        <w:t xml:space="preserve"> training sessions to learn using the new system, which would increase the costs for the organization;</w:t>
      </w:r>
    </w:p>
    <w:p w:rsidR="00BF4F97" w:rsidRDefault="00A656ED" w:rsidP="003A294F">
      <w:pPr>
        <w:pStyle w:val="SingleTxtG"/>
        <w:ind w:left="1701" w:hanging="567"/>
        <w:rPr>
          <w:lang w:val="en-US"/>
        </w:rPr>
      </w:pPr>
      <w:r>
        <w:rPr>
          <w:lang w:val="en-US"/>
        </w:rPr>
        <w:t>(b)</w:t>
      </w:r>
      <w:r>
        <w:rPr>
          <w:lang w:val="en-US"/>
        </w:rPr>
        <w:tab/>
        <w:t xml:space="preserve">A </w:t>
      </w:r>
      <w:r w:rsidR="00BF4F97">
        <w:rPr>
          <w:lang w:val="en-US"/>
        </w:rPr>
        <w:t xml:space="preserve">testing version of DETA </w:t>
      </w:r>
      <w:r w:rsidR="00EF710E">
        <w:rPr>
          <w:lang w:val="en-US"/>
        </w:rPr>
        <w:t>is already available based on</w:t>
      </w:r>
      <w:r w:rsidR="00BF4F97">
        <w:rPr>
          <w:lang w:val="en-US"/>
        </w:rPr>
        <w:t xml:space="preserve"> the TypMaster/DD system </w:t>
      </w:r>
      <w:r w:rsidR="00EF710E">
        <w:rPr>
          <w:lang w:val="en-US"/>
        </w:rPr>
        <w:t>from software house T-Systems. This testing version is</w:t>
      </w:r>
      <w:r w:rsidR="00BF4F97">
        <w:rPr>
          <w:lang w:val="en-US"/>
        </w:rPr>
        <w:t xml:space="preserve"> installed </w:t>
      </w:r>
      <w:r w:rsidR="008F7E18">
        <w:rPr>
          <w:lang w:val="en-US"/>
        </w:rPr>
        <w:t xml:space="preserve">on the </w:t>
      </w:r>
      <w:r>
        <w:rPr>
          <w:lang w:val="en-US"/>
        </w:rPr>
        <w:t>German Type Approval Authority (</w:t>
      </w:r>
      <w:r w:rsidR="008F7E18">
        <w:rPr>
          <w:lang w:val="en-US"/>
        </w:rPr>
        <w:t>KBA</w:t>
      </w:r>
      <w:r>
        <w:rPr>
          <w:lang w:val="en-US"/>
        </w:rPr>
        <w:t>)</w:t>
      </w:r>
      <w:r w:rsidR="008F7E18">
        <w:rPr>
          <w:lang w:val="en-US"/>
        </w:rPr>
        <w:t xml:space="preserve"> servers;</w:t>
      </w:r>
    </w:p>
    <w:p w:rsidR="00A656ED" w:rsidRDefault="00A656ED" w:rsidP="003A294F">
      <w:pPr>
        <w:pStyle w:val="SingleTxtG"/>
        <w:ind w:left="1701" w:hanging="567"/>
        <w:rPr>
          <w:lang w:val="en-US"/>
        </w:rPr>
      </w:pPr>
      <w:r>
        <w:rPr>
          <w:lang w:val="en-US"/>
        </w:rPr>
        <w:t>(c)</w:t>
      </w:r>
      <w:r>
        <w:rPr>
          <w:lang w:val="en-US"/>
        </w:rPr>
        <w:tab/>
      </w:r>
      <w:r w:rsidR="008F7E18">
        <w:rPr>
          <w:lang w:val="en-US"/>
        </w:rPr>
        <w:t>KBA allocate</w:t>
      </w:r>
      <w:r>
        <w:rPr>
          <w:lang w:val="en-US"/>
        </w:rPr>
        <w:t>d</w:t>
      </w:r>
      <w:r w:rsidR="008F7E18">
        <w:rPr>
          <w:lang w:val="en-US"/>
        </w:rPr>
        <w:t xml:space="preserve"> staff and resources during the </w:t>
      </w:r>
      <w:r w:rsidR="00780BCA">
        <w:rPr>
          <w:lang w:val="en-US"/>
        </w:rPr>
        <w:t xml:space="preserve">DETA </w:t>
      </w:r>
      <w:r w:rsidR="008F7E18">
        <w:rPr>
          <w:lang w:val="en-US"/>
        </w:rPr>
        <w:t xml:space="preserve">testing phase. </w:t>
      </w:r>
      <w:r w:rsidR="00CF171E">
        <w:rPr>
          <w:lang w:val="en-US"/>
        </w:rPr>
        <w:t>Purchasing another system would require to repeat the testing phase, which would increase the costs for the organization;</w:t>
      </w:r>
    </w:p>
    <w:p w:rsidR="006675E1" w:rsidRDefault="00A656ED" w:rsidP="006675E1">
      <w:pPr>
        <w:pStyle w:val="SingleTxtG"/>
        <w:ind w:left="1701" w:hanging="567"/>
        <w:rPr>
          <w:lang w:val="en-US"/>
        </w:rPr>
      </w:pPr>
      <w:r>
        <w:rPr>
          <w:lang w:val="en-US"/>
        </w:rPr>
        <w:t>(d)</w:t>
      </w:r>
      <w:r>
        <w:rPr>
          <w:lang w:val="en-US"/>
        </w:rPr>
        <w:tab/>
      </w:r>
      <w:r w:rsidR="008F7E18">
        <w:rPr>
          <w:lang w:val="en-US"/>
        </w:rPr>
        <w:t xml:space="preserve">The existing access rights structure could be taken over from the current </w:t>
      </w:r>
      <w:r w:rsidR="00043D17">
        <w:rPr>
          <w:lang w:val="en-US"/>
        </w:rPr>
        <w:t>testing system</w:t>
      </w:r>
      <w:r w:rsidR="008F7E18">
        <w:rPr>
          <w:lang w:val="en-US"/>
        </w:rPr>
        <w:t>. KBA can therefore contribute with an important support and experience in the installation of DETA on the UN premises, if the T-Systems TypMaster/DD system is used.</w:t>
      </w:r>
    </w:p>
    <w:p w:rsidR="00207574" w:rsidRDefault="006675E1" w:rsidP="006675E1">
      <w:pPr>
        <w:pStyle w:val="SingleTxtG"/>
        <w:tabs>
          <w:tab w:val="left" w:pos="1701"/>
        </w:tabs>
        <w:rPr>
          <w:lang w:val="en-US"/>
        </w:rPr>
      </w:pPr>
      <w:r>
        <w:rPr>
          <w:lang w:val="en-US"/>
        </w:rPr>
        <w:tab/>
      </w:r>
      <w:r w:rsidR="00207574">
        <w:rPr>
          <w:lang w:val="en-US"/>
        </w:rPr>
        <w:t xml:space="preserve">The Sole Source Procurement for DETA is therefore in the best interest of the Contracting Parties and the UN </w:t>
      </w:r>
      <w:r w:rsidR="00CF171E">
        <w:rPr>
          <w:lang w:val="en-US"/>
        </w:rPr>
        <w:t>Organization</w:t>
      </w:r>
      <w:r w:rsidR="00207574">
        <w:rPr>
          <w:lang w:val="en-US"/>
        </w:rPr>
        <w:t>.</w:t>
      </w:r>
    </w:p>
    <w:p w:rsidR="00B22501" w:rsidRPr="00EF619B" w:rsidRDefault="00EF619B" w:rsidP="00EF619B">
      <w:pPr>
        <w:pStyle w:val="HChG"/>
        <w:tabs>
          <w:tab w:val="left" w:pos="1134"/>
        </w:tabs>
        <w:spacing w:before="240" w:after="120" w:line="240" w:lineRule="auto"/>
        <w:ind w:right="902"/>
        <w:rPr>
          <w:lang w:val="en-US"/>
        </w:rPr>
      </w:pPr>
      <w:r>
        <w:rPr>
          <w:lang w:val="en-US"/>
        </w:rPr>
        <w:lastRenderedPageBreak/>
        <w:tab/>
      </w:r>
      <w:r w:rsidR="008F7E18">
        <w:rPr>
          <w:lang w:val="en-US"/>
        </w:rPr>
        <w:t>4</w:t>
      </w:r>
      <w:r>
        <w:rPr>
          <w:lang w:val="en-US"/>
        </w:rPr>
        <w:t>.</w:t>
      </w:r>
      <w:r>
        <w:rPr>
          <w:lang w:val="en-US"/>
        </w:rPr>
        <w:tab/>
        <w:t>Sources</w:t>
      </w:r>
    </w:p>
    <w:p w:rsidR="00451040" w:rsidRDefault="0011566F" w:rsidP="00B22501">
      <w:pPr>
        <w:pStyle w:val="SingleTxtG"/>
        <w:ind w:left="1440" w:hanging="306"/>
      </w:pPr>
      <w:r>
        <w:t>United Nations Procurement Manual Revision 7, Version 7.0 – 1 July 2013.</w:t>
      </w:r>
    </w:p>
    <w:p w:rsidR="001C20A6" w:rsidRPr="00E15055" w:rsidRDefault="00EF619B" w:rsidP="00E15055">
      <w:pPr>
        <w:pStyle w:val="SingleTxtG"/>
        <w:ind w:left="1440" w:hanging="306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20A6" w:rsidRPr="00E15055" w:rsidSect="00D63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C69" w:rsidRDefault="00591C69" w:rsidP="00034ED0">
      <w:pPr>
        <w:spacing w:line="240" w:lineRule="auto"/>
      </w:pPr>
      <w:r>
        <w:separator/>
      </w:r>
    </w:p>
  </w:endnote>
  <w:endnote w:type="continuationSeparator" w:id="0">
    <w:p w:rsidR="00591C69" w:rsidRDefault="00591C69" w:rsidP="00034E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5657238"/>
      <w:docPartObj>
        <w:docPartGallery w:val="Page Numbers (Bottom of Page)"/>
        <w:docPartUnique/>
      </w:docPartObj>
    </w:sdtPr>
    <w:sdtEndPr>
      <w:rPr>
        <w:b/>
        <w:noProof/>
        <w:sz w:val="20"/>
      </w:rPr>
    </w:sdtEndPr>
    <w:sdtContent>
      <w:p w:rsidR="00793E73" w:rsidRPr="00C65839" w:rsidRDefault="00793E73" w:rsidP="00D635E4">
        <w:pPr>
          <w:pStyle w:val="Footer"/>
          <w:rPr>
            <w:b/>
            <w:sz w:val="20"/>
          </w:rPr>
        </w:pPr>
        <w:r w:rsidRPr="007373FD">
          <w:rPr>
            <w:b/>
            <w:sz w:val="20"/>
          </w:rPr>
          <w:fldChar w:fldCharType="begin"/>
        </w:r>
        <w:r w:rsidRPr="007373FD">
          <w:rPr>
            <w:b/>
            <w:sz w:val="20"/>
          </w:rPr>
          <w:instrText xml:space="preserve"> PAGE   \* MERGEFORMAT </w:instrText>
        </w:r>
        <w:r w:rsidRPr="007373FD">
          <w:rPr>
            <w:b/>
            <w:sz w:val="20"/>
          </w:rPr>
          <w:fldChar w:fldCharType="separate"/>
        </w:r>
        <w:r w:rsidR="00301E02">
          <w:rPr>
            <w:b/>
            <w:noProof/>
            <w:sz w:val="20"/>
          </w:rPr>
          <w:t>2</w:t>
        </w:r>
        <w:r w:rsidRPr="007373FD">
          <w:rPr>
            <w:b/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853025"/>
      <w:docPartObj>
        <w:docPartGallery w:val="Page Numbers (Bottom of Page)"/>
        <w:docPartUnique/>
      </w:docPartObj>
    </w:sdtPr>
    <w:sdtEndPr>
      <w:rPr>
        <w:b/>
        <w:noProof/>
        <w:sz w:val="20"/>
      </w:rPr>
    </w:sdtEndPr>
    <w:sdtContent>
      <w:p w:rsidR="00793E73" w:rsidRPr="007373FD" w:rsidRDefault="00793E73" w:rsidP="00D635E4">
        <w:pPr>
          <w:pStyle w:val="Footer"/>
          <w:jc w:val="right"/>
          <w:rPr>
            <w:b/>
            <w:sz w:val="20"/>
          </w:rPr>
        </w:pPr>
        <w:r w:rsidRPr="007373FD">
          <w:rPr>
            <w:b/>
            <w:sz w:val="20"/>
          </w:rPr>
          <w:fldChar w:fldCharType="begin"/>
        </w:r>
        <w:r w:rsidRPr="007373FD">
          <w:rPr>
            <w:b/>
            <w:sz w:val="20"/>
          </w:rPr>
          <w:instrText xml:space="preserve"> PAGE   \* MERGEFORMAT </w:instrText>
        </w:r>
        <w:r w:rsidRPr="007373FD">
          <w:rPr>
            <w:b/>
            <w:sz w:val="20"/>
          </w:rPr>
          <w:fldChar w:fldCharType="separate"/>
        </w:r>
        <w:r w:rsidR="00301E02">
          <w:rPr>
            <w:b/>
            <w:noProof/>
            <w:sz w:val="20"/>
          </w:rPr>
          <w:t>3</w:t>
        </w:r>
        <w:r w:rsidRPr="007373FD">
          <w:rPr>
            <w:b/>
            <w:noProof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9161843"/>
      <w:docPartObj>
        <w:docPartGallery w:val="Page Numbers (Bottom of Page)"/>
        <w:docPartUnique/>
      </w:docPartObj>
    </w:sdtPr>
    <w:sdtEndPr>
      <w:rPr>
        <w:b/>
        <w:noProof/>
        <w:sz w:val="20"/>
      </w:rPr>
    </w:sdtEndPr>
    <w:sdtContent>
      <w:p w:rsidR="00793E73" w:rsidRPr="007373FD" w:rsidRDefault="00793E73" w:rsidP="00D635E4">
        <w:pPr>
          <w:pStyle w:val="Footer"/>
          <w:jc w:val="right"/>
          <w:rPr>
            <w:b/>
            <w:sz w:val="20"/>
          </w:rPr>
        </w:pPr>
        <w:r w:rsidRPr="007373FD">
          <w:rPr>
            <w:b/>
            <w:sz w:val="20"/>
          </w:rPr>
          <w:fldChar w:fldCharType="begin"/>
        </w:r>
        <w:r w:rsidRPr="007373FD">
          <w:rPr>
            <w:b/>
            <w:sz w:val="20"/>
          </w:rPr>
          <w:instrText xml:space="preserve"> PAGE   \* MERGEFORMAT </w:instrText>
        </w:r>
        <w:r w:rsidRPr="007373FD">
          <w:rPr>
            <w:b/>
            <w:sz w:val="20"/>
          </w:rPr>
          <w:fldChar w:fldCharType="separate"/>
        </w:r>
        <w:r w:rsidR="00301E02">
          <w:rPr>
            <w:b/>
            <w:noProof/>
            <w:sz w:val="20"/>
          </w:rPr>
          <w:t>1</w:t>
        </w:r>
        <w:r w:rsidRPr="007373FD">
          <w:rPr>
            <w:b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C69" w:rsidRDefault="00591C69" w:rsidP="00034ED0">
      <w:pPr>
        <w:spacing w:line="240" w:lineRule="auto"/>
      </w:pPr>
      <w:r>
        <w:separator/>
      </w:r>
    </w:p>
  </w:footnote>
  <w:footnote w:type="continuationSeparator" w:id="0">
    <w:p w:rsidR="00591C69" w:rsidRDefault="00591C69" w:rsidP="00034ED0">
      <w:pPr>
        <w:spacing w:line="240" w:lineRule="auto"/>
      </w:pPr>
      <w:r>
        <w:continuationSeparator/>
      </w:r>
    </w:p>
  </w:footnote>
  <w:footnote w:id="1">
    <w:p w:rsidR="0074268D" w:rsidRPr="0074268D" w:rsidRDefault="0074268D" w:rsidP="0074268D">
      <w:pPr>
        <w:pStyle w:val="FootnoteText"/>
        <w:tabs>
          <w:tab w:val="clear" w:pos="1021"/>
        </w:tabs>
        <w:ind w:left="567" w:firstLine="0"/>
      </w:pPr>
      <w:r>
        <w:rPr>
          <w:rStyle w:val="FootnoteReference"/>
        </w:rPr>
        <w:footnoteRef/>
      </w:r>
      <w:r>
        <w:t xml:space="preserve"> The 1958 Agreement: </w:t>
      </w:r>
      <w:r w:rsidRPr="0074268D"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</w:t>
      </w:r>
    </w:p>
  </w:footnote>
  <w:footnote w:id="2">
    <w:p w:rsidR="0074268D" w:rsidRPr="0074268D" w:rsidRDefault="0074268D" w:rsidP="0074268D">
      <w:pPr>
        <w:pStyle w:val="FootnoteText"/>
        <w:tabs>
          <w:tab w:val="clear" w:pos="1021"/>
        </w:tabs>
        <w:ind w:left="567" w:firstLine="0"/>
      </w:pPr>
      <w:r>
        <w:rPr>
          <w:rStyle w:val="FootnoteReference"/>
        </w:rPr>
        <w:footnoteRef/>
      </w:r>
      <w:r>
        <w:t xml:space="preserve"> </w:t>
      </w:r>
      <w:r w:rsidR="00F12DCB">
        <w:rPr>
          <w:lang w:val="en-US"/>
        </w:rPr>
        <w:t>See Rev. 3 to the 1958 Agreement (</w:t>
      </w:r>
      <w:r w:rsidR="00F12DCB" w:rsidRPr="00F12DCB">
        <w:rPr>
          <w:lang w:val="en-US"/>
        </w:rPr>
        <w:t>C.N.910.2016.TREATIES-XI.B.16</w:t>
      </w:r>
      <w:r w:rsidR="00F12DCB">
        <w:rPr>
          <w:lang w:val="en-US"/>
        </w:rPr>
        <w:t>) Art. 5, para. 5 and Schedule 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E73" w:rsidRPr="00D635E4" w:rsidRDefault="00D635E4" w:rsidP="00D635E4">
    <w:pPr>
      <w:pBdr>
        <w:bottom w:val="single" w:sz="4" w:space="1" w:color="auto"/>
      </w:pBdr>
      <w:spacing w:line="240" w:lineRule="auto"/>
      <w:rPr>
        <w:b/>
        <w:sz w:val="18"/>
      </w:rPr>
    </w:pPr>
    <w:r w:rsidRPr="003604F5">
      <w:rPr>
        <w:b/>
        <w:sz w:val="18"/>
        <w:lang w:val="en-US"/>
      </w:rPr>
      <w:t>WP.29-17</w:t>
    </w:r>
    <w:r>
      <w:rPr>
        <w:b/>
        <w:sz w:val="18"/>
        <w:lang w:val="en-US"/>
      </w:rPr>
      <w:t>1</w:t>
    </w:r>
    <w:r w:rsidRPr="003604F5">
      <w:rPr>
        <w:b/>
        <w:sz w:val="18"/>
        <w:lang w:val="en-US"/>
      </w:rPr>
      <w:t>-</w:t>
    </w:r>
    <w:r>
      <w:rPr>
        <w:b/>
        <w:sz w:val="18"/>
        <w:lang w:val="en-US"/>
      </w:rPr>
      <w:t>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E73" w:rsidRPr="00D635E4" w:rsidRDefault="00D635E4" w:rsidP="00D635E4">
    <w:pPr>
      <w:pBdr>
        <w:bottom w:val="single" w:sz="4" w:space="1" w:color="auto"/>
      </w:pBdr>
      <w:spacing w:line="240" w:lineRule="auto"/>
      <w:jc w:val="right"/>
      <w:rPr>
        <w:b/>
        <w:sz w:val="18"/>
      </w:rPr>
    </w:pPr>
    <w:r w:rsidRPr="003604F5">
      <w:rPr>
        <w:b/>
        <w:sz w:val="18"/>
        <w:lang w:val="en-US"/>
      </w:rPr>
      <w:t>WP.29-17</w:t>
    </w:r>
    <w:r>
      <w:rPr>
        <w:b/>
        <w:sz w:val="18"/>
        <w:lang w:val="en-US"/>
      </w:rPr>
      <w:t>1</w:t>
    </w:r>
    <w:r w:rsidRPr="003604F5">
      <w:rPr>
        <w:b/>
        <w:sz w:val="18"/>
        <w:lang w:val="en-US"/>
      </w:rPr>
      <w:t>-</w:t>
    </w:r>
    <w:r>
      <w:rPr>
        <w:b/>
        <w:sz w:val="18"/>
        <w:lang w:val="en-US"/>
      </w:rPr>
      <w:t>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34" w:type="dxa"/>
      <w:tblLook w:val="0000" w:firstRow="0" w:lastRow="0" w:firstColumn="0" w:lastColumn="0" w:noHBand="0" w:noVBand="0"/>
    </w:tblPr>
    <w:tblGrid>
      <w:gridCol w:w="5812"/>
      <w:gridCol w:w="3969"/>
    </w:tblGrid>
    <w:tr w:rsidR="00793E73" w:rsidRPr="002400DD" w:rsidTr="00793E73">
      <w:trPr>
        <w:trHeight w:val="141"/>
      </w:trPr>
      <w:tc>
        <w:tcPr>
          <w:tcW w:w="5812" w:type="dxa"/>
        </w:tcPr>
        <w:p w:rsidR="00793E73" w:rsidRPr="005D05E5" w:rsidRDefault="00767E82" w:rsidP="004F1E69">
          <w:pPr>
            <w:tabs>
              <w:tab w:val="center" w:pos="4153"/>
              <w:tab w:val="right" w:pos="8306"/>
            </w:tabs>
          </w:pPr>
          <w:r>
            <w:t>Transmitted by the IWG on DETA</w:t>
          </w:r>
        </w:p>
      </w:tc>
      <w:tc>
        <w:tcPr>
          <w:tcW w:w="3969" w:type="dxa"/>
        </w:tcPr>
        <w:p w:rsidR="007747CC" w:rsidRPr="007747CC" w:rsidRDefault="007747CC" w:rsidP="007747CC">
          <w:pPr>
            <w:jc w:val="right"/>
            <w:rPr>
              <w:b/>
              <w:bCs/>
            </w:rPr>
          </w:pPr>
          <w:r w:rsidRPr="007747CC">
            <w:rPr>
              <w:u w:val="single"/>
            </w:rPr>
            <w:t xml:space="preserve">Informal document </w:t>
          </w:r>
          <w:r w:rsidRPr="007747CC">
            <w:rPr>
              <w:b/>
              <w:bCs/>
            </w:rPr>
            <w:t>WP.29-171-1</w:t>
          </w:r>
          <w:r>
            <w:rPr>
              <w:b/>
              <w:bCs/>
            </w:rPr>
            <w:t>6</w:t>
          </w:r>
        </w:p>
        <w:p w:rsidR="00793E73" w:rsidRPr="007747CC" w:rsidRDefault="007747CC" w:rsidP="007747CC">
          <w:pPr>
            <w:jc w:val="right"/>
            <w:rPr>
              <w:lang w:val="en-US"/>
            </w:rPr>
          </w:pPr>
          <w:r w:rsidRPr="007747CC">
            <w:rPr>
              <w:lang w:val="pt-BR"/>
            </w:rPr>
            <w:t>(171</w:t>
          </w:r>
          <w:r w:rsidR="00D635E4">
            <w:rPr>
              <w:vertAlign w:val="superscript"/>
              <w:lang w:val="pt-BR"/>
            </w:rPr>
            <w:t>st</w:t>
          </w:r>
          <w:r w:rsidRPr="007747CC">
            <w:rPr>
              <w:lang w:val="pt-BR"/>
            </w:rPr>
            <w:t xml:space="preserve"> WP.29, 14-17 March 2017,</w:t>
          </w:r>
          <w:r w:rsidRPr="007747CC">
            <w:rPr>
              <w:lang w:val="pt-BR"/>
            </w:rPr>
            <w:br/>
            <w:t>agenda item 4.</w:t>
          </w:r>
          <w:r>
            <w:rPr>
              <w:lang w:val="pt-BR"/>
            </w:rPr>
            <w:t>5</w:t>
          </w:r>
          <w:r w:rsidRPr="007747CC">
            <w:rPr>
              <w:lang w:val="pt-BR"/>
            </w:rPr>
            <w:t>.)</w:t>
          </w:r>
        </w:p>
        <w:p w:rsidR="00767E82" w:rsidRPr="007747CC" w:rsidRDefault="00767E82" w:rsidP="00843C12">
          <w:pPr>
            <w:rPr>
              <w:lang w:val="en-US"/>
            </w:rPr>
          </w:pPr>
        </w:p>
      </w:tc>
    </w:tr>
  </w:tbl>
  <w:p w:rsidR="00793E73" w:rsidRPr="007747CC" w:rsidRDefault="00793E73" w:rsidP="00CB5649">
    <w:pPr>
      <w:pStyle w:val="Header"/>
      <w:pBdr>
        <w:bottom w:val="none" w:sz="0" w:space="0" w:color="auto"/>
      </w:pBd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7CE1"/>
    <w:multiLevelType w:val="hybridMultilevel"/>
    <w:tmpl w:val="BC2A4D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2D72F4"/>
    <w:multiLevelType w:val="hybridMultilevel"/>
    <w:tmpl w:val="D48CA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F76CC"/>
    <w:multiLevelType w:val="hybridMultilevel"/>
    <w:tmpl w:val="77EAC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21"/>
    <w:rsid w:val="000008E7"/>
    <w:rsid w:val="000038C1"/>
    <w:rsid w:val="000248DC"/>
    <w:rsid w:val="00031D0C"/>
    <w:rsid w:val="00034ED0"/>
    <w:rsid w:val="00043D17"/>
    <w:rsid w:val="00074272"/>
    <w:rsid w:val="00083F9C"/>
    <w:rsid w:val="000C5831"/>
    <w:rsid w:val="00104200"/>
    <w:rsid w:val="0011566F"/>
    <w:rsid w:val="00132B5B"/>
    <w:rsid w:val="00145DBF"/>
    <w:rsid w:val="00172BBD"/>
    <w:rsid w:val="001871B4"/>
    <w:rsid w:val="001B1D26"/>
    <w:rsid w:val="001C20A6"/>
    <w:rsid w:val="00207574"/>
    <w:rsid w:val="002400DD"/>
    <w:rsid w:val="0024342E"/>
    <w:rsid w:val="00251FB4"/>
    <w:rsid w:val="00254869"/>
    <w:rsid w:val="00257A56"/>
    <w:rsid w:val="00291CD0"/>
    <w:rsid w:val="0029395D"/>
    <w:rsid w:val="002A50DF"/>
    <w:rsid w:val="002B6060"/>
    <w:rsid w:val="002E3183"/>
    <w:rsid w:val="002F1EAC"/>
    <w:rsid w:val="00301E02"/>
    <w:rsid w:val="00305EA1"/>
    <w:rsid w:val="00306CF8"/>
    <w:rsid w:val="00317DE4"/>
    <w:rsid w:val="00386CBE"/>
    <w:rsid w:val="003A294F"/>
    <w:rsid w:val="003B3D00"/>
    <w:rsid w:val="003C10B9"/>
    <w:rsid w:val="003F2E50"/>
    <w:rsid w:val="00407684"/>
    <w:rsid w:val="004259DD"/>
    <w:rsid w:val="00451040"/>
    <w:rsid w:val="004634DC"/>
    <w:rsid w:val="00474127"/>
    <w:rsid w:val="00475E47"/>
    <w:rsid w:val="004B5A77"/>
    <w:rsid w:val="004D0CD4"/>
    <w:rsid w:val="004D672C"/>
    <w:rsid w:val="004F1E69"/>
    <w:rsid w:val="004F3617"/>
    <w:rsid w:val="00556844"/>
    <w:rsid w:val="005701E8"/>
    <w:rsid w:val="00570421"/>
    <w:rsid w:val="00580DDD"/>
    <w:rsid w:val="00591C69"/>
    <w:rsid w:val="005E0411"/>
    <w:rsid w:val="00615AE4"/>
    <w:rsid w:val="00634015"/>
    <w:rsid w:val="00635C96"/>
    <w:rsid w:val="006419D3"/>
    <w:rsid w:val="00654232"/>
    <w:rsid w:val="00654345"/>
    <w:rsid w:val="006675E1"/>
    <w:rsid w:val="00667C33"/>
    <w:rsid w:val="006741F8"/>
    <w:rsid w:val="00680FFF"/>
    <w:rsid w:val="00682A2C"/>
    <w:rsid w:val="006A2F63"/>
    <w:rsid w:val="006B673A"/>
    <w:rsid w:val="006B7AFF"/>
    <w:rsid w:val="006C3D76"/>
    <w:rsid w:val="006D1138"/>
    <w:rsid w:val="006D389F"/>
    <w:rsid w:val="006E1B93"/>
    <w:rsid w:val="006E63C6"/>
    <w:rsid w:val="007006B1"/>
    <w:rsid w:val="007373FD"/>
    <w:rsid w:val="0074268D"/>
    <w:rsid w:val="00746AD2"/>
    <w:rsid w:val="007610BD"/>
    <w:rsid w:val="00767E82"/>
    <w:rsid w:val="0077110D"/>
    <w:rsid w:val="007747CC"/>
    <w:rsid w:val="00780BCA"/>
    <w:rsid w:val="00793E73"/>
    <w:rsid w:val="00795594"/>
    <w:rsid w:val="007A6B01"/>
    <w:rsid w:val="007D19CD"/>
    <w:rsid w:val="007E4D93"/>
    <w:rsid w:val="007F117C"/>
    <w:rsid w:val="00801BBB"/>
    <w:rsid w:val="008100C0"/>
    <w:rsid w:val="00817BBD"/>
    <w:rsid w:val="00825DE3"/>
    <w:rsid w:val="00831C47"/>
    <w:rsid w:val="00835E26"/>
    <w:rsid w:val="00841909"/>
    <w:rsid w:val="00843C12"/>
    <w:rsid w:val="008662AD"/>
    <w:rsid w:val="008A57ED"/>
    <w:rsid w:val="008B29C2"/>
    <w:rsid w:val="008B7193"/>
    <w:rsid w:val="008C0A08"/>
    <w:rsid w:val="008E58B5"/>
    <w:rsid w:val="008F29D3"/>
    <w:rsid w:val="008F7E18"/>
    <w:rsid w:val="009052D1"/>
    <w:rsid w:val="0092691C"/>
    <w:rsid w:val="00930F93"/>
    <w:rsid w:val="00936FB6"/>
    <w:rsid w:val="00947318"/>
    <w:rsid w:val="00955071"/>
    <w:rsid w:val="00961408"/>
    <w:rsid w:val="009B0C62"/>
    <w:rsid w:val="009D67F0"/>
    <w:rsid w:val="009F229A"/>
    <w:rsid w:val="00A048B5"/>
    <w:rsid w:val="00A52922"/>
    <w:rsid w:val="00A55A62"/>
    <w:rsid w:val="00A656ED"/>
    <w:rsid w:val="00A70F36"/>
    <w:rsid w:val="00A92570"/>
    <w:rsid w:val="00AB5AF0"/>
    <w:rsid w:val="00AF223F"/>
    <w:rsid w:val="00B22501"/>
    <w:rsid w:val="00B232DB"/>
    <w:rsid w:val="00B51D9E"/>
    <w:rsid w:val="00B63439"/>
    <w:rsid w:val="00B84D03"/>
    <w:rsid w:val="00B855A8"/>
    <w:rsid w:val="00BA1B6B"/>
    <w:rsid w:val="00BD0D9B"/>
    <w:rsid w:val="00BE5E70"/>
    <w:rsid w:val="00BF4F97"/>
    <w:rsid w:val="00C11E9A"/>
    <w:rsid w:val="00C14C87"/>
    <w:rsid w:val="00C24C69"/>
    <w:rsid w:val="00C254D4"/>
    <w:rsid w:val="00C26FF1"/>
    <w:rsid w:val="00C63F29"/>
    <w:rsid w:val="00C65283"/>
    <w:rsid w:val="00C65839"/>
    <w:rsid w:val="00C70767"/>
    <w:rsid w:val="00C70EE1"/>
    <w:rsid w:val="00CB5649"/>
    <w:rsid w:val="00CC5C37"/>
    <w:rsid w:val="00CD74EF"/>
    <w:rsid w:val="00CE757D"/>
    <w:rsid w:val="00CF171E"/>
    <w:rsid w:val="00D01B3A"/>
    <w:rsid w:val="00D077E9"/>
    <w:rsid w:val="00D20A7C"/>
    <w:rsid w:val="00D21F26"/>
    <w:rsid w:val="00D635E4"/>
    <w:rsid w:val="00D814C9"/>
    <w:rsid w:val="00DA34DA"/>
    <w:rsid w:val="00DA3A21"/>
    <w:rsid w:val="00DD396E"/>
    <w:rsid w:val="00DF5650"/>
    <w:rsid w:val="00E15055"/>
    <w:rsid w:val="00E307B8"/>
    <w:rsid w:val="00E310FA"/>
    <w:rsid w:val="00E3222E"/>
    <w:rsid w:val="00E4722D"/>
    <w:rsid w:val="00EA17A6"/>
    <w:rsid w:val="00EB4D5B"/>
    <w:rsid w:val="00EC7CEB"/>
    <w:rsid w:val="00EE13DA"/>
    <w:rsid w:val="00EF619B"/>
    <w:rsid w:val="00EF710E"/>
    <w:rsid w:val="00F0481D"/>
    <w:rsid w:val="00F07FDA"/>
    <w:rsid w:val="00F12DCB"/>
    <w:rsid w:val="00F20CB3"/>
    <w:rsid w:val="00F216D3"/>
    <w:rsid w:val="00F33B52"/>
    <w:rsid w:val="00F81B3B"/>
    <w:rsid w:val="00F966A0"/>
    <w:rsid w:val="00F97CB8"/>
    <w:rsid w:val="00FC7CCF"/>
    <w:rsid w:val="00FD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B62D95"/>
  <w15:docId w15:val="{2EDC314F-BDDA-4E33-A555-FC580DF7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283"/>
    <w:pPr>
      <w:suppressAutoHyphens/>
      <w:spacing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DA3A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8E7"/>
    <w:rPr>
      <w:color w:val="0000FF" w:themeColor="hyperlink"/>
      <w:u w:val="single"/>
    </w:rPr>
  </w:style>
  <w:style w:type="paragraph" w:customStyle="1" w:styleId="Txt1">
    <w:name w:val="Txt1"/>
    <w:basedOn w:val="Normal"/>
    <w:rsid w:val="00257A56"/>
    <w:pPr>
      <w:suppressAutoHyphens w:val="0"/>
      <w:spacing w:before="240" w:line="240" w:lineRule="auto"/>
      <w:jc w:val="both"/>
    </w:pPr>
    <w:rPr>
      <w:rFonts w:ascii="Arial" w:hAnsi="Arial"/>
      <w:sz w:val="24"/>
      <w:szCs w:val="24"/>
      <w:lang w:val="en-US" w:eastAsia="de-DE"/>
    </w:rPr>
  </w:style>
  <w:style w:type="character" w:customStyle="1" w:styleId="HChGChar">
    <w:name w:val="_ H _Ch_G Char"/>
    <w:link w:val="HChG"/>
    <w:rsid w:val="002B6060"/>
    <w:rPr>
      <w:b/>
      <w:sz w:val="28"/>
    </w:rPr>
  </w:style>
  <w:style w:type="character" w:customStyle="1" w:styleId="SingleTxtGChar">
    <w:name w:val="_ Single Txt_G Char"/>
    <w:link w:val="SingleTxtG"/>
    <w:rsid w:val="002B6060"/>
  </w:style>
  <w:style w:type="paragraph" w:styleId="BalloonText">
    <w:name w:val="Balloon Text"/>
    <w:basedOn w:val="Normal"/>
    <w:link w:val="BalloonTextChar"/>
    <w:uiPriority w:val="99"/>
    <w:semiHidden/>
    <w:unhideWhenUsed/>
    <w:rsid w:val="00936F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5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6E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6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6ED"/>
    <w:rPr>
      <w:b/>
      <w:bCs/>
    </w:rPr>
  </w:style>
  <w:style w:type="paragraph" w:styleId="Revision">
    <w:name w:val="Revision"/>
    <w:hidden/>
    <w:uiPriority w:val="99"/>
    <w:semiHidden/>
    <w:rsid w:val="00A65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5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30378-8E49-439E-9D0D-63BC6BB0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E Guichard</dc:creator>
  <cp:lastModifiedBy>Caillot</cp:lastModifiedBy>
  <cp:revision>3</cp:revision>
  <cp:lastPrinted>2017-03-10T15:11:00Z</cp:lastPrinted>
  <dcterms:created xsi:type="dcterms:W3CDTF">2017-03-10T15:10:00Z</dcterms:created>
  <dcterms:modified xsi:type="dcterms:W3CDTF">2017-03-10T15:32:00Z</dcterms:modified>
</cp:coreProperties>
</file>