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885DA4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740001">
              <w:rPr>
                <w:lang w:val="en-GB"/>
              </w:rPr>
              <w:t>6</w:t>
            </w:r>
            <w:r w:rsidR="00885DA4">
              <w:rPr>
                <w:lang w:val="en-GB"/>
              </w:rPr>
              <w:t>6</w:t>
            </w:r>
          </w:p>
        </w:tc>
      </w:tr>
      <w:tr w:rsidR="00AF2205" w:rsidRPr="00885DA4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7D02FC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BC59A3">
              <w:rPr>
                <w:lang w:val="en-GB"/>
              </w:rPr>
              <w:t xml:space="preserve"> </w:t>
            </w:r>
            <w:r w:rsidR="00AC76A8">
              <w:rPr>
                <w:lang w:val="en-GB"/>
              </w:rPr>
              <w:t>April</w:t>
            </w:r>
            <w:r w:rsidR="00847F2B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C76A8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proofErr w:type="gramStart"/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C24528">
        <w:rPr>
          <w:b/>
          <w:lang w:val="en-US"/>
        </w:rPr>
        <w:t>2</w:t>
      </w:r>
      <w:r w:rsidR="00C24528" w:rsidRPr="00B16476">
        <w:rPr>
          <w:b/>
          <w:lang w:val="en-US"/>
        </w:rPr>
        <w:t>nd</w:t>
      </w:r>
      <w:proofErr w:type="gramEnd"/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89444D">
        <w:rPr>
          <w:lang w:val="en-US"/>
        </w:rPr>
        <w:t>20-23</w:t>
      </w:r>
      <w:r w:rsidR="004E7423">
        <w:rPr>
          <w:lang w:val="en-US"/>
        </w:rPr>
        <w:t xml:space="preserve"> </w:t>
      </w:r>
      <w:r w:rsidR="0089444D">
        <w:rPr>
          <w:lang w:val="en-US"/>
        </w:rPr>
        <w:t>June</w:t>
      </w:r>
      <w:r w:rsidR="00847F2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B16476">
        <w:rPr>
          <w:lang w:val="en-GB"/>
        </w:rPr>
        <w:t>7</w:t>
      </w:r>
      <w:r w:rsidR="00A90EA8">
        <w:rPr>
          <w:lang w:val="en-GB"/>
        </w:rPr>
        <w:t>.</w:t>
      </w:r>
      <w:r w:rsidR="00885DA4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3F73DE">
        <w:rPr>
          <w:b/>
          <w:lang w:val="en-GB"/>
        </w:rPr>
        <w:t>:</w:t>
      </w:r>
      <w:r w:rsidR="00ED4B37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</w:t>
      </w:r>
      <w:r w:rsidR="0089444D">
        <w:rPr>
          <w:b/>
          <w:lang w:val="en-GB"/>
        </w:rPr>
        <w:t>R</w:t>
      </w:r>
      <w:r w:rsidR="00B16476">
        <w:rPr>
          <w:b/>
          <w:lang w:val="en-GB"/>
        </w:rPr>
        <w:t>PE</w:t>
      </w:r>
    </w:p>
    <w:p w:rsidR="002873BA" w:rsidRPr="00A90EA8" w:rsidRDefault="00377186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77186">
        <w:rPr>
          <w:lang w:val="en-GB"/>
        </w:rPr>
        <w:t>Pro</w:t>
      </w:r>
      <w:r w:rsidR="00885DA4">
        <w:rPr>
          <w:lang w:val="en-GB"/>
        </w:rPr>
        <w:t>posal for Supplement 1</w:t>
      </w:r>
      <w:r w:rsidR="00740001">
        <w:rPr>
          <w:lang w:val="en-GB"/>
        </w:rPr>
        <w:t xml:space="preserve"> </w:t>
      </w:r>
      <w:r w:rsidR="00885DA4" w:rsidRPr="00885DA4">
        <w:rPr>
          <w:lang w:val="en-GB"/>
        </w:rPr>
        <w:t>to the original version of Regulation No. 143 (Heavy Duty Dual-Fuel Engine Retrofit Systems (HDDF-ERS))</w:t>
      </w:r>
      <w:r w:rsidR="00C03BBC"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 xml:space="preserve">Submitted by the Working Party </w:t>
      </w:r>
      <w:r w:rsidR="0089444D">
        <w:rPr>
          <w:b/>
          <w:sz w:val="24"/>
          <w:lang w:val="en-US"/>
        </w:rPr>
        <w:t xml:space="preserve">on </w:t>
      </w:r>
      <w:r w:rsidR="005927AD">
        <w:rPr>
          <w:b/>
          <w:sz w:val="24"/>
          <w:lang w:val="en-US"/>
        </w:rPr>
        <w:t>Pollution and Energy</w:t>
      </w:r>
      <w:r w:rsidR="00A90EA8" w:rsidRPr="003F73DE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</w:t>
      </w:r>
      <w:proofErr w:type="gramStart"/>
      <w:r w:rsidRPr="00A90EA8">
        <w:rPr>
          <w:lang w:val="en-GB"/>
        </w:rPr>
        <w:t>was adopted</w:t>
      </w:r>
      <w:proofErr w:type="gramEnd"/>
      <w:r w:rsidRPr="00A90EA8">
        <w:rPr>
          <w:lang w:val="en-GB"/>
        </w:rPr>
        <w:t xml:space="preserve"> by the </w:t>
      </w:r>
      <w:r w:rsidR="005927AD" w:rsidRPr="005927AD">
        <w:rPr>
          <w:lang w:val="en-GB"/>
        </w:rPr>
        <w:t>Working Party on Pollution and Energy</w:t>
      </w:r>
      <w:r w:rsidR="0089444D">
        <w:rPr>
          <w:lang w:val="en-GB"/>
        </w:rPr>
        <w:t xml:space="preserve"> </w:t>
      </w:r>
      <w:r w:rsidR="005927AD">
        <w:rPr>
          <w:lang w:val="en-GB"/>
        </w:rPr>
        <w:t>(GRPE</w:t>
      </w:r>
      <w:r w:rsidRPr="008F06C3">
        <w:rPr>
          <w:lang w:val="en-GB"/>
        </w:rPr>
        <w:t xml:space="preserve">) </w:t>
      </w:r>
      <w:r w:rsidRPr="00A90EA8">
        <w:rPr>
          <w:lang w:val="en-GB"/>
        </w:rPr>
        <w:t xml:space="preserve">at its </w:t>
      </w:r>
      <w:r w:rsidR="005927AD">
        <w:rPr>
          <w:lang w:val="en-GB"/>
        </w:rPr>
        <w:t>seventy-fourth</w:t>
      </w:r>
      <w:r w:rsidR="008A4629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="0089444D">
        <w:rPr>
          <w:lang w:val="en-GB"/>
        </w:rPr>
        <w:t>ECE/TRANS/WP.29/GR</w:t>
      </w:r>
      <w:r w:rsidR="005927AD">
        <w:rPr>
          <w:lang w:val="en-GB"/>
        </w:rPr>
        <w:t>PE/74</w:t>
      </w:r>
      <w:r>
        <w:rPr>
          <w:lang w:val="en-GB"/>
        </w:rPr>
        <w:t>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>para</w:t>
      </w:r>
      <w:r w:rsidR="00D4229D">
        <w:rPr>
          <w:lang w:val="en-GB"/>
        </w:rPr>
        <w:t>.</w:t>
      </w:r>
      <w:r w:rsidRPr="00C263A3">
        <w:rPr>
          <w:lang w:val="en-GB"/>
        </w:rPr>
        <w:t xml:space="preserve"> </w:t>
      </w:r>
      <w:r w:rsidR="00885DA4">
        <w:rPr>
          <w:lang w:val="en-GB"/>
        </w:rPr>
        <w:t>3</w:t>
      </w:r>
      <w:r w:rsidR="005927AD">
        <w:rPr>
          <w:lang w:val="en-GB"/>
        </w:rPr>
        <w:t>9</w:t>
      </w:r>
      <w:r w:rsidR="00C03BBC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</w:t>
      </w:r>
      <w:proofErr w:type="gramStart"/>
      <w:r w:rsidR="00847F2B">
        <w:rPr>
          <w:lang w:val="en-GB"/>
        </w:rPr>
        <w:t xml:space="preserve">is </w:t>
      </w:r>
      <w:r w:rsidR="00847F2B" w:rsidRPr="00847F2B">
        <w:rPr>
          <w:lang w:val="en-GB"/>
        </w:rPr>
        <w:t>based</w:t>
      </w:r>
      <w:proofErr w:type="gramEnd"/>
      <w:r w:rsidR="00847F2B" w:rsidRPr="00847F2B">
        <w:rPr>
          <w:lang w:val="en-GB"/>
        </w:rPr>
        <w:t xml:space="preserve"> on</w:t>
      </w:r>
      <w:r w:rsidR="00F96A6E">
        <w:rPr>
          <w:lang w:val="en-GB"/>
        </w:rPr>
        <w:t xml:space="preserve"> </w:t>
      </w:r>
      <w:r w:rsidR="00377186" w:rsidRPr="00377186">
        <w:rPr>
          <w:lang w:val="en-GB"/>
        </w:rPr>
        <w:t>ECE/</w:t>
      </w:r>
      <w:r w:rsidR="00885DA4">
        <w:rPr>
          <w:lang w:val="en-GB"/>
        </w:rPr>
        <w:t>TRANS/WP.29/GRPE/2017/4</w:t>
      </w:r>
      <w:r w:rsidR="0089444D">
        <w:rPr>
          <w:lang w:val="en-GB"/>
        </w:rPr>
        <w:t xml:space="preserve"> </w:t>
      </w:r>
      <w:r w:rsidR="00885DA4">
        <w:rPr>
          <w:lang w:val="en-GB"/>
        </w:rPr>
        <w:t>amended by GRPE-74-25</w:t>
      </w:r>
      <w:r w:rsidR="005927AD" w:rsidRPr="005927AD">
        <w:rPr>
          <w:lang w:val="en-GB"/>
        </w:rPr>
        <w:t xml:space="preserve"> as reproduced in Annex V</w:t>
      </w:r>
      <w:r w:rsidR="00885DA4" w:rsidRPr="005927AD">
        <w:rPr>
          <w:lang w:val="en-GB"/>
        </w:rPr>
        <w:t>I</w:t>
      </w:r>
      <w:r w:rsidR="005927AD">
        <w:rPr>
          <w:lang w:val="en-GB"/>
        </w:rPr>
        <w:t xml:space="preserve"> to the report</w:t>
      </w:r>
      <w:r w:rsidR="00377186">
        <w:rPr>
          <w:lang w:val="en-GB"/>
        </w:rPr>
        <w:t xml:space="preserve">. </w:t>
      </w:r>
      <w:r w:rsidRPr="00A90EA8">
        <w:rPr>
          <w:lang w:val="en-GB"/>
        </w:rPr>
        <w:t xml:space="preserve">It </w:t>
      </w:r>
      <w:proofErr w:type="gramStart"/>
      <w:r w:rsidRPr="00A90EA8">
        <w:rPr>
          <w:lang w:val="en-GB"/>
        </w:rPr>
        <w:t>is submitted</w:t>
      </w:r>
      <w:proofErr w:type="gramEnd"/>
      <w:r w:rsidRPr="00A90EA8">
        <w:rPr>
          <w:lang w:val="en-GB"/>
        </w:rPr>
        <w:t xml:space="preserve">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89444D">
        <w:rPr>
          <w:lang w:val="en-GB"/>
        </w:rPr>
        <w:t>June</w:t>
      </w:r>
      <w:r w:rsidR="00847F2B">
        <w:rPr>
          <w:lang w:val="en-GB"/>
        </w:rPr>
        <w:t xml:space="preserve">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5927AD" w:rsidRDefault="00885DA4" w:rsidP="0089444D">
      <w:pPr>
        <w:pStyle w:val="SingleTxtG"/>
        <w:rPr>
          <w:b/>
          <w:sz w:val="28"/>
          <w:lang w:val="en-GB"/>
        </w:rPr>
      </w:pPr>
      <w:r w:rsidRPr="00885DA4">
        <w:rPr>
          <w:b/>
          <w:sz w:val="28"/>
          <w:lang w:val="en-GB"/>
        </w:rPr>
        <w:lastRenderedPageBreak/>
        <w:t xml:space="preserve">Supplement </w:t>
      </w:r>
      <w:proofErr w:type="gramStart"/>
      <w:r w:rsidRPr="00885DA4">
        <w:rPr>
          <w:b/>
          <w:sz w:val="28"/>
          <w:lang w:val="en-GB"/>
        </w:rPr>
        <w:t>1</w:t>
      </w:r>
      <w:proofErr w:type="gramEnd"/>
      <w:r w:rsidRPr="00885DA4">
        <w:rPr>
          <w:b/>
          <w:sz w:val="28"/>
          <w:lang w:val="en-GB"/>
        </w:rPr>
        <w:t xml:space="preserve"> to the original version of Regulation No. 143 (Heavy Duty Dual-Fuel Engine Retrofit Systems (HDDF-ERS))</w:t>
      </w:r>
    </w:p>
    <w:p w:rsidR="00CA4683" w:rsidRDefault="00734DDF" w:rsidP="00734DDF">
      <w:pPr>
        <w:spacing w:after="120"/>
        <w:ind w:left="1134" w:right="1134"/>
        <w:jc w:val="both"/>
        <w:rPr>
          <w:i/>
          <w:lang w:val="en-US"/>
        </w:rPr>
      </w:pPr>
      <w:r w:rsidRPr="00CC4C37">
        <w:rPr>
          <w:i/>
          <w:lang w:val="en-US"/>
        </w:rPr>
        <w:t xml:space="preserve">Annex </w:t>
      </w:r>
      <w:proofErr w:type="gramStart"/>
      <w:r w:rsidRPr="00CC4C37">
        <w:rPr>
          <w:i/>
          <w:lang w:val="en-US"/>
        </w:rPr>
        <w:t>6</w:t>
      </w:r>
      <w:proofErr w:type="gramEnd"/>
      <w:r w:rsidRPr="00CC4C37">
        <w:rPr>
          <w:i/>
          <w:lang w:val="en-US"/>
        </w:rPr>
        <w:t xml:space="preserve">, </w:t>
      </w:r>
    </w:p>
    <w:p w:rsidR="00734DDF" w:rsidRPr="00CC4C37" w:rsidRDefault="00CA4683" w:rsidP="00734DDF">
      <w:pPr>
        <w:spacing w:after="120"/>
        <w:ind w:left="1134" w:right="1134"/>
        <w:jc w:val="both"/>
        <w:rPr>
          <w:i/>
          <w:lang w:val="en-US"/>
        </w:rPr>
      </w:pPr>
      <w:proofErr w:type="gramStart"/>
      <w:r>
        <w:rPr>
          <w:i/>
          <w:lang w:val="en-US"/>
        </w:rPr>
        <w:t>P</w:t>
      </w:r>
      <w:r w:rsidR="00734DDF" w:rsidRPr="00CC4C37">
        <w:rPr>
          <w:i/>
          <w:lang w:val="en-US"/>
        </w:rPr>
        <w:t>aragraph 10.1.</w:t>
      </w:r>
      <w:proofErr w:type="gramEnd"/>
      <w:r w:rsidR="00734DDF" w:rsidRPr="00CC4C37">
        <w:rPr>
          <w:i/>
          <w:lang w:val="en-US"/>
        </w:rPr>
        <w:t>,</w:t>
      </w:r>
      <w:r w:rsidR="00734DDF" w:rsidRPr="00CC4C37">
        <w:rPr>
          <w:lang w:val="en-US"/>
        </w:rPr>
        <w:t xml:space="preserve"> </w:t>
      </w:r>
      <w:proofErr w:type="gramStart"/>
      <w:r w:rsidR="00734DDF" w:rsidRPr="00CC4C37">
        <w:rPr>
          <w:lang w:val="en-US"/>
        </w:rPr>
        <w:t>amend to read</w:t>
      </w:r>
      <w:proofErr w:type="gramEnd"/>
      <w:r w:rsidR="00734DDF" w:rsidRPr="00CC4C37">
        <w:rPr>
          <w:lang w:val="en-US"/>
        </w:rPr>
        <w:t>:</w:t>
      </w:r>
    </w:p>
    <w:p w:rsidR="00734DDF" w:rsidRPr="00CC4C37" w:rsidRDefault="00734DDF" w:rsidP="00734DDF">
      <w:pPr>
        <w:spacing w:after="120"/>
        <w:ind w:left="2268" w:right="1134" w:hanging="1134"/>
        <w:jc w:val="both"/>
      </w:pPr>
      <w:r w:rsidRPr="00CC4C37">
        <w:t>"10.1.</w:t>
      </w:r>
      <w:r w:rsidRPr="00CC4C37">
        <w:tab/>
        <w:t xml:space="preserve">Tests and </w:t>
      </w:r>
      <w:proofErr w:type="spellStart"/>
      <w:r w:rsidRPr="00CC4C37">
        <w:t>requirements</w:t>
      </w:r>
      <w:proofErr w:type="spellEnd"/>
    </w:p>
    <w:p w:rsidR="00734DDF" w:rsidRPr="00734DDF" w:rsidRDefault="00734DDF" w:rsidP="00734DDF">
      <w:pPr>
        <w:spacing w:after="120"/>
        <w:ind w:left="2268" w:right="1134"/>
        <w:jc w:val="both"/>
        <w:rPr>
          <w:lang w:val="en-US"/>
        </w:rPr>
      </w:pPr>
      <w:r w:rsidRPr="00734DDF">
        <w:rPr>
          <w:lang w:val="en-US"/>
        </w:rPr>
        <w:t xml:space="preserve">An engine representative of the desired extension of the application range </w:t>
      </w:r>
      <w:proofErr w:type="gramStart"/>
      <w:r w:rsidRPr="00734DDF">
        <w:rPr>
          <w:lang w:val="en-US"/>
        </w:rPr>
        <w:t>shall be tested</w:t>
      </w:r>
      <w:proofErr w:type="gramEnd"/>
      <w:r w:rsidRPr="00734DDF">
        <w:rPr>
          <w:lang w:val="en-US"/>
        </w:rPr>
        <w:t xml:space="preserve"> in accordance with the provisions set out in paragraph 5.2.2. </w:t>
      </w:r>
      <w:proofErr w:type="gramStart"/>
      <w:r w:rsidRPr="00734DDF">
        <w:rPr>
          <w:lang w:val="en-US"/>
        </w:rPr>
        <w:t>or</w:t>
      </w:r>
      <w:proofErr w:type="gramEnd"/>
      <w:r w:rsidRPr="00734DDF">
        <w:rPr>
          <w:lang w:val="en-US"/>
        </w:rPr>
        <w:t xml:space="preserve"> 10.1.1. </w:t>
      </w:r>
      <w:proofErr w:type="gramStart"/>
      <w:r w:rsidRPr="00734DDF">
        <w:rPr>
          <w:lang w:val="en-US"/>
        </w:rPr>
        <w:t>at</w:t>
      </w:r>
      <w:proofErr w:type="gramEnd"/>
      <w:r w:rsidRPr="00734DDF">
        <w:rPr>
          <w:lang w:val="en-US"/>
        </w:rPr>
        <w:t xml:space="preserve"> the choice of the dual-fuel engine retrofit system manufacturer. Engine tests in accordance with paragraph 5.2.2. </w:t>
      </w:r>
      <w:proofErr w:type="gramStart"/>
      <w:r w:rsidRPr="00734DDF">
        <w:rPr>
          <w:lang w:val="en-US"/>
        </w:rPr>
        <w:t>are</w:t>
      </w:r>
      <w:proofErr w:type="gramEnd"/>
      <w:r w:rsidRPr="00734DDF">
        <w:rPr>
          <w:lang w:val="en-US"/>
        </w:rPr>
        <w:t xml:space="preserve"> always required for the extension of an application range with an engine family equipped with EGR.</w:t>
      </w:r>
    </w:p>
    <w:p w:rsidR="00734DDF" w:rsidRPr="00734DDF" w:rsidRDefault="00734DDF" w:rsidP="00734DDF">
      <w:pPr>
        <w:spacing w:after="120"/>
        <w:ind w:left="2268" w:right="1134"/>
        <w:jc w:val="both"/>
        <w:rPr>
          <w:lang w:val="en-US"/>
        </w:rPr>
      </w:pPr>
      <w:proofErr w:type="gramStart"/>
      <w:r w:rsidRPr="00734DDF">
        <w:rPr>
          <w:lang w:val="en-US"/>
        </w:rPr>
        <w:t>The tests in accordance with paragraph 10.1.1.</w:t>
      </w:r>
      <w:proofErr w:type="gramEnd"/>
      <w:r w:rsidRPr="00734DDF">
        <w:rPr>
          <w:lang w:val="en-US"/>
        </w:rPr>
        <w:t xml:space="preserve"> </w:t>
      </w:r>
      <w:proofErr w:type="gramStart"/>
      <w:r w:rsidRPr="00734DDF">
        <w:rPr>
          <w:lang w:val="en-US"/>
        </w:rPr>
        <w:t>shall</w:t>
      </w:r>
      <w:proofErr w:type="gramEnd"/>
      <w:r w:rsidRPr="00734DDF">
        <w:rPr>
          <w:lang w:val="en-US"/>
        </w:rPr>
        <w:t xml:space="preserve"> be carried out on a representative engine equipped with a member of the dual-fuel engine retrofit system family.</w:t>
      </w:r>
    </w:p>
    <w:p w:rsidR="00734DDF" w:rsidRPr="00734DDF" w:rsidRDefault="00734DDF" w:rsidP="00734DDF">
      <w:pPr>
        <w:spacing w:after="120"/>
        <w:ind w:left="2268" w:right="1134"/>
        <w:jc w:val="both"/>
        <w:rPr>
          <w:lang w:val="en-US"/>
        </w:rPr>
      </w:pPr>
      <w:r w:rsidRPr="00734DDF">
        <w:rPr>
          <w:lang w:val="en-US"/>
        </w:rPr>
        <w:t xml:space="preserve">The same tests </w:t>
      </w:r>
      <w:proofErr w:type="gramStart"/>
      <w:r w:rsidRPr="00734DDF">
        <w:rPr>
          <w:lang w:val="en-US"/>
        </w:rPr>
        <w:t>shall be performed</w:t>
      </w:r>
      <w:proofErr w:type="gramEnd"/>
      <w:r w:rsidRPr="00734DDF">
        <w:rPr>
          <w:lang w:val="en-US"/>
        </w:rPr>
        <w:t xml:space="preserve"> in diesel mode and in dual-fuel mode in such a way that the operating points and conditions are as similar as possible.</w:t>
      </w:r>
    </w:p>
    <w:p w:rsidR="00734DDF" w:rsidRPr="00734DDF" w:rsidRDefault="00734DDF" w:rsidP="00734DDF">
      <w:pPr>
        <w:spacing w:after="120"/>
        <w:ind w:left="2268" w:right="1134"/>
        <w:jc w:val="both"/>
        <w:rPr>
          <w:lang w:val="en-US"/>
        </w:rPr>
      </w:pPr>
      <w:r w:rsidRPr="00734DDF">
        <w:rPr>
          <w:lang w:val="en-US"/>
        </w:rPr>
        <w:t>The NO</w:t>
      </w:r>
      <w:r w:rsidRPr="00734DDF">
        <w:rPr>
          <w:vertAlign w:val="subscript"/>
          <w:lang w:val="en-US"/>
        </w:rPr>
        <w:t>X</w:t>
      </w:r>
      <w:r w:rsidRPr="00734DDF">
        <w:rPr>
          <w:lang w:val="en-US"/>
        </w:rPr>
        <w:t>, Non-Methane Hydrocarbons (NMHC), CO and PM emission test results in dual-fuel mode shall be lower than or equal to the results in diesel mode.</w:t>
      </w:r>
    </w:p>
    <w:p w:rsidR="00734DDF" w:rsidRPr="00892A54" w:rsidRDefault="00734DDF" w:rsidP="00734DDF">
      <w:pPr>
        <w:spacing w:after="120"/>
        <w:ind w:left="2268" w:right="1134"/>
        <w:jc w:val="both"/>
        <w:rPr>
          <w:lang w:val="en-US"/>
        </w:rPr>
      </w:pPr>
      <w:r w:rsidRPr="00892A54">
        <w:rPr>
          <w:lang w:val="en-US"/>
        </w:rPr>
        <w:t>Alternatively, at the request of the engine retrofit system manufacturer, the following provisions apply:</w:t>
      </w:r>
    </w:p>
    <w:p w:rsidR="00734DDF" w:rsidRPr="00892A54" w:rsidRDefault="00734DDF" w:rsidP="00734DDF">
      <w:pPr>
        <w:widowControl w:val="0"/>
        <w:suppressAutoHyphens w:val="0"/>
        <w:spacing w:after="120" w:line="240" w:lineRule="auto"/>
        <w:ind w:left="2835" w:right="1134" w:hanging="567"/>
        <w:jc w:val="both"/>
        <w:rPr>
          <w:rFonts w:eastAsia="MS Mincho"/>
          <w:kern w:val="2"/>
          <w:lang w:val="en-US" w:eastAsia="ja-JP"/>
        </w:rPr>
      </w:pPr>
      <w:r w:rsidRPr="00892A54">
        <w:rPr>
          <w:rFonts w:eastAsia="MS Mincho"/>
          <w:kern w:val="2"/>
          <w:lang w:val="en-US" w:eastAsia="ja-JP"/>
        </w:rPr>
        <w:t>(a)</w:t>
      </w:r>
      <w:r w:rsidRPr="00892A54">
        <w:rPr>
          <w:rFonts w:eastAsia="MS Mincho"/>
          <w:kern w:val="2"/>
          <w:lang w:val="en-US" w:eastAsia="ja-JP"/>
        </w:rPr>
        <w:tab/>
        <w:t>As for Non-Methane Hydrocarbons (NMHC) and CO emissions only, the CO</w:t>
      </w:r>
      <w:r w:rsidRPr="00892A54">
        <w:rPr>
          <w:rFonts w:eastAsia="MS Mincho"/>
          <w:kern w:val="2"/>
          <w:vertAlign w:val="subscript"/>
          <w:lang w:val="en-US" w:eastAsia="ja-JP"/>
        </w:rPr>
        <w:t>2</w:t>
      </w:r>
      <w:r w:rsidRPr="00892A54">
        <w:rPr>
          <w:rFonts w:eastAsia="MS Mincho"/>
          <w:kern w:val="2"/>
          <w:lang w:val="en-US" w:eastAsia="ja-JP"/>
        </w:rPr>
        <w:t xml:space="preserve"> specific emission results of the test in accordance with paragraph 10.1.1.1. </w:t>
      </w:r>
      <w:proofErr w:type="gramStart"/>
      <w:r w:rsidRPr="00892A54">
        <w:rPr>
          <w:rFonts w:eastAsia="MS Mincho"/>
          <w:kern w:val="2"/>
          <w:lang w:val="en-US" w:eastAsia="ja-JP"/>
        </w:rPr>
        <w:t>in</w:t>
      </w:r>
      <w:proofErr w:type="gramEnd"/>
      <w:r w:rsidRPr="00892A54">
        <w:rPr>
          <w:rFonts w:eastAsia="MS Mincho"/>
          <w:kern w:val="2"/>
          <w:lang w:val="en-US" w:eastAsia="ja-JP"/>
        </w:rPr>
        <w:t xml:space="preserve"> dual-fuel mode shall not exceed the applicable </w:t>
      </w:r>
      <w:r w:rsidRPr="00892A54">
        <w:rPr>
          <w:rFonts w:eastAsia="MS Mincho"/>
          <w:bCs/>
          <w:kern w:val="2"/>
          <w:lang w:val="en-US" w:eastAsia="ja-JP"/>
        </w:rPr>
        <w:t xml:space="preserve">Regulation No. 49 </w:t>
      </w:r>
      <w:r w:rsidRPr="00892A54">
        <w:rPr>
          <w:rFonts w:eastAsia="MS Mincho"/>
          <w:kern w:val="2"/>
          <w:lang w:val="en-US" w:eastAsia="ja-JP"/>
        </w:rPr>
        <w:t>original emission limits transposed into CO</w:t>
      </w:r>
      <w:r w:rsidRPr="00892A54">
        <w:rPr>
          <w:rFonts w:eastAsia="MS Mincho"/>
          <w:kern w:val="2"/>
          <w:vertAlign w:val="subscript"/>
          <w:lang w:val="en-US" w:eastAsia="ja-JP"/>
        </w:rPr>
        <w:t>2</w:t>
      </w:r>
      <w:r w:rsidRPr="00892A54">
        <w:rPr>
          <w:rFonts w:eastAsia="MS Mincho"/>
          <w:kern w:val="2"/>
          <w:lang w:val="en-US" w:eastAsia="ja-JP"/>
        </w:rPr>
        <w:t xml:space="preserve"> specific emission limits with the following equation:</w:t>
      </w:r>
    </w:p>
    <w:p w:rsidR="00734DDF" w:rsidRPr="00892A54" w:rsidRDefault="00734DDF" w:rsidP="00734DDF">
      <w:pPr>
        <w:spacing w:after="120"/>
        <w:ind w:left="2268" w:right="1134"/>
        <w:jc w:val="both"/>
        <w:rPr>
          <w:lang w:val="en-US"/>
        </w:rPr>
      </w:pPr>
      <w:r w:rsidRPr="00892A54">
        <w:rPr>
          <w:lang w:val="en-US"/>
        </w:rPr>
        <w:t>CO</w:t>
      </w:r>
      <w:r w:rsidRPr="00892A54">
        <w:rPr>
          <w:vertAlign w:val="subscript"/>
          <w:lang w:val="en-US"/>
        </w:rPr>
        <w:t>2</w:t>
      </w:r>
      <w:r w:rsidRPr="00892A54">
        <w:rPr>
          <w:lang w:val="en-US"/>
        </w:rPr>
        <w:t xml:space="preserve"> specific emission limit = 1.6 × 1.5 × brake specific emission limit</w:t>
      </w:r>
    </w:p>
    <w:p w:rsidR="00734DDF" w:rsidRPr="00892A54" w:rsidRDefault="00734DDF" w:rsidP="00734DDF">
      <w:pPr>
        <w:spacing w:after="120"/>
        <w:ind w:left="2268" w:right="1134"/>
        <w:jc w:val="both"/>
        <w:rPr>
          <w:lang w:val="en-US"/>
        </w:rPr>
      </w:pPr>
      <w:r w:rsidRPr="00892A54">
        <w:rPr>
          <w:lang w:val="en-US"/>
        </w:rPr>
        <w:t>Where:</w:t>
      </w:r>
    </w:p>
    <w:p w:rsidR="00734DDF" w:rsidRPr="00892A54" w:rsidRDefault="00734DDF" w:rsidP="00734DDF">
      <w:pPr>
        <w:spacing w:after="120"/>
        <w:ind w:left="4961" w:right="1134" w:hanging="2693"/>
        <w:jc w:val="both"/>
        <w:rPr>
          <w:lang w:val="en-US"/>
        </w:rPr>
      </w:pPr>
      <w:r w:rsidRPr="00892A54">
        <w:rPr>
          <w:lang w:val="en-US"/>
        </w:rPr>
        <w:t>CO</w:t>
      </w:r>
      <w:r w:rsidRPr="00892A54">
        <w:rPr>
          <w:vertAlign w:val="subscript"/>
          <w:lang w:val="en-US"/>
        </w:rPr>
        <w:t>2</w:t>
      </w:r>
      <w:r w:rsidRPr="00892A54">
        <w:rPr>
          <w:lang w:val="en-US"/>
        </w:rPr>
        <w:t xml:space="preserve"> specific emission limit</w:t>
      </w:r>
      <w:r w:rsidRPr="00892A54">
        <w:rPr>
          <w:lang w:val="en-US"/>
        </w:rPr>
        <w:tab/>
        <w:t>is the equivalent limit expressed in [g/kgCO</w:t>
      </w:r>
      <w:r w:rsidRPr="00892A54">
        <w:rPr>
          <w:vertAlign w:val="subscript"/>
          <w:lang w:val="en-US"/>
        </w:rPr>
        <w:t>2</w:t>
      </w:r>
      <w:r w:rsidRPr="00892A54">
        <w:rPr>
          <w:lang w:val="en-US"/>
        </w:rPr>
        <w:t>]</w:t>
      </w:r>
    </w:p>
    <w:p w:rsidR="00734DDF" w:rsidRPr="00892A54" w:rsidRDefault="00734DDF" w:rsidP="00734DDF">
      <w:pPr>
        <w:spacing w:after="120"/>
        <w:ind w:left="4961" w:right="1134" w:hanging="2693"/>
        <w:jc w:val="both"/>
        <w:rPr>
          <w:lang w:val="en-US"/>
        </w:rPr>
      </w:pPr>
      <w:proofErr w:type="gramStart"/>
      <w:r w:rsidRPr="00892A54">
        <w:rPr>
          <w:lang w:val="en-US"/>
        </w:rPr>
        <w:t>1.6</w:t>
      </w:r>
      <w:proofErr w:type="gramEnd"/>
      <w:r w:rsidRPr="00892A54">
        <w:rPr>
          <w:lang w:val="en-US"/>
        </w:rPr>
        <w:tab/>
        <w:t>is the conversion factor from brake specific to CO</w:t>
      </w:r>
      <w:r w:rsidRPr="00892A54">
        <w:rPr>
          <w:vertAlign w:val="subscript"/>
          <w:lang w:val="en-US"/>
        </w:rPr>
        <w:t>2</w:t>
      </w:r>
      <w:r w:rsidRPr="00892A54">
        <w:rPr>
          <w:lang w:val="en-US"/>
        </w:rPr>
        <w:t xml:space="preserve"> specific emissions</w:t>
      </w:r>
    </w:p>
    <w:p w:rsidR="00734DDF" w:rsidRPr="00892A54" w:rsidRDefault="00734DDF" w:rsidP="00734DDF">
      <w:pPr>
        <w:spacing w:after="120"/>
        <w:ind w:left="4961" w:right="1134" w:hanging="2693"/>
        <w:jc w:val="both"/>
        <w:rPr>
          <w:lang w:val="en-US"/>
        </w:rPr>
      </w:pPr>
      <w:proofErr w:type="gramStart"/>
      <w:r w:rsidRPr="00892A54">
        <w:rPr>
          <w:lang w:val="en-US"/>
        </w:rPr>
        <w:t>1.5</w:t>
      </w:r>
      <w:proofErr w:type="gramEnd"/>
      <w:r w:rsidRPr="00892A54">
        <w:rPr>
          <w:lang w:val="en-US"/>
        </w:rPr>
        <w:tab/>
        <w:t>is the Conformity Factor</w:t>
      </w:r>
    </w:p>
    <w:p w:rsidR="00734DDF" w:rsidRPr="00892A54" w:rsidRDefault="00734DDF" w:rsidP="00734DDF">
      <w:pPr>
        <w:spacing w:after="120"/>
        <w:ind w:left="4961" w:right="1134" w:hanging="2693"/>
        <w:jc w:val="both"/>
        <w:rPr>
          <w:lang w:val="en-US"/>
        </w:rPr>
      </w:pPr>
      <w:proofErr w:type="gramStart"/>
      <w:r w:rsidRPr="00892A54">
        <w:rPr>
          <w:lang w:val="en-US"/>
        </w:rPr>
        <w:t>brake</w:t>
      </w:r>
      <w:proofErr w:type="gramEnd"/>
      <w:r w:rsidRPr="00892A54">
        <w:rPr>
          <w:lang w:val="en-US"/>
        </w:rPr>
        <w:t xml:space="preserve"> specific emission limit</w:t>
      </w:r>
      <w:r w:rsidRPr="00892A54">
        <w:rPr>
          <w:lang w:val="en-US"/>
        </w:rPr>
        <w:tab/>
        <w:t>is the applicable Regulation No. 49 original emission limit expressed in [g/kWh]</w:t>
      </w:r>
    </w:p>
    <w:p w:rsidR="00734DDF" w:rsidRPr="00892A54" w:rsidRDefault="00734DDF" w:rsidP="009F2B6C">
      <w:pPr>
        <w:spacing w:after="120"/>
        <w:ind w:left="2835" w:right="1134" w:hanging="567"/>
        <w:jc w:val="both"/>
        <w:rPr>
          <w:bCs/>
          <w:lang w:val="en-US"/>
        </w:rPr>
      </w:pPr>
      <w:r w:rsidRPr="00892A54">
        <w:rPr>
          <w:rFonts w:eastAsia="MS Mincho"/>
          <w:kern w:val="2"/>
          <w:lang w:val="en-US" w:eastAsia="ja-JP"/>
        </w:rPr>
        <w:t>(b)</w:t>
      </w:r>
      <w:r w:rsidRPr="00892A54">
        <w:rPr>
          <w:rFonts w:eastAsia="MS Mincho"/>
          <w:kern w:val="2"/>
          <w:lang w:val="en-US" w:eastAsia="ja-JP"/>
        </w:rPr>
        <w:tab/>
        <w:t xml:space="preserve">The NOx and PM emission test results in dual-fuel mode shall be </w:t>
      </w:r>
      <w:r w:rsidR="00B91C29" w:rsidRPr="00892A54">
        <w:rPr>
          <w:rFonts w:eastAsia="MS Mincho"/>
          <w:kern w:val="2"/>
          <w:lang w:val="en-US" w:eastAsia="ja-JP"/>
        </w:rPr>
        <w:tab/>
      </w:r>
      <w:r w:rsidRPr="00892A54">
        <w:rPr>
          <w:rFonts w:eastAsia="MS Mincho"/>
          <w:kern w:val="2"/>
          <w:lang w:val="en-US" w:eastAsia="ja-JP"/>
        </w:rPr>
        <w:t>lower than or equal to the results in diesel mode."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0F" w:rsidRDefault="00EE0D0F"/>
  </w:endnote>
  <w:endnote w:type="continuationSeparator" w:id="0">
    <w:p w:rsidR="00EE0D0F" w:rsidRDefault="00EE0D0F"/>
  </w:endnote>
  <w:endnote w:type="continuationNotice" w:id="1">
    <w:p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4001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34DDF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67" w:rsidRDefault="00780A67" w:rsidP="00780A67">
    <w:pPr>
      <w:pStyle w:val="Footer"/>
    </w:pP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387E8B7F" wp14:editId="69BA5AE8">
          <wp:simplePos x="0" y="0"/>
          <wp:positionH relativeFrom="margin">
            <wp:posOffset>5489575</wp:posOffset>
          </wp:positionH>
          <wp:positionV relativeFrom="margin">
            <wp:posOffset>7917815</wp:posOffset>
          </wp:positionV>
          <wp:extent cx="635000" cy="635000"/>
          <wp:effectExtent l="0" t="0" r="0" b="0"/>
          <wp:wrapNone/>
          <wp:docPr id="2" name="Picture 1" descr="http://undocs.org/m2/QRCode.ashx?DS=ECE/TRANS/WP.29/2017/6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6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5B00D154" wp14:editId="496B67EB">
          <wp:simplePos x="0" y="0"/>
          <wp:positionH relativeFrom="margin">
            <wp:posOffset>4472305</wp:posOffset>
          </wp:positionH>
          <wp:positionV relativeFrom="margin">
            <wp:posOffset>8143240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A67" w:rsidRDefault="00780A67" w:rsidP="00780A67">
    <w:pPr>
      <w:spacing w:line="240" w:lineRule="auto"/>
      <w:ind w:right="1134"/>
    </w:pPr>
    <w:r>
      <w:t>GE.17-05465(E)</w:t>
    </w:r>
  </w:p>
  <w:p w:rsidR="00780A67" w:rsidRPr="00780A67" w:rsidRDefault="00780A67" w:rsidP="00780A67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E0D0F" w:rsidRDefault="00EE0D0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 xml:space="preserve">In accordance with the </w:t>
      </w:r>
      <w:proofErr w:type="spellStart"/>
      <w:r w:rsidR="002A5F92" w:rsidRPr="006636B2">
        <w:rPr>
          <w:szCs w:val="18"/>
          <w:lang w:val="en-US"/>
        </w:rPr>
        <w:t>programme</w:t>
      </w:r>
      <w:proofErr w:type="spellEnd"/>
      <w:r w:rsidR="002A5F92"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="002A5F92" w:rsidRPr="006636B2">
        <w:rPr>
          <w:szCs w:val="18"/>
          <w:lang w:val="en-US"/>
        </w:rPr>
        <w:t>is submitted</w:t>
      </w:r>
      <w:proofErr w:type="gramEnd"/>
      <w:r w:rsidR="002A5F92"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85DA4">
      <w:rPr>
        <w:lang w:val="en-US"/>
      </w:rPr>
      <w:t>66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9444D">
      <w:rPr>
        <w:lang w:val="en-US"/>
      </w:rPr>
      <w:t>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16F7C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0016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5C74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D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6314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27AD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31C6"/>
    <w:rsid w:val="0067568A"/>
    <w:rsid w:val="00680EB9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4DDF"/>
    <w:rsid w:val="00736313"/>
    <w:rsid w:val="007365F5"/>
    <w:rsid w:val="00737C31"/>
    <w:rsid w:val="0074000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0A67"/>
    <w:rsid w:val="007817A0"/>
    <w:rsid w:val="00782F27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02FC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5DA4"/>
    <w:rsid w:val="008878ED"/>
    <w:rsid w:val="00887CB8"/>
    <w:rsid w:val="00890250"/>
    <w:rsid w:val="00891D73"/>
    <w:rsid w:val="00891FA6"/>
    <w:rsid w:val="008923BE"/>
    <w:rsid w:val="00892A54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0FF6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2B6C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158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1946"/>
    <w:rsid w:val="00AA477F"/>
    <w:rsid w:val="00AA4811"/>
    <w:rsid w:val="00AA4BE8"/>
    <w:rsid w:val="00AA5797"/>
    <w:rsid w:val="00AA596A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6A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476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1C29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683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0C4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4B37"/>
    <w:rsid w:val="00ED64FA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A1CE-7658-4D78-88D6-534F8CB5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1705465</vt:lpstr>
    </vt:vector>
  </TitlesOfParts>
  <Company>CSD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1705465</dc:title>
  <dc:subject>ECE/TRANS/WP.29/2017/66</dc:subject>
  <dc:creator>Corinne</dc:creator>
  <cp:lastModifiedBy>Benedicte Boudol</cp:lastModifiedBy>
  <cp:revision>2</cp:revision>
  <cp:lastPrinted>2016-12-12T11:15:00Z</cp:lastPrinted>
  <dcterms:created xsi:type="dcterms:W3CDTF">2017-05-02T14:15:00Z</dcterms:created>
  <dcterms:modified xsi:type="dcterms:W3CDTF">2017-05-02T14:15:00Z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