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B211EE">
        <w:trPr>
          <w:trHeight w:hRule="exact" w:val="851"/>
        </w:trPr>
        <w:tc>
          <w:tcPr>
            <w:tcW w:w="1276" w:type="dxa"/>
            <w:tcBorders>
              <w:bottom w:val="single" w:sz="4" w:space="0" w:color="auto"/>
            </w:tcBorders>
          </w:tcPr>
          <w:p w:rsidR="003D1DF3" w:rsidRPr="00072032" w:rsidRDefault="003D1DF3" w:rsidP="00F01516">
            <w:pPr>
              <w:rPr>
                <w:lang w:val="fr-FR"/>
              </w:rPr>
            </w:pPr>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B211EE" w:rsidP="00B211EE">
            <w:pPr>
              <w:jc w:val="right"/>
              <w:rPr>
                <w:lang w:val="fr-FR"/>
              </w:rPr>
            </w:pPr>
            <w:r w:rsidRPr="00B211EE">
              <w:rPr>
                <w:sz w:val="40"/>
                <w:lang w:val="fr-FR"/>
              </w:rPr>
              <w:t>ECE</w:t>
            </w:r>
            <w:r>
              <w:rPr>
                <w:lang w:val="fr-FR"/>
              </w:rPr>
              <w:t>/TRANS/WP.11/2017/7</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3D1DF3" w:rsidRDefault="00B211EE" w:rsidP="00B211EE">
            <w:pPr>
              <w:spacing w:before="240" w:line="240" w:lineRule="exact"/>
              <w:rPr>
                <w:lang w:val="fr-FR"/>
              </w:rPr>
            </w:pPr>
            <w:r>
              <w:rPr>
                <w:lang w:val="fr-FR"/>
              </w:rPr>
              <w:t>Distr. Générale</w:t>
            </w:r>
          </w:p>
          <w:p w:rsidR="00B211EE" w:rsidRDefault="00B211EE" w:rsidP="00B211EE">
            <w:pPr>
              <w:spacing w:line="240" w:lineRule="exact"/>
              <w:rPr>
                <w:lang w:val="fr-FR"/>
              </w:rPr>
            </w:pPr>
            <w:r>
              <w:rPr>
                <w:lang w:val="fr-FR"/>
              </w:rPr>
              <w:t>4 août 2017</w:t>
            </w:r>
          </w:p>
          <w:p w:rsidR="00B211EE" w:rsidRDefault="00B211EE" w:rsidP="00B211EE">
            <w:pPr>
              <w:spacing w:line="240" w:lineRule="exact"/>
              <w:rPr>
                <w:lang w:val="fr-FR"/>
              </w:rPr>
            </w:pPr>
          </w:p>
          <w:p w:rsidR="00B211EE" w:rsidRPr="00072032" w:rsidRDefault="00B211EE" w:rsidP="00B211EE">
            <w:pPr>
              <w:spacing w:line="240" w:lineRule="exact"/>
              <w:rPr>
                <w:lang w:val="fr-FR"/>
              </w:rPr>
            </w:pPr>
            <w:r>
              <w:rPr>
                <w:lang w:val="fr-FR"/>
              </w:rPr>
              <w:t xml:space="preserve">Original: français </w:t>
            </w:r>
          </w:p>
        </w:tc>
      </w:tr>
    </w:tbl>
    <w:p w:rsidR="00B211EE" w:rsidRDefault="00B211EE" w:rsidP="00B211EE">
      <w:pPr>
        <w:spacing w:before="120"/>
        <w:rPr>
          <w:sz w:val="28"/>
          <w:szCs w:val="28"/>
        </w:rPr>
      </w:pPr>
      <w:r>
        <w:rPr>
          <w:b/>
          <w:sz w:val="28"/>
          <w:szCs w:val="28"/>
        </w:rPr>
        <w:t>Commission économique pour l’Europe</w:t>
      </w:r>
    </w:p>
    <w:p w:rsidR="00B211EE" w:rsidRPr="00B04B41" w:rsidRDefault="00B211EE" w:rsidP="00B211EE">
      <w:pPr>
        <w:spacing w:before="120"/>
        <w:rPr>
          <w:b/>
          <w:sz w:val="24"/>
          <w:szCs w:val="24"/>
        </w:rPr>
      </w:pPr>
      <w:r w:rsidRPr="00B04B41">
        <w:rPr>
          <w:sz w:val="28"/>
          <w:szCs w:val="28"/>
        </w:rPr>
        <w:t>Comité des transports intérieurs</w:t>
      </w:r>
    </w:p>
    <w:p w:rsidR="00B211EE" w:rsidRPr="00B04B41" w:rsidRDefault="00B211EE" w:rsidP="00B211EE">
      <w:pPr>
        <w:spacing w:before="120"/>
        <w:rPr>
          <w:b/>
        </w:rPr>
      </w:pPr>
      <w:r w:rsidRPr="00B04B41">
        <w:rPr>
          <w:b/>
          <w:sz w:val="24"/>
          <w:szCs w:val="24"/>
        </w:rPr>
        <w:t>Groupe de travail du transport des denrées périssables</w:t>
      </w:r>
    </w:p>
    <w:p w:rsidR="00B211EE" w:rsidRPr="00265E07" w:rsidRDefault="00B211EE" w:rsidP="00B211EE">
      <w:pPr>
        <w:spacing w:before="120"/>
        <w:rPr>
          <w:b/>
        </w:rPr>
      </w:pPr>
      <w:r w:rsidRPr="00265E07">
        <w:rPr>
          <w:b/>
          <w:color w:val="212121"/>
          <w:lang w:val="fr-FR" w:eastAsia="en-GB"/>
        </w:rPr>
        <w:t>Soixante-treizième</w:t>
      </w:r>
      <w:r w:rsidRPr="00265E07">
        <w:rPr>
          <w:color w:val="212121"/>
          <w:lang w:val="fr-FR" w:eastAsia="en-GB"/>
        </w:rPr>
        <w:t xml:space="preserve"> </w:t>
      </w:r>
      <w:r w:rsidRPr="00265E07">
        <w:rPr>
          <w:b/>
        </w:rPr>
        <w:t>session</w:t>
      </w:r>
    </w:p>
    <w:p w:rsidR="00B211EE" w:rsidRPr="00265E07" w:rsidRDefault="00B211EE" w:rsidP="00B211EE">
      <w:pPr>
        <w:rPr>
          <w:bCs/>
          <w:lang w:val="fr-FR"/>
        </w:rPr>
      </w:pPr>
      <w:r w:rsidRPr="00265E07">
        <w:t>Genève, 10-13 octobre</w:t>
      </w:r>
      <w:r w:rsidRPr="00265E07">
        <w:rPr>
          <w:bCs/>
          <w:lang w:val="fr-FR"/>
        </w:rPr>
        <w:t xml:space="preserve"> 2017</w:t>
      </w:r>
    </w:p>
    <w:p w:rsidR="00B211EE" w:rsidRPr="00B04B41" w:rsidRDefault="00B211EE" w:rsidP="00B211EE">
      <w:pPr>
        <w:rPr>
          <w:b/>
          <w:bCs/>
        </w:rPr>
      </w:pPr>
      <w:r w:rsidRPr="00B04B41">
        <w:t>Point 5</w:t>
      </w:r>
      <w:r>
        <w:t xml:space="preserve"> b) de l’ordre du jour</w:t>
      </w:r>
    </w:p>
    <w:p w:rsidR="004963DE" w:rsidRDefault="00B211EE" w:rsidP="00B211EE">
      <w:pPr>
        <w:rPr>
          <w:b/>
          <w:kern w:val="3"/>
          <w:lang w:eastAsia="zh-CN"/>
        </w:rPr>
      </w:pPr>
      <w:r>
        <w:rPr>
          <w:b/>
          <w:kern w:val="3"/>
          <w:lang w:eastAsia="zh-CN"/>
        </w:rPr>
        <w:t>Propositions d’amendements à l’</w:t>
      </w:r>
      <w:r w:rsidRPr="00494C07">
        <w:rPr>
          <w:b/>
          <w:kern w:val="3"/>
          <w:lang w:eastAsia="zh-CN"/>
        </w:rPr>
        <w:t>ATP:</w:t>
      </w:r>
      <w:r w:rsidRPr="00494C07">
        <w:rPr>
          <w:b/>
          <w:kern w:val="3"/>
          <w:lang w:eastAsia="zh-CN"/>
        </w:rPr>
        <w:br/>
        <w:t>nouvelles propositions</w:t>
      </w:r>
    </w:p>
    <w:p w:rsidR="00B211EE" w:rsidRDefault="00B211EE" w:rsidP="00B211EE">
      <w:pPr>
        <w:pStyle w:val="HChG"/>
      </w:pPr>
      <w:r>
        <w:tab/>
      </w:r>
      <w:r>
        <w:tab/>
      </w:r>
      <w:r w:rsidRPr="00B04B41">
        <w:t xml:space="preserve">Proposition d’ajout de </w:t>
      </w:r>
      <w:r w:rsidRPr="00B04B41">
        <w:rPr>
          <w:lang w:val="fr-FR"/>
        </w:rPr>
        <w:t>prescriptions</w:t>
      </w:r>
      <w:r w:rsidRPr="00B04B41">
        <w:t xml:space="preserve"> relatives à la mesure des coefficients K des cloisons fixes pour les engins à compartiments multiples</w:t>
      </w:r>
    </w:p>
    <w:p w:rsidR="00B211EE" w:rsidRDefault="00B211EE" w:rsidP="00B211EE">
      <w:pPr>
        <w:pStyle w:val="H1G"/>
      </w:pPr>
      <w:r>
        <w:tab/>
      </w:r>
      <w:r>
        <w:tab/>
      </w:r>
      <w:r>
        <w:t>Communication du Gouvernement français</w:t>
      </w:r>
    </w:p>
    <w:tbl>
      <w:tblPr>
        <w:tblStyle w:val="TableGrid"/>
        <w:tblW w:w="0" w:type="auto"/>
        <w:jc w:val="center"/>
        <w:tblBorders>
          <w:insideH w:val="none" w:sz="0" w:space="0" w:color="auto"/>
        </w:tblBorders>
        <w:tblLook w:val="05E0" w:firstRow="1" w:lastRow="1" w:firstColumn="1" w:lastColumn="1" w:noHBand="0" w:noVBand="1"/>
      </w:tblPr>
      <w:tblGrid>
        <w:gridCol w:w="2547"/>
        <w:gridCol w:w="6946"/>
      </w:tblGrid>
      <w:tr w:rsidR="00B211EE" w:rsidTr="00417E47">
        <w:trPr>
          <w:jc w:val="center"/>
        </w:trPr>
        <w:tc>
          <w:tcPr>
            <w:tcW w:w="2547" w:type="dxa"/>
            <w:tcBorders>
              <w:top w:val="single" w:sz="4" w:space="0" w:color="auto"/>
              <w:bottom w:val="single" w:sz="4" w:space="0" w:color="auto"/>
            </w:tcBorders>
            <w:shd w:val="clear" w:color="auto" w:fill="auto"/>
          </w:tcPr>
          <w:p w:rsidR="00B211EE" w:rsidRPr="00950302" w:rsidRDefault="00B211EE" w:rsidP="00417E47">
            <w:pPr>
              <w:spacing w:before="240" w:after="120"/>
              <w:ind w:left="255"/>
              <w:rPr>
                <w:i/>
              </w:rPr>
            </w:pPr>
            <w:r w:rsidRPr="00950302">
              <w:rPr>
                <w:i/>
              </w:rPr>
              <w:t>Résumé</w:t>
            </w:r>
          </w:p>
        </w:tc>
        <w:tc>
          <w:tcPr>
            <w:tcW w:w="6946" w:type="dxa"/>
            <w:tcBorders>
              <w:top w:val="single" w:sz="4" w:space="0" w:color="auto"/>
              <w:bottom w:val="single" w:sz="4" w:space="0" w:color="auto"/>
            </w:tcBorders>
            <w:shd w:val="clear" w:color="auto" w:fill="auto"/>
          </w:tcPr>
          <w:p w:rsidR="00B211EE" w:rsidRPr="00A505C3" w:rsidRDefault="00B211EE" w:rsidP="00417E47">
            <w:pPr>
              <w:spacing w:before="240" w:after="120"/>
              <w:ind w:left="255"/>
              <w:rPr>
                <w:i/>
                <w:sz w:val="24"/>
              </w:rPr>
            </w:pPr>
          </w:p>
        </w:tc>
      </w:tr>
      <w:tr w:rsidR="00B211EE" w:rsidRPr="00B04B41" w:rsidTr="00417E47">
        <w:trPr>
          <w:jc w:val="center"/>
        </w:trPr>
        <w:tc>
          <w:tcPr>
            <w:tcW w:w="2547" w:type="dxa"/>
            <w:tcBorders>
              <w:top w:val="single" w:sz="4" w:space="0" w:color="auto"/>
            </w:tcBorders>
            <w:shd w:val="clear" w:color="auto" w:fill="auto"/>
          </w:tcPr>
          <w:p w:rsidR="00B211EE" w:rsidRDefault="00B211EE" w:rsidP="00417E47">
            <w:pPr>
              <w:spacing w:before="120" w:after="120"/>
              <w:ind w:left="255"/>
              <w:rPr>
                <w:i/>
                <w:sz w:val="24"/>
              </w:rPr>
            </w:pPr>
            <w:r>
              <w:rPr>
                <w:b/>
                <w:iCs/>
              </w:rPr>
              <w:t>Résumé analytique</w:t>
            </w:r>
            <w:r>
              <w:rPr>
                <w:iCs/>
              </w:rPr>
              <w:t>:</w:t>
            </w:r>
          </w:p>
        </w:tc>
        <w:tc>
          <w:tcPr>
            <w:tcW w:w="6946" w:type="dxa"/>
            <w:tcBorders>
              <w:top w:val="single" w:sz="4" w:space="0" w:color="auto"/>
            </w:tcBorders>
            <w:shd w:val="clear" w:color="auto" w:fill="auto"/>
          </w:tcPr>
          <w:p w:rsidR="00B211EE" w:rsidRPr="00B04B41" w:rsidRDefault="00B211EE" w:rsidP="00417E47">
            <w:pPr>
              <w:pStyle w:val="SingleTxtG"/>
              <w:tabs>
                <w:tab w:val="left" w:pos="3119"/>
              </w:tabs>
              <w:spacing w:before="120"/>
              <w:ind w:left="113" w:right="0"/>
              <w:rPr>
                <w:lang w:val="fr-CH"/>
              </w:rPr>
            </w:pPr>
            <w:r w:rsidRPr="00B04B41">
              <w:rPr>
                <w:lang w:val="fr-CH"/>
              </w:rPr>
              <w:t xml:space="preserve">Le point 7.3 de l'appendice 2 de l'annexe 1 de l'accord ATP définit les règles de dimensionnement des engins frigorifiques à multi-températures. Pour estimer les déperditions </w:t>
            </w:r>
            <w:r w:rsidRPr="00B04B41">
              <w:rPr>
                <w:lang w:val="fr-FR"/>
              </w:rPr>
              <w:t>thermiques</w:t>
            </w:r>
            <w:r w:rsidRPr="00B04B41">
              <w:rPr>
                <w:lang w:val="fr-CH"/>
              </w:rPr>
              <w:t xml:space="preserve"> d'un compartiment à l'autre, le point 7.3.7 fixe des valeurs forfaitaires du coefficient de transfert thermique (K) des cloisons internes.</w:t>
            </w:r>
          </w:p>
          <w:p w:rsidR="00B211EE" w:rsidRPr="00B04B41" w:rsidRDefault="00B211EE" w:rsidP="00417E47">
            <w:pPr>
              <w:pStyle w:val="SingleTxtG"/>
              <w:tabs>
                <w:tab w:val="left" w:pos="3119"/>
              </w:tabs>
              <w:ind w:left="113" w:right="0"/>
              <w:rPr>
                <w:lang w:val="fr-CH"/>
              </w:rPr>
            </w:pPr>
            <w:r w:rsidRPr="00B04B41">
              <w:rPr>
                <w:lang w:val="fr-CH"/>
              </w:rPr>
              <w:t>La présente proposition vise à introduire la possibilité de mesurer le coefficient réel de transfert thermique des cloisons fixes plutôt que d'utiliser ces valeurs forfaitaires. Elle définit également la méthode de test à retenir pour cette mesure.</w:t>
            </w:r>
          </w:p>
        </w:tc>
      </w:tr>
      <w:tr w:rsidR="00B211EE" w:rsidRPr="00B04B41" w:rsidTr="00417E47">
        <w:trPr>
          <w:jc w:val="center"/>
        </w:trPr>
        <w:tc>
          <w:tcPr>
            <w:tcW w:w="2547" w:type="dxa"/>
            <w:shd w:val="clear" w:color="auto" w:fill="auto"/>
          </w:tcPr>
          <w:p w:rsidR="00B211EE" w:rsidRDefault="00B211EE" w:rsidP="00417E47">
            <w:pPr>
              <w:spacing w:before="120" w:after="120"/>
              <w:ind w:left="255"/>
              <w:rPr>
                <w:b/>
                <w:iCs/>
              </w:rPr>
            </w:pPr>
            <w:r>
              <w:rPr>
                <w:b/>
                <w:iCs/>
              </w:rPr>
              <w:t>Décision à prendre</w:t>
            </w:r>
            <w:r>
              <w:t>:</w:t>
            </w:r>
          </w:p>
        </w:tc>
        <w:tc>
          <w:tcPr>
            <w:tcW w:w="6946" w:type="dxa"/>
            <w:shd w:val="clear" w:color="auto" w:fill="auto"/>
          </w:tcPr>
          <w:p w:rsidR="00B211EE" w:rsidRPr="00B04B41" w:rsidRDefault="00B211EE" w:rsidP="00417E47">
            <w:pPr>
              <w:pStyle w:val="SingleTxtG"/>
              <w:tabs>
                <w:tab w:val="left" w:pos="3119"/>
              </w:tabs>
              <w:spacing w:before="120"/>
              <w:ind w:left="113" w:right="0"/>
              <w:rPr>
                <w:lang w:val="fr-CH"/>
              </w:rPr>
            </w:pPr>
            <w:r w:rsidRPr="00B04B41">
              <w:rPr>
                <w:lang w:val="fr-CH"/>
              </w:rPr>
              <w:t>Modifier la rédaction du paragraphe 7.3.7 de l’appendice 2 de l’annexe 1 de l’ATP</w:t>
            </w:r>
          </w:p>
        </w:tc>
      </w:tr>
      <w:tr w:rsidR="00B211EE" w:rsidRPr="00B04B41" w:rsidTr="00417E47">
        <w:trPr>
          <w:jc w:val="center"/>
        </w:trPr>
        <w:tc>
          <w:tcPr>
            <w:tcW w:w="2547" w:type="dxa"/>
            <w:shd w:val="clear" w:color="auto" w:fill="auto"/>
          </w:tcPr>
          <w:p w:rsidR="00B211EE" w:rsidRDefault="00B211EE" w:rsidP="00417E47">
            <w:pPr>
              <w:spacing w:before="120" w:after="120"/>
              <w:ind w:left="255"/>
              <w:rPr>
                <w:b/>
                <w:iCs/>
              </w:rPr>
            </w:pPr>
            <w:r>
              <w:rPr>
                <w:b/>
                <w:iCs/>
              </w:rPr>
              <w:t>Documents connexes</w:t>
            </w:r>
            <w:r>
              <w:rPr>
                <w:bCs/>
              </w:rPr>
              <w:t>:</w:t>
            </w:r>
          </w:p>
        </w:tc>
        <w:tc>
          <w:tcPr>
            <w:tcW w:w="6946" w:type="dxa"/>
            <w:shd w:val="clear" w:color="auto" w:fill="auto"/>
          </w:tcPr>
          <w:p w:rsidR="00B211EE" w:rsidRPr="00B04B41" w:rsidRDefault="00B211EE" w:rsidP="00417E47">
            <w:pPr>
              <w:pStyle w:val="SingleTxtG"/>
              <w:tabs>
                <w:tab w:val="left" w:pos="3119"/>
              </w:tabs>
              <w:spacing w:before="120"/>
              <w:ind w:left="113" w:right="0"/>
              <w:rPr>
                <w:lang w:val="fr-CH"/>
              </w:rPr>
            </w:pPr>
            <w:r w:rsidRPr="00B04B41">
              <w:rPr>
                <w:lang w:val="fr-CH"/>
              </w:rPr>
              <w:t>Énumération des autres documents clefs.</w:t>
            </w:r>
          </w:p>
        </w:tc>
      </w:tr>
    </w:tbl>
    <w:p w:rsidR="00B211EE" w:rsidRPr="00B211EE" w:rsidRDefault="00B211EE" w:rsidP="00B211EE">
      <w:pPr>
        <w:rPr>
          <w:lang w:val="en-GB"/>
        </w:rPr>
      </w:pPr>
    </w:p>
    <w:p w:rsidR="00B211EE" w:rsidRDefault="00B211EE">
      <w:pPr>
        <w:suppressAutoHyphens w:val="0"/>
        <w:spacing w:line="240" w:lineRule="auto"/>
        <w:rPr>
          <w:lang w:val="fr-FR"/>
        </w:rPr>
      </w:pPr>
      <w:r>
        <w:rPr>
          <w:lang w:val="fr-FR"/>
        </w:rPr>
        <w:br w:type="page"/>
      </w:r>
    </w:p>
    <w:p w:rsidR="00B211EE" w:rsidRPr="00B04B41" w:rsidRDefault="00B211EE" w:rsidP="00B211EE">
      <w:pPr>
        <w:pStyle w:val="HChG"/>
        <w:rPr>
          <w:lang w:val="fr-CH" w:eastAsia="ar-SA"/>
        </w:rPr>
      </w:pPr>
      <w:r w:rsidRPr="00B04B41">
        <w:rPr>
          <w:lang w:val="fr-CH" w:eastAsia="ar-SA"/>
        </w:rPr>
        <w:lastRenderedPageBreak/>
        <w:tab/>
      </w:r>
      <w:r w:rsidRPr="00B04B41">
        <w:rPr>
          <w:lang w:val="fr-CH" w:eastAsia="ar-SA"/>
        </w:rPr>
        <w:tab/>
        <w:t>Introduction</w:t>
      </w:r>
    </w:p>
    <w:p w:rsidR="00B211EE" w:rsidRPr="00B04B41" w:rsidRDefault="00B211EE" w:rsidP="00B211EE">
      <w:pPr>
        <w:pStyle w:val="SingleTxtG"/>
        <w:rPr>
          <w:lang w:val="fr-CH" w:eastAsia="ar-SA"/>
        </w:rPr>
      </w:pPr>
      <w:r w:rsidRPr="00B04B41">
        <w:rPr>
          <w:lang w:val="fr-CH" w:eastAsia="ar-SA"/>
        </w:rPr>
        <w:t>1.</w:t>
      </w:r>
      <w:r w:rsidRPr="00B04B41">
        <w:rPr>
          <w:lang w:val="fr-CH" w:eastAsia="ar-SA"/>
        </w:rPr>
        <w:tab/>
        <w:t xml:space="preserve">Le paragraphe 7.3.7 de l’appendice 2 de </w:t>
      </w:r>
      <w:r w:rsidRPr="00B04B41">
        <w:rPr>
          <w:lang w:val="fr-CH"/>
        </w:rPr>
        <w:t>l’annexe</w:t>
      </w:r>
      <w:r w:rsidRPr="00B04B41">
        <w:rPr>
          <w:lang w:val="fr-CH" w:eastAsia="ar-SA"/>
        </w:rPr>
        <w:t> 1 de l’ATP fixe les valeurs du coefficient de transfert thermique (coefficient K) des cloisons internes mobiles et fixes. Ces coefficients tiennent comptent de deux degrés de liberté avec:</w:t>
      </w:r>
    </w:p>
    <w:p w:rsidR="00B211EE" w:rsidRPr="00705D68" w:rsidRDefault="00B211EE" w:rsidP="00B211EE">
      <w:pPr>
        <w:pStyle w:val="SingleTxtG"/>
        <w:numPr>
          <w:ilvl w:val="0"/>
          <w:numId w:val="1"/>
        </w:numPr>
        <w:tabs>
          <w:tab w:val="clear" w:pos="1701"/>
        </w:tabs>
        <w:ind w:left="2268" w:hanging="567"/>
      </w:pPr>
      <w:r w:rsidRPr="00B04B41">
        <w:rPr>
          <w:lang w:val="fr-CH" w:eastAsia="ar-SA"/>
        </w:rPr>
        <w:t>Leur positionnement dans l’engin de transport; et</w:t>
      </w:r>
    </w:p>
    <w:p w:rsidR="00B211EE" w:rsidRPr="00705D68" w:rsidRDefault="00B211EE" w:rsidP="00B211EE">
      <w:pPr>
        <w:pStyle w:val="SingleTxtG"/>
        <w:numPr>
          <w:ilvl w:val="0"/>
          <w:numId w:val="1"/>
        </w:numPr>
        <w:tabs>
          <w:tab w:val="clear" w:pos="1701"/>
        </w:tabs>
        <w:ind w:left="2268" w:hanging="567"/>
      </w:pPr>
      <w:r w:rsidRPr="00B04B41">
        <w:rPr>
          <w:lang w:val="fr-CH" w:eastAsia="ar-SA"/>
        </w:rPr>
        <w:t>Le type de matériau revêtant la surface du plancher sur lequel ces cloisons retombent.</w:t>
      </w:r>
    </w:p>
    <w:p w:rsidR="00B211EE" w:rsidRPr="00B04B41" w:rsidRDefault="00B211EE" w:rsidP="00B211EE">
      <w:pPr>
        <w:pStyle w:val="SingleTxtG"/>
        <w:rPr>
          <w:lang w:val="fr-CH" w:eastAsia="ar-SA"/>
        </w:rPr>
      </w:pPr>
      <w:r w:rsidRPr="00B04B41">
        <w:rPr>
          <w:lang w:val="fr-CH" w:eastAsia="ar-SA"/>
        </w:rPr>
        <w:t>Afin de vérifier la valeur de ces coefficients, l’ATP impose un critère d’épaisseur minimum de mousse que doivent avoir les cloisons.</w:t>
      </w:r>
    </w:p>
    <w:p w:rsidR="00B211EE" w:rsidRPr="00B04B41" w:rsidRDefault="00B211EE" w:rsidP="00B211EE">
      <w:pPr>
        <w:pStyle w:val="SingleTxtG"/>
        <w:rPr>
          <w:lang w:val="fr-CH" w:eastAsia="ar-SA"/>
        </w:rPr>
      </w:pPr>
      <w:r w:rsidRPr="00B04B41">
        <w:rPr>
          <w:lang w:val="fr-CH" w:eastAsia="ar-SA"/>
        </w:rPr>
        <w:t>2.</w:t>
      </w:r>
      <w:r w:rsidRPr="00B04B41">
        <w:rPr>
          <w:lang w:val="fr-CH" w:eastAsia="ar-SA"/>
        </w:rPr>
        <w:tab/>
        <w:t xml:space="preserve">Les valeurs des coefficients </w:t>
      </w:r>
      <w:r w:rsidRPr="00B04B41">
        <w:rPr>
          <w:lang w:val="fr-CH"/>
        </w:rPr>
        <w:t>proposées</w:t>
      </w:r>
      <w:r w:rsidRPr="00B04B41">
        <w:rPr>
          <w:lang w:val="fr-CH" w:eastAsia="ar-SA"/>
        </w:rPr>
        <w:t xml:space="preserve"> dans l’ATP sont forfaitaires et sont exagérées par rapport à la réalité. Les valeurs imposées ne permettent pas de différencier la qualité d’isolation thermique des cloisons pour un usage donné et n’incite pas à utiliser des cloisons à l’isolation thermique augmentée et donc, sur le plan du coefficient K, de meilleure qualité.</w:t>
      </w:r>
    </w:p>
    <w:p w:rsidR="00B211EE" w:rsidRPr="00B04B41" w:rsidRDefault="00B211EE" w:rsidP="00B211EE">
      <w:pPr>
        <w:pStyle w:val="SingleTxtG"/>
        <w:rPr>
          <w:lang w:val="fr-CH" w:eastAsia="ar-SA"/>
        </w:rPr>
      </w:pPr>
      <w:r w:rsidRPr="00B04B41">
        <w:rPr>
          <w:lang w:val="fr-CH" w:eastAsia="ar-SA"/>
        </w:rPr>
        <w:t>3.</w:t>
      </w:r>
      <w:r w:rsidRPr="00B04B41">
        <w:rPr>
          <w:lang w:val="fr-CH" w:eastAsia="ar-SA"/>
        </w:rPr>
        <w:tab/>
        <w:t xml:space="preserve">Il serait bénéfique </w:t>
      </w:r>
      <w:r w:rsidRPr="00B04B41">
        <w:rPr>
          <w:lang w:val="fr-CH"/>
        </w:rPr>
        <w:t>d’ajouter</w:t>
      </w:r>
      <w:r w:rsidRPr="00B04B41">
        <w:rPr>
          <w:lang w:val="fr-CH" w:eastAsia="ar-SA"/>
        </w:rPr>
        <w:t xml:space="preserve"> aux valeurs forfaitaires proposées de coefficient K une méthode visant à mesurer la valeur des coefficients K de cloisons.</w:t>
      </w:r>
    </w:p>
    <w:p w:rsidR="00B211EE" w:rsidRPr="00B04B41" w:rsidRDefault="00B211EE" w:rsidP="00B211EE">
      <w:pPr>
        <w:pStyle w:val="SingleTxtG"/>
        <w:rPr>
          <w:lang w:val="fr-CH" w:eastAsia="ar-SA"/>
        </w:rPr>
      </w:pPr>
      <w:r w:rsidRPr="00B04B41">
        <w:rPr>
          <w:lang w:val="fr-CH" w:eastAsia="ar-SA"/>
        </w:rPr>
        <w:t>4.</w:t>
      </w:r>
      <w:r w:rsidRPr="00B04B41">
        <w:rPr>
          <w:lang w:val="fr-CH" w:eastAsia="ar-SA"/>
        </w:rPr>
        <w:tab/>
        <w:t xml:space="preserve">La présente </w:t>
      </w:r>
      <w:r w:rsidRPr="00B04B41">
        <w:rPr>
          <w:lang w:val="fr-CH"/>
        </w:rPr>
        <w:t>proposition</w:t>
      </w:r>
      <w:r w:rsidRPr="00B04B41">
        <w:rPr>
          <w:lang w:val="fr-CH" w:eastAsia="ar-SA"/>
        </w:rPr>
        <w:t xml:space="preserve"> se limite aux cloisons fixes</w:t>
      </w:r>
      <w:r>
        <w:rPr>
          <w:lang w:val="fr-CH" w:eastAsia="ar-SA"/>
        </w:rPr>
        <w:t>.</w:t>
      </w:r>
      <w:r w:rsidRPr="00B04B41">
        <w:rPr>
          <w:lang w:val="fr-CH" w:eastAsia="ar-SA"/>
        </w:rPr>
        <w:t xml:space="preserve"> </w:t>
      </w:r>
    </w:p>
    <w:p w:rsidR="00B211EE" w:rsidRPr="00B04B41" w:rsidRDefault="00B211EE" w:rsidP="00B211EE">
      <w:pPr>
        <w:pStyle w:val="H1G"/>
        <w:rPr>
          <w:lang w:val="fr-CH" w:eastAsia="ar-SA"/>
        </w:rPr>
      </w:pPr>
      <w:r w:rsidRPr="00B04B41">
        <w:rPr>
          <w:lang w:val="fr-CH" w:eastAsia="ar-SA"/>
        </w:rPr>
        <w:tab/>
      </w:r>
      <w:r>
        <w:rPr>
          <w:lang w:val="fr-CH" w:eastAsia="ar-SA"/>
        </w:rPr>
        <w:t>I.</w:t>
      </w:r>
      <w:r w:rsidRPr="00B04B41">
        <w:rPr>
          <w:lang w:val="fr-CH" w:eastAsia="ar-SA"/>
        </w:rPr>
        <w:tab/>
        <w:t>Proposition</w:t>
      </w:r>
    </w:p>
    <w:p w:rsidR="00B211EE" w:rsidRPr="00B04B41" w:rsidRDefault="00B211EE" w:rsidP="00B211EE">
      <w:pPr>
        <w:pStyle w:val="SingleTxtG"/>
        <w:rPr>
          <w:lang w:val="fr-CH" w:eastAsia="ar-SA"/>
        </w:rPr>
      </w:pPr>
      <w:r w:rsidRPr="00B04B41">
        <w:rPr>
          <w:lang w:val="fr-CH" w:eastAsia="ar-SA"/>
        </w:rPr>
        <w:t>5.</w:t>
      </w:r>
      <w:r w:rsidRPr="00B04B41">
        <w:rPr>
          <w:lang w:val="fr-CH" w:eastAsia="ar-SA"/>
        </w:rPr>
        <w:tab/>
        <w:t xml:space="preserve">La </w:t>
      </w:r>
      <w:r w:rsidRPr="00B04B41">
        <w:rPr>
          <w:lang w:val="fr-CH"/>
        </w:rPr>
        <w:t>présente</w:t>
      </w:r>
      <w:r w:rsidRPr="00B04B41">
        <w:rPr>
          <w:lang w:val="fr-CH" w:eastAsia="ar-SA"/>
        </w:rPr>
        <w:t xml:space="preserve"> proposition introduit une méthodologie de test visant à mesurer les coefficients de transfert thermique des cloisons. Cette méthodologie est à inscrire dans le paragraphe 7.3.7 comme étant une méthode donnant lieu à des résultats pouvant être utilisés en lieu et place des valeurs proposées par défaut pour les coefficients K des cloisons fixes. Les cloisons mobiles sont exclues en raison de la dégradation mécanique ayant un impact sur l’isolation thermique lors de leur utilisation.</w:t>
      </w:r>
    </w:p>
    <w:p w:rsidR="00B211EE" w:rsidRPr="00B04B41" w:rsidRDefault="00B211EE" w:rsidP="00B211EE">
      <w:pPr>
        <w:pStyle w:val="SingleTxtG"/>
        <w:rPr>
          <w:lang w:val="fr-CH" w:eastAsia="ar-SA"/>
        </w:rPr>
      </w:pPr>
      <w:r w:rsidRPr="00B04B41">
        <w:rPr>
          <w:lang w:val="fr-CH" w:eastAsia="ar-SA"/>
        </w:rPr>
        <w:t>6.</w:t>
      </w:r>
      <w:r w:rsidRPr="00B04B41">
        <w:rPr>
          <w:lang w:val="fr-CH" w:eastAsia="ar-SA"/>
        </w:rPr>
        <w:tab/>
        <w:t xml:space="preserve">La méthodologie de test repose </w:t>
      </w:r>
      <w:r w:rsidRPr="00B04B41">
        <w:rPr>
          <w:lang w:val="fr-CH"/>
        </w:rPr>
        <w:t>sur</w:t>
      </w:r>
      <w:r w:rsidRPr="00B04B41">
        <w:rPr>
          <w:lang w:val="fr-CH" w:eastAsia="ar-SA"/>
        </w:rPr>
        <w:t xml:space="preserve"> celle décrite dans la section 2, appendice 2 de l’annexe 1 de l’ATP «Isothermie des engins» dans sa version validée du 30 septembre 2015.</w:t>
      </w:r>
    </w:p>
    <w:p w:rsidR="00B211EE" w:rsidRPr="00B04B41" w:rsidRDefault="00B211EE" w:rsidP="00B211EE">
      <w:pPr>
        <w:pStyle w:val="SingleTxtG"/>
        <w:rPr>
          <w:lang w:val="fr-CH" w:eastAsia="ar-SA"/>
        </w:rPr>
      </w:pPr>
      <w:r w:rsidRPr="00B04B41">
        <w:rPr>
          <w:lang w:val="fr-CH" w:eastAsia="ar-SA"/>
        </w:rPr>
        <w:t>7.</w:t>
      </w:r>
      <w:r w:rsidRPr="00B04B41">
        <w:rPr>
          <w:lang w:val="fr-CH" w:eastAsia="ar-SA"/>
        </w:rPr>
        <w:tab/>
        <w:t>Elle introduit au travers d’un complément au paragraphe 7.3.7 les aménagements rendus nécessaires pour répondre au besoin:</w:t>
      </w:r>
    </w:p>
    <w:p w:rsidR="00B211EE" w:rsidRPr="00705D68" w:rsidRDefault="00B211EE" w:rsidP="00B211EE">
      <w:pPr>
        <w:pStyle w:val="SingleTxtG"/>
        <w:numPr>
          <w:ilvl w:val="0"/>
          <w:numId w:val="1"/>
        </w:numPr>
        <w:tabs>
          <w:tab w:val="clear" w:pos="1701"/>
        </w:tabs>
        <w:ind w:left="2268" w:hanging="567"/>
      </w:pPr>
      <w:r w:rsidRPr="00B04B41">
        <w:rPr>
          <w:lang w:val="fr-CH" w:eastAsia="ar-SA"/>
        </w:rPr>
        <w:t>D’adaptation de la méthode d’essais de groupes frigorifiques multi-températures proposée au paragraphe 7.2 pour intégrer les groupes frigorifiques à évaporateurs multiples intégrés à l’ATP ainsi;</w:t>
      </w:r>
    </w:p>
    <w:p w:rsidR="00B211EE" w:rsidRPr="00705D68" w:rsidRDefault="00B211EE" w:rsidP="00B211EE">
      <w:pPr>
        <w:pStyle w:val="SingleTxtG"/>
        <w:numPr>
          <w:ilvl w:val="0"/>
          <w:numId w:val="1"/>
        </w:numPr>
        <w:tabs>
          <w:tab w:val="clear" w:pos="1701"/>
        </w:tabs>
        <w:ind w:left="2268" w:hanging="567"/>
      </w:pPr>
      <w:r w:rsidRPr="00B04B41">
        <w:rPr>
          <w:lang w:val="fr-CH" w:eastAsia="ar-SA"/>
        </w:rPr>
        <w:t>Qu’au besoin de pousser les constructeurs à proposer de meilleures solutions dans le cas de compartimentages des engins</w:t>
      </w:r>
      <w:r>
        <w:rPr>
          <w:lang w:val="fr-CH" w:eastAsia="ar-SA"/>
        </w:rPr>
        <w:t xml:space="preserve"> de transport répondant à l’ATP.</w:t>
      </w:r>
    </w:p>
    <w:p w:rsidR="00B211EE" w:rsidRPr="00B04B41" w:rsidRDefault="00B211EE" w:rsidP="00B211EE">
      <w:pPr>
        <w:pStyle w:val="SingleTxtG"/>
        <w:rPr>
          <w:lang w:val="fr-CH" w:eastAsia="ar-SA"/>
        </w:rPr>
      </w:pPr>
      <w:r w:rsidRPr="00B04B41">
        <w:rPr>
          <w:lang w:val="fr-CH" w:eastAsia="ar-SA"/>
        </w:rPr>
        <w:t>Le principe de la méthode repose sur:</w:t>
      </w:r>
    </w:p>
    <w:p w:rsidR="00B211EE" w:rsidRPr="00705D68" w:rsidRDefault="00B211EE" w:rsidP="00B211EE">
      <w:pPr>
        <w:pStyle w:val="SingleTxtG"/>
        <w:numPr>
          <w:ilvl w:val="0"/>
          <w:numId w:val="1"/>
        </w:numPr>
        <w:tabs>
          <w:tab w:val="clear" w:pos="1701"/>
        </w:tabs>
        <w:ind w:left="2268" w:hanging="567"/>
      </w:pPr>
      <w:r w:rsidRPr="00B04B41">
        <w:rPr>
          <w:lang w:val="fr-CH" w:eastAsia="ar-SA"/>
        </w:rPr>
        <w:t>La création d’un flux thermique maîtrisé au travers d’une cloison interne mobile ou fixe dont la détermination du coefficient K est recherchée;</w:t>
      </w:r>
    </w:p>
    <w:p w:rsidR="00B211EE" w:rsidRPr="00705D68" w:rsidRDefault="00B211EE" w:rsidP="00B211EE">
      <w:pPr>
        <w:pStyle w:val="SingleTxtG"/>
        <w:numPr>
          <w:ilvl w:val="0"/>
          <w:numId w:val="1"/>
        </w:numPr>
        <w:tabs>
          <w:tab w:val="clear" w:pos="1701"/>
        </w:tabs>
        <w:ind w:left="2268" w:hanging="567"/>
      </w:pPr>
      <w:r w:rsidRPr="00B04B41">
        <w:rPr>
          <w:lang w:val="fr-CH" w:eastAsia="ar-SA"/>
        </w:rPr>
        <w:t>L’annulation de flux thermiques de l’ensemble des autres parois, qu’elles soient internes ou externes et ne constituant pas partie de la cloison interne mobile ou fixe objet de la détermination.</w:t>
      </w:r>
    </w:p>
    <w:p w:rsidR="00B211EE" w:rsidRPr="00B04B41" w:rsidRDefault="00B211EE" w:rsidP="00B211EE">
      <w:pPr>
        <w:pStyle w:val="SingleTxtG"/>
        <w:pageBreakBefore/>
        <w:rPr>
          <w:lang w:val="fr-CH"/>
        </w:rPr>
      </w:pPr>
      <w:r w:rsidRPr="00B04B41">
        <w:rPr>
          <w:lang w:val="fr-CH" w:eastAsia="ar-SA"/>
        </w:rPr>
        <w:lastRenderedPageBreak/>
        <w:t xml:space="preserve">Les deux </w:t>
      </w:r>
      <w:r w:rsidRPr="00B04B41">
        <w:rPr>
          <w:lang w:val="fr-CH"/>
        </w:rPr>
        <w:t>exemples</w:t>
      </w:r>
      <w:r w:rsidRPr="00B04B41">
        <w:rPr>
          <w:lang w:val="fr-CH" w:eastAsia="ar-SA"/>
        </w:rPr>
        <w:t xml:space="preserve"> ci-dessous explicitent la méthode pour des configurations différentes:</w:t>
      </w:r>
    </w:p>
    <w:p w:rsidR="00B211EE" w:rsidRDefault="00B211EE" w:rsidP="00B211EE">
      <w:pPr>
        <w:pStyle w:val="SingleTxtG"/>
        <w:rPr>
          <w:lang w:eastAsia="ar-SA"/>
        </w:rPr>
      </w:pPr>
      <w:r>
        <w:rPr>
          <w:noProof/>
          <w:lang w:eastAsia="en-GB"/>
        </w:rPr>
        <w:drawing>
          <wp:inline distT="0" distB="0" distL="0" distR="0" wp14:anchorId="3B42A31E" wp14:editId="06788673">
            <wp:extent cx="4674235" cy="150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6447" t="26775" r="17296" b="48691"/>
                    <a:stretch>
                      <a:fillRect/>
                    </a:stretch>
                  </pic:blipFill>
                  <pic:spPr bwMode="auto">
                    <a:xfrm>
                      <a:off x="0" y="0"/>
                      <a:ext cx="4674235" cy="1508125"/>
                    </a:xfrm>
                    <a:prstGeom prst="rect">
                      <a:avLst/>
                    </a:prstGeom>
                    <a:solidFill>
                      <a:srgbClr val="FFFFFF"/>
                    </a:solidFill>
                    <a:ln>
                      <a:noFill/>
                    </a:ln>
                  </pic:spPr>
                </pic:pic>
              </a:graphicData>
            </a:graphic>
          </wp:inline>
        </w:drawing>
      </w:r>
    </w:p>
    <w:p w:rsidR="00B211EE" w:rsidRPr="00B04B41" w:rsidRDefault="00B211EE" w:rsidP="00B211EE">
      <w:pPr>
        <w:pStyle w:val="SingleTxtG"/>
        <w:rPr>
          <w:lang w:val="fr-CH" w:eastAsia="ar-SA"/>
        </w:rPr>
      </w:pPr>
      <w:r w:rsidRPr="00B04B41">
        <w:rPr>
          <w:lang w:val="fr-CH" w:eastAsia="ar-SA"/>
        </w:rPr>
        <w:t>Avec «Cp.N°X</w:t>
      </w:r>
      <w:r>
        <w:rPr>
          <w:lang w:val="fr-CH" w:eastAsia="ar-SA"/>
        </w:rPr>
        <w:t>»</w:t>
      </w:r>
      <w:r w:rsidRPr="00B04B41">
        <w:rPr>
          <w:lang w:val="fr-CH" w:eastAsia="ar-SA"/>
        </w:rPr>
        <w:t>, le compartiment numéro X.</w:t>
      </w:r>
    </w:p>
    <w:p w:rsidR="00B211EE" w:rsidRPr="00B04B41" w:rsidRDefault="00B211EE" w:rsidP="00B211EE">
      <w:pPr>
        <w:pStyle w:val="H23G"/>
        <w:rPr>
          <w:lang w:val="fr-CH" w:eastAsia="ar-SA"/>
        </w:rPr>
      </w:pPr>
      <w:r w:rsidRPr="00B04B41">
        <w:rPr>
          <w:lang w:val="fr-CH" w:eastAsia="ar-SA"/>
        </w:rPr>
        <w:tab/>
      </w:r>
      <w:r w:rsidRPr="00B04B41">
        <w:rPr>
          <w:lang w:val="fr-CH" w:eastAsia="ar-SA"/>
        </w:rPr>
        <w:tab/>
        <w:t>Amendement proposé à l’accord</w:t>
      </w:r>
    </w:p>
    <w:p w:rsidR="00B211EE" w:rsidRPr="00B04B41" w:rsidRDefault="00B211EE" w:rsidP="00B211EE">
      <w:pPr>
        <w:pStyle w:val="SingleTxtG"/>
        <w:rPr>
          <w:b/>
          <w:bCs/>
          <w:lang w:val="fr-CH" w:eastAsia="ar-SA"/>
        </w:rPr>
      </w:pPr>
      <w:r>
        <w:rPr>
          <w:lang w:val="fr-CH" w:eastAsia="ar-SA"/>
        </w:rPr>
        <w:t>8</w:t>
      </w:r>
      <w:r w:rsidRPr="00B04B41">
        <w:rPr>
          <w:lang w:val="fr-CH" w:eastAsia="ar-SA"/>
        </w:rPr>
        <w:t>.</w:t>
      </w:r>
      <w:r w:rsidRPr="00B04B41">
        <w:rPr>
          <w:lang w:val="fr-CH" w:eastAsia="ar-SA"/>
        </w:rPr>
        <w:tab/>
        <w:t xml:space="preserve">Il </w:t>
      </w:r>
      <w:r w:rsidRPr="00B04B41">
        <w:rPr>
          <w:lang w:val="fr-CH"/>
        </w:rPr>
        <w:t>est</w:t>
      </w:r>
      <w:r w:rsidRPr="00B04B41">
        <w:rPr>
          <w:lang w:val="fr-CH" w:eastAsia="ar-SA"/>
        </w:rPr>
        <w:t xml:space="preserve"> proposé de modifier le paragraphe 7.3.7 de l’appendice 2 de l’annexe 1 de l’ATP par le texte proposé ci-après:</w:t>
      </w:r>
    </w:p>
    <w:p w:rsidR="00B211EE" w:rsidRPr="00B04B41" w:rsidRDefault="00B211EE" w:rsidP="00B211EE">
      <w:pPr>
        <w:pStyle w:val="H23G"/>
        <w:tabs>
          <w:tab w:val="left" w:pos="2127"/>
        </w:tabs>
        <w:rPr>
          <w:lang w:val="fr-CH" w:eastAsia="ar-SA"/>
        </w:rPr>
      </w:pPr>
      <w:r w:rsidRPr="00B04B41">
        <w:rPr>
          <w:lang w:val="fr-CH" w:eastAsia="ar-SA"/>
        </w:rPr>
        <w:tab/>
      </w:r>
      <w:r w:rsidRPr="00B04B41">
        <w:rPr>
          <w:lang w:val="fr-CH" w:eastAsia="ar-SA"/>
        </w:rPr>
        <w:tab/>
      </w:r>
      <w:r>
        <w:rPr>
          <w:lang w:val="fr-CH" w:eastAsia="ar-SA"/>
        </w:rPr>
        <w:t>«</w:t>
      </w:r>
      <w:r w:rsidRPr="00B04B41">
        <w:rPr>
          <w:lang w:val="fr-CH" w:eastAsia="ar-SA"/>
        </w:rPr>
        <w:t>7.3.7</w:t>
      </w:r>
      <w:r w:rsidRPr="00B04B41">
        <w:rPr>
          <w:lang w:val="fr-CH" w:eastAsia="ar-SA"/>
        </w:rPr>
        <w:tab/>
        <w:t>Cloisons internes</w:t>
      </w:r>
    </w:p>
    <w:p w:rsidR="00B211EE" w:rsidRPr="00B04B41" w:rsidRDefault="00B211EE" w:rsidP="00B211EE">
      <w:pPr>
        <w:pStyle w:val="H23G"/>
        <w:tabs>
          <w:tab w:val="left" w:pos="2127"/>
        </w:tabs>
        <w:rPr>
          <w:lang w:val="fr-CH" w:eastAsia="ar-SA"/>
        </w:rPr>
      </w:pPr>
      <w:r>
        <w:rPr>
          <w:lang w:val="fr-CH" w:eastAsia="ar-SA"/>
        </w:rPr>
        <w:tab/>
      </w:r>
      <w:r>
        <w:rPr>
          <w:lang w:val="fr-CH" w:eastAsia="ar-SA"/>
        </w:rPr>
        <w:tab/>
        <w:t>7.3.7.1</w:t>
      </w:r>
      <w:r w:rsidRPr="00B04B41">
        <w:rPr>
          <w:lang w:val="fr-CH" w:eastAsia="ar-SA"/>
        </w:rPr>
        <w:tab/>
        <w:t>Conditions générales</w:t>
      </w:r>
    </w:p>
    <w:p w:rsidR="00B211EE" w:rsidRPr="00B04B41" w:rsidRDefault="00B211EE" w:rsidP="00B211EE">
      <w:pPr>
        <w:pStyle w:val="SingleTxtG"/>
        <w:rPr>
          <w:lang w:val="fr-CH" w:eastAsia="ar-SA"/>
        </w:rPr>
      </w:pPr>
      <w:r w:rsidRPr="00B04B41">
        <w:rPr>
          <w:lang w:val="fr-CH" w:eastAsia="ar-SA"/>
        </w:rPr>
        <w:t>Les déperditions thermiques par les cloisons internes doivent être calculées à l’aide des coefficients K du tableau ci-après. Pour les cloisons fixes, les valeurs forfaitaires de ce tableau peuvent être remplacées par les coefficients K mesurés selon la méthodologie d’essais présentés au 7.3.7.3.</w:t>
      </w:r>
    </w:p>
    <w:p w:rsidR="00B211EE" w:rsidRPr="00B04B41" w:rsidRDefault="00B211EE" w:rsidP="00B211EE">
      <w:pPr>
        <w:pStyle w:val="H23G"/>
        <w:rPr>
          <w:lang w:val="fr-CH"/>
        </w:rPr>
      </w:pPr>
      <w:r>
        <w:rPr>
          <w:lang w:val="fr-CH" w:eastAsia="ar-SA"/>
        </w:rPr>
        <w:tab/>
      </w:r>
      <w:r>
        <w:rPr>
          <w:lang w:val="fr-CH" w:eastAsia="ar-SA"/>
        </w:rPr>
        <w:tab/>
        <w:t>7.3.7.2</w:t>
      </w:r>
      <w:r>
        <w:rPr>
          <w:lang w:val="fr-CH" w:eastAsia="ar-SA"/>
        </w:rPr>
        <w:tab/>
      </w:r>
      <w:r w:rsidRPr="00B04B41">
        <w:rPr>
          <w:lang w:val="fr-CH" w:eastAsia="ar-SA"/>
        </w:rPr>
        <w:tab/>
        <w:t xml:space="preserve">Valeurs forfaitaires des coefficients K des cloisons internes </w:t>
      </w:r>
    </w:p>
    <w:tbl>
      <w:tblPr>
        <w:tblW w:w="0" w:type="auto"/>
        <w:tblInd w:w="1134" w:type="dxa"/>
        <w:tblLayout w:type="fixed"/>
        <w:tblCellMar>
          <w:left w:w="0" w:type="dxa"/>
          <w:right w:w="0" w:type="dxa"/>
        </w:tblCellMar>
        <w:tblLook w:val="00A0" w:firstRow="1" w:lastRow="0" w:firstColumn="1" w:lastColumn="0" w:noHBand="0" w:noVBand="0"/>
      </w:tblPr>
      <w:tblGrid>
        <w:gridCol w:w="3686"/>
        <w:gridCol w:w="1417"/>
        <w:gridCol w:w="851"/>
        <w:gridCol w:w="1417"/>
      </w:tblGrid>
      <w:tr w:rsidR="00B211EE" w:rsidRPr="006E067D" w:rsidTr="00417E47">
        <w:trPr>
          <w:tblHeader/>
        </w:trPr>
        <w:tc>
          <w:tcPr>
            <w:tcW w:w="3686" w:type="dxa"/>
            <w:tcBorders>
              <w:top w:val="single" w:sz="4" w:space="0" w:color="auto"/>
              <w:left w:val="nil"/>
              <w:right w:val="nil"/>
            </w:tcBorders>
            <w:tcMar>
              <w:top w:w="0" w:type="dxa"/>
              <w:left w:w="0" w:type="dxa"/>
              <w:bottom w:w="0" w:type="dxa"/>
              <w:right w:w="0" w:type="dxa"/>
            </w:tcMar>
            <w:vAlign w:val="bottom"/>
          </w:tcPr>
          <w:p w:rsidR="00B211EE" w:rsidRPr="006E067D" w:rsidRDefault="00B211EE" w:rsidP="00417E47">
            <w:pPr>
              <w:spacing w:before="80" w:after="80" w:line="200" w:lineRule="exact"/>
              <w:jc w:val="both"/>
              <w:rPr>
                <w:i/>
                <w:iCs/>
                <w:sz w:val="16"/>
                <w:szCs w:val="16"/>
              </w:rPr>
            </w:pPr>
          </w:p>
        </w:tc>
        <w:tc>
          <w:tcPr>
            <w:tcW w:w="2268" w:type="dxa"/>
            <w:gridSpan w:val="2"/>
            <w:tcBorders>
              <w:top w:val="single" w:sz="4" w:space="0" w:color="auto"/>
              <w:left w:val="nil"/>
              <w:right w:val="nil"/>
            </w:tcBorders>
            <w:tcMar>
              <w:top w:w="0" w:type="dxa"/>
              <w:left w:w="0" w:type="dxa"/>
              <w:bottom w:w="0" w:type="dxa"/>
              <w:right w:w="0" w:type="dxa"/>
            </w:tcMar>
            <w:vAlign w:val="bottom"/>
          </w:tcPr>
          <w:p w:rsidR="00B211EE" w:rsidRPr="006E067D" w:rsidRDefault="00B211EE" w:rsidP="00417E47">
            <w:pPr>
              <w:spacing w:before="80" w:after="80" w:line="200" w:lineRule="exact"/>
              <w:jc w:val="center"/>
              <w:rPr>
                <w:i/>
                <w:iCs/>
                <w:sz w:val="16"/>
                <w:szCs w:val="16"/>
              </w:rPr>
            </w:pPr>
            <w:r w:rsidRPr="006E067D">
              <w:rPr>
                <w:i/>
                <w:sz w:val="16"/>
                <w:szCs w:val="16"/>
              </w:rPr>
              <w:t>Coefficient K – [W/m².K]</w:t>
            </w:r>
          </w:p>
        </w:tc>
        <w:tc>
          <w:tcPr>
            <w:tcW w:w="1417" w:type="dxa"/>
            <w:tcBorders>
              <w:top w:val="single" w:sz="4" w:space="0" w:color="auto"/>
              <w:left w:val="nil"/>
              <w:right w:val="nil"/>
            </w:tcBorders>
            <w:tcMar>
              <w:top w:w="0" w:type="dxa"/>
              <w:left w:w="0" w:type="dxa"/>
              <w:bottom w:w="0" w:type="dxa"/>
              <w:right w:w="0" w:type="dxa"/>
            </w:tcMar>
            <w:vAlign w:val="bottom"/>
          </w:tcPr>
          <w:p w:rsidR="00B211EE" w:rsidRPr="006E067D" w:rsidRDefault="00B211EE" w:rsidP="00417E47">
            <w:pPr>
              <w:spacing w:before="80" w:after="80" w:line="200" w:lineRule="exact"/>
              <w:jc w:val="right"/>
              <w:rPr>
                <w:i/>
                <w:iCs/>
                <w:sz w:val="16"/>
                <w:szCs w:val="16"/>
              </w:rPr>
            </w:pPr>
            <w:r w:rsidRPr="006E067D">
              <w:rPr>
                <w:i/>
                <w:sz w:val="16"/>
                <w:szCs w:val="16"/>
              </w:rPr>
              <w:t>Épaisseur minimale de la mousse</w:t>
            </w:r>
          </w:p>
        </w:tc>
      </w:tr>
      <w:tr w:rsidR="00B211EE" w:rsidRPr="006E067D" w:rsidTr="00417E47">
        <w:tc>
          <w:tcPr>
            <w:tcW w:w="3686" w:type="dxa"/>
            <w:tcBorders>
              <w:bottom w:val="single" w:sz="12" w:space="0" w:color="auto"/>
            </w:tcBorders>
            <w:tcMar>
              <w:top w:w="0" w:type="dxa"/>
              <w:left w:w="0" w:type="dxa"/>
              <w:bottom w:w="0" w:type="dxa"/>
              <w:right w:w="0" w:type="dxa"/>
            </w:tcMar>
          </w:tcPr>
          <w:p w:rsidR="00B211EE" w:rsidRPr="006E067D" w:rsidRDefault="00B211EE" w:rsidP="00417E47">
            <w:pPr>
              <w:spacing w:before="80" w:after="80" w:line="200" w:lineRule="exact"/>
              <w:jc w:val="both"/>
              <w:rPr>
                <w:i/>
                <w:sz w:val="16"/>
                <w:szCs w:val="16"/>
              </w:rPr>
            </w:pPr>
          </w:p>
        </w:tc>
        <w:tc>
          <w:tcPr>
            <w:tcW w:w="1417" w:type="dxa"/>
            <w:tcBorders>
              <w:bottom w:val="single" w:sz="12" w:space="0" w:color="auto"/>
            </w:tcBorders>
            <w:tcMar>
              <w:top w:w="0" w:type="dxa"/>
              <w:left w:w="0" w:type="dxa"/>
              <w:bottom w:w="0" w:type="dxa"/>
              <w:right w:w="0" w:type="dxa"/>
            </w:tcMar>
            <w:vAlign w:val="bottom"/>
          </w:tcPr>
          <w:p w:rsidR="00B211EE" w:rsidRPr="006E067D" w:rsidRDefault="00B211EE" w:rsidP="00417E47">
            <w:pPr>
              <w:spacing w:before="80" w:after="80" w:line="200" w:lineRule="exact"/>
              <w:jc w:val="right"/>
              <w:rPr>
                <w:i/>
                <w:sz w:val="16"/>
                <w:szCs w:val="16"/>
              </w:rPr>
            </w:pPr>
            <w:r w:rsidRPr="006E067D">
              <w:rPr>
                <w:i/>
                <w:sz w:val="16"/>
                <w:szCs w:val="16"/>
              </w:rPr>
              <w:t>Fixe</w:t>
            </w:r>
          </w:p>
        </w:tc>
        <w:tc>
          <w:tcPr>
            <w:tcW w:w="851" w:type="dxa"/>
            <w:tcBorders>
              <w:bottom w:val="single" w:sz="12" w:space="0" w:color="auto"/>
            </w:tcBorders>
            <w:tcMar>
              <w:top w:w="0" w:type="dxa"/>
              <w:left w:w="0" w:type="dxa"/>
              <w:bottom w:w="0" w:type="dxa"/>
              <w:right w:w="0" w:type="dxa"/>
            </w:tcMar>
            <w:vAlign w:val="bottom"/>
          </w:tcPr>
          <w:p w:rsidR="00B211EE" w:rsidRPr="006E067D" w:rsidRDefault="00B211EE" w:rsidP="00417E47">
            <w:pPr>
              <w:spacing w:before="80" w:after="80" w:line="200" w:lineRule="exact"/>
              <w:jc w:val="right"/>
              <w:rPr>
                <w:i/>
                <w:sz w:val="16"/>
                <w:szCs w:val="16"/>
              </w:rPr>
            </w:pPr>
            <w:r w:rsidRPr="006E067D">
              <w:rPr>
                <w:i/>
                <w:sz w:val="16"/>
                <w:szCs w:val="16"/>
              </w:rPr>
              <w:t>Mobile</w:t>
            </w:r>
          </w:p>
        </w:tc>
        <w:tc>
          <w:tcPr>
            <w:tcW w:w="1417" w:type="dxa"/>
            <w:tcBorders>
              <w:bottom w:val="single" w:sz="12" w:space="0" w:color="auto"/>
            </w:tcBorders>
            <w:tcMar>
              <w:top w:w="0" w:type="dxa"/>
              <w:left w:w="0" w:type="dxa"/>
              <w:bottom w:w="0" w:type="dxa"/>
              <w:right w:w="0" w:type="dxa"/>
            </w:tcMar>
            <w:vAlign w:val="bottom"/>
          </w:tcPr>
          <w:p w:rsidR="00B211EE" w:rsidRPr="006E067D" w:rsidRDefault="00B211EE" w:rsidP="00417E47">
            <w:pPr>
              <w:spacing w:before="80" w:after="80" w:line="200" w:lineRule="exact"/>
              <w:jc w:val="right"/>
              <w:rPr>
                <w:i/>
                <w:sz w:val="16"/>
                <w:szCs w:val="16"/>
              </w:rPr>
            </w:pPr>
            <w:r w:rsidRPr="006E067D">
              <w:rPr>
                <w:i/>
                <w:sz w:val="16"/>
                <w:szCs w:val="16"/>
              </w:rPr>
              <w:t>[mm]</w:t>
            </w:r>
          </w:p>
        </w:tc>
      </w:tr>
      <w:tr w:rsidR="00B211EE" w:rsidRPr="006E067D" w:rsidTr="00417E47">
        <w:tc>
          <w:tcPr>
            <w:tcW w:w="3686" w:type="dxa"/>
            <w:tcMar>
              <w:top w:w="0" w:type="dxa"/>
              <w:left w:w="0" w:type="dxa"/>
              <w:bottom w:w="0" w:type="dxa"/>
              <w:right w:w="0" w:type="dxa"/>
            </w:tcMar>
          </w:tcPr>
          <w:p w:rsidR="00B211EE" w:rsidRPr="006E067D" w:rsidRDefault="00B211EE" w:rsidP="00417E47">
            <w:pPr>
              <w:spacing w:before="40" w:after="40" w:line="220" w:lineRule="exact"/>
              <w:ind w:left="113"/>
              <w:jc w:val="both"/>
            </w:pPr>
            <w:r w:rsidRPr="006E067D">
              <w:t>Longitudinale – plancher alu.</w:t>
            </w:r>
          </w:p>
          <w:p w:rsidR="00B211EE" w:rsidRPr="006E067D" w:rsidRDefault="00B211EE" w:rsidP="00417E47">
            <w:pPr>
              <w:spacing w:before="40" w:after="40" w:line="220" w:lineRule="exact"/>
              <w:ind w:left="113"/>
              <w:jc w:val="both"/>
            </w:pPr>
            <w:r w:rsidRPr="006E067D">
              <w:t>Longitudinale – plancher comp. verre-résine</w:t>
            </w:r>
          </w:p>
        </w:tc>
        <w:tc>
          <w:tcPr>
            <w:tcW w:w="1417" w:type="dxa"/>
            <w:tcMar>
              <w:top w:w="0" w:type="dxa"/>
              <w:left w:w="0" w:type="dxa"/>
              <w:bottom w:w="0" w:type="dxa"/>
              <w:right w:w="0" w:type="dxa"/>
            </w:tcMar>
            <w:vAlign w:val="bottom"/>
          </w:tcPr>
          <w:p w:rsidR="00B211EE" w:rsidRPr="006E067D" w:rsidRDefault="00B211EE" w:rsidP="00417E47">
            <w:pPr>
              <w:spacing w:before="40" w:after="40" w:line="220" w:lineRule="exact"/>
              <w:jc w:val="right"/>
              <w:rPr>
                <w:bCs/>
                <w:strike/>
              </w:rPr>
            </w:pPr>
            <w:r w:rsidRPr="006E067D">
              <w:t>2,0</w:t>
            </w:r>
          </w:p>
          <w:p w:rsidR="00B211EE" w:rsidRPr="006E067D" w:rsidRDefault="00B211EE" w:rsidP="00417E47">
            <w:pPr>
              <w:spacing w:before="40" w:after="40" w:line="220" w:lineRule="exact"/>
              <w:jc w:val="right"/>
              <w:rPr>
                <w:bCs/>
              </w:rPr>
            </w:pPr>
            <w:r w:rsidRPr="006E067D">
              <w:t>1,5</w:t>
            </w:r>
          </w:p>
        </w:tc>
        <w:tc>
          <w:tcPr>
            <w:tcW w:w="851" w:type="dxa"/>
            <w:tcMar>
              <w:top w:w="0" w:type="dxa"/>
              <w:left w:w="0" w:type="dxa"/>
              <w:bottom w:w="0" w:type="dxa"/>
              <w:right w:w="0" w:type="dxa"/>
            </w:tcMar>
            <w:vAlign w:val="bottom"/>
          </w:tcPr>
          <w:p w:rsidR="00B211EE" w:rsidRPr="006E067D" w:rsidRDefault="00B211EE" w:rsidP="00417E47">
            <w:pPr>
              <w:spacing w:before="40" w:after="40" w:line="220" w:lineRule="exact"/>
              <w:jc w:val="right"/>
              <w:rPr>
                <w:bCs/>
              </w:rPr>
            </w:pPr>
            <w:r w:rsidRPr="006E067D">
              <w:t>3,0</w:t>
            </w:r>
          </w:p>
          <w:p w:rsidR="00B211EE" w:rsidRPr="006E067D" w:rsidRDefault="00B211EE" w:rsidP="00417E47">
            <w:pPr>
              <w:spacing w:before="40" w:after="40" w:line="220" w:lineRule="exact"/>
              <w:jc w:val="right"/>
              <w:rPr>
                <w:bCs/>
              </w:rPr>
            </w:pPr>
            <w:r w:rsidRPr="006E067D">
              <w:t>2,0</w:t>
            </w:r>
          </w:p>
        </w:tc>
        <w:tc>
          <w:tcPr>
            <w:tcW w:w="1417" w:type="dxa"/>
            <w:tcMar>
              <w:top w:w="0" w:type="dxa"/>
              <w:left w:w="0" w:type="dxa"/>
              <w:bottom w:w="0" w:type="dxa"/>
              <w:right w:w="0" w:type="dxa"/>
            </w:tcMar>
            <w:vAlign w:val="bottom"/>
          </w:tcPr>
          <w:p w:rsidR="00B211EE" w:rsidRPr="006E067D" w:rsidRDefault="00B211EE" w:rsidP="00417E47">
            <w:pPr>
              <w:spacing w:before="40" w:after="40" w:line="220" w:lineRule="exact"/>
              <w:jc w:val="center"/>
            </w:pPr>
            <w:r w:rsidRPr="006E067D">
              <w:t>25</w:t>
            </w:r>
          </w:p>
          <w:p w:rsidR="00B211EE" w:rsidRPr="006E067D" w:rsidRDefault="00B211EE" w:rsidP="00417E47">
            <w:pPr>
              <w:spacing w:before="40" w:after="40" w:line="220" w:lineRule="exact"/>
              <w:jc w:val="center"/>
            </w:pPr>
            <w:r w:rsidRPr="006E067D">
              <w:t>25</w:t>
            </w:r>
          </w:p>
        </w:tc>
      </w:tr>
      <w:tr w:rsidR="00B211EE" w:rsidRPr="006E067D" w:rsidTr="00417E47">
        <w:tc>
          <w:tcPr>
            <w:tcW w:w="3686" w:type="dxa"/>
            <w:tcBorders>
              <w:top w:val="nil"/>
              <w:left w:val="nil"/>
              <w:bottom w:val="single" w:sz="12" w:space="0" w:color="auto"/>
              <w:right w:val="nil"/>
            </w:tcBorders>
            <w:tcMar>
              <w:top w:w="0" w:type="dxa"/>
              <w:left w:w="0" w:type="dxa"/>
              <w:bottom w:w="0" w:type="dxa"/>
              <w:right w:w="0" w:type="dxa"/>
            </w:tcMar>
          </w:tcPr>
          <w:p w:rsidR="00B211EE" w:rsidRPr="006E067D" w:rsidRDefault="00B211EE" w:rsidP="00417E47">
            <w:pPr>
              <w:spacing w:before="40" w:after="40" w:line="220" w:lineRule="exact"/>
              <w:ind w:left="113"/>
              <w:jc w:val="both"/>
            </w:pPr>
            <w:r w:rsidRPr="006E067D">
              <w:t>Transversale – plancher alu.</w:t>
            </w:r>
          </w:p>
          <w:p w:rsidR="00B211EE" w:rsidRPr="006E067D" w:rsidRDefault="00B211EE" w:rsidP="00417E47">
            <w:pPr>
              <w:spacing w:before="40" w:after="40" w:line="220" w:lineRule="exact"/>
              <w:ind w:left="113"/>
              <w:jc w:val="both"/>
            </w:pPr>
            <w:r w:rsidRPr="006E067D">
              <w:t>Transversale – plancher comp. verre-résine</w:t>
            </w:r>
          </w:p>
        </w:tc>
        <w:tc>
          <w:tcPr>
            <w:tcW w:w="1417" w:type="dxa"/>
            <w:tcBorders>
              <w:top w:val="nil"/>
              <w:left w:val="nil"/>
              <w:bottom w:val="single" w:sz="12" w:space="0" w:color="auto"/>
              <w:right w:val="nil"/>
            </w:tcBorders>
            <w:tcMar>
              <w:top w:w="0" w:type="dxa"/>
              <w:left w:w="0" w:type="dxa"/>
              <w:bottom w:w="0" w:type="dxa"/>
              <w:right w:w="0" w:type="dxa"/>
            </w:tcMar>
            <w:vAlign w:val="bottom"/>
          </w:tcPr>
          <w:p w:rsidR="00B211EE" w:rsidRPr="006E067D" w:rsidRDefault="00B211EE" w:rsidP="00417E47">
            <w:pPr>
              <w:spacing w:before="40" w:after="40" w:line="220" w:lineRule="exact"/>
              <w:jc w:val="right"/>
            </w:pPr>
            <w:r w:rsidRPr="006E067D">
              <w:t>2,0</w:t>
            </w:r>
          </w:p>
          <w:p w:rsidR="00B211EE" w:rsidRPr="006E067D" w:rsidRDefault="00B211EE" w:rsidP="00417E47">
            <w:pPr>
              <w:spacing w:before="40" w:after="40" w:line="220" w:lineRule="exact"/>
              <w:jc w:val="right"/>
            </w:pPr>
            <w:r w:rsidRPr="006E067D">
              <w:t>1,5</w:t>
            </w:r>
          </w:p>
        </w:tc>
        <w:tc>
          <w:tcPr>
            <w:tcW w:w="851" w:type="dxa"/>
            <w:tcBorders>
              <w:top w:val="nil"/>
              <w:left w:val="nil"/>
              <w:bottom w:val="single" w:sz="12" w:space="0" w:color="auto"/>
              <w:right w:val="nil"/>
            </w:tcBorders>
            <w:tcMar>
              <w:top w:w="0" w:type="dxa"/>
              <w:left w:w="0" w:type="dxa"/>
              <w:bottom w:w="0" w:type="dxa"/>
              <w:right w:w="0" w:type="dxa"/>
            </w:tcMar>
            <w:vAlign w:val="bottom"/>
          </w:tcPr>
          <w:p w:rsidR="00B211EE" w:rsidRPr="006E067D" w:rsidRDefault="00B211EE" w:rsidP="00417E47">
            <w:pPr>
              <w:spacing w:before="40" w:after="40" w:line="220" w:lineRule="exact"/>
              <w:jc w:val="right"/>
              <w:rPr>
                <w:bCs/>
              </w:rPr>
            </w:pPr>
            <w:r w:rsidRPr="006E067D">
              <w:t>3,2</w:t>
            </w:r>
          </w:p>
          <w:p w:rsidR="00B211EE" w:rsidRPr="006E067D" w:rsidRDefault="00B211EE" w:rsidP="00417E47">
            <w:pPr>
              <w:spacing w:before="40" w:after="40" w:line="220" w:lineRule="exact"/>
              <w:jc w:val="right"/>
              <w:rPr>
                <w:bCs/>
              </w:rPr>
            </w:pPr>
            <w:r w:rsidRPr="006E067D">
              <w:t>2,6</w:t>
            </w:r>
          </w:p>
        </w:tc>
        <w:tc>
          <w:tcPr>
            <w:tcW w:w="1417" w:type="dxa"/>
            <w:tcBorders>
              <w:top w:val="nil"/>
              <w:left w:val="nil"/>
              <w:bottom w:val="single" w:sz="12" w:space="0" w:color="auto"/>
              <w:right w:val="nil"/>
            </w:tcBorders>
            <w:tcMar>
              <w:top w:w="0" w:type="dxa"/>
              <w:left w:w="0" w:type="dxa"/>
              <w:bottom w:w="0" w:type="dxa"/>
              <w:right w:w="0" w:type="dxa"/>
            </w:tcMar>
            <w:vAlign w:val="bottom"/>
          </w:tcPr>
          <w:p w:rsidR="00B211EE" w:rsidRPr="006E067D" w:rsidRDefault="00B211EE" w:rsidP="00417E47">
            <w:pPr>
              <w:spacing w:before="40" w:after="40" w:line="220" w:lineRule="exact"/>
              <w:jc w:val="center"/>
            </w:pPr>
            <w:r w:rsidRPr="006E067D">
              <w:t>40</w:t>
            </w:r>
          </w:p>
          <w:p w:rsidR="00B211EE" w:rsidRPr="006E067D" w:rsidRDefault="00B211EE" w:rsidP="00417E47">
            <w:pPr>
              <w:spacing w:before="40" w:after="40" w:line="220" w:lineRule="exact"/>
              <w:jc w:val="center"/>
            </w:pPr>
            <w:r w:rsidRPr="006E067D">
              <w:t>40</w:t>
            </w:r>
          </w:p>
        </w:tc>
      </w:tr>
    </w:tbl>
    <w:p w:rsidR="00B211EE" w:rsidRPr="006E067D" w:rsidRDefault="00B211EE" w:rsidP="00B211EE">
      <w:pPr>
        <w:pStyle w:val="SingleTxtG"/>
        <w:spacing w:before="120"/>
        <w:rPr>
          <w:lang w:val="fr-CH"/>
        </w:rPr>
      </w:pPr>
      <w:r w:rsidRPr="006E067D">
        <w:rPr>
          <w:lang w:val="fr-CH"/>
        </w:rPr>
        <w:t>Pour le coefficient K des cloisons internes mobiles, il est tenu compte d’une marge de sécurité en raison du vieillissement et des inévitables déperditions thermiques.</w:t>
      </w:r>
    </w:p>
    <w:p w:rsidR="00B211EE" w:rsidRDefault="00B211EE" w:rsidP="00B211EE">
      <w:pPr>
        <w:pStyle w:val="SingleTxtG"/>
        <w:rPr>
          <w:b/>
          <w:lang w:eastAsia="ar-SA"/>
        </w:rPr>
      </w:pPr>
      <w:r w:rsidRPr="006E067D">
        <w:rPr>
          <w:lang w:val="fr-CH"/>
        </w:rPr>
        <w:t>S’agissant des conceptions particulières pour lesquelles il existe une transmission thermique supérieure due à un plus grand nombre de ponts thermiques par rapport à une conception standard, il convient d’augmenter le coefficient K de la cloison.</w:t>
      </w:r>
    </w:p>
    <w:p w:rsidR="00B211EE" w:rsidRPr="00B04B41" w:rsidRDefault="00B211EE" w:rsidP="00B211EE">
      <w:pPr>
        <w:pStyle w:val="H23G"/>
        <w:rPr>
          <w:lang w:val="fr-CH" w:eastAsia="ar-SA"/>
        </w:rPr>
      </w:pPr>
      <w:r>
        <w:rPr>
          <w:lang w:eastAsia="ar-SA"/>
        </w:rPr>
        <w:tab/>
      </w:r>
      <w:r>
        <w:rPr>
          <w:lang w:eastAsia="ar-SA"/>
        </w:rPr>
        <w:tab/>
      </w:r>
      <w:r>
        <w:rPr>
          <w:lang w:val="fr-CH" w:eastAsia="ar-SA"/>
        </w:rPr>
        <w:t>7.3.7.3</w:t>
      </w:r>
      <w:r>
        <w:rPr>
          <w:lang w:val="fr-CH" w:eastAsia="ar-SA"/>
        </w:rPr>
        <w:tab/>
      </w:r>
      <w:r w:rsidRPr="00B04B41">
        <w:rPr>
          <w:lang w:val="fr-CH" w:eastAsia="ar-SA"/>
        </w:rPr>
        <w:tab/>
        <w:t>Mesures du coefficient K de cloisons internes fixes</w:t>
      </w:r>
    </w:p>
    <w:p w:rsidR="00B211EE" w:rsidRPr="00B04B41" w:rsidRDefault="00B211EE" w:rsidP="00B211EE">
      <w:pPr>
        <w:pStyle w:val="SingleTxtG"/>
        <w:rPr>
          <w:b/>
          <w:lang w:val="fr-CH" w:eastAsia="ar-SA"/>
        </w:rPr>
      </w:pPr>
      <w:r w:rsidRPr="00B04B41">
        <w:rPr>
          <w:lang w:val="fr-CH" w:eastAsia="ar-SA"/>
        </w:rPr>
        <w:t>La mesure du coefficient K est effectuée en régime permanent par la méthode de refroidissement et de chauffage intérieur. L'engin est placé, vide de tout chargement, dans une chambre isotherme.</w:t>
      </w:r>
    </w:p>
    <w:p w:rsidR="00B211EE" w:rsidRPr="00B04B41" w:rsidRDefault="00B211EE" w:rsidP="00B211EE">
      <w:pPr>
        <w:pStyle w:val="SingleTxtG"/>
        <w:rPr>
          <w:b/>
          <w:lang w:val="fr-CH" w:eastAsia="ar-SA"/>
        </w:rPr>
      </w:pPr>
      <w:r w:rsidRPr="00B04B41">
        <w:rPr>
          <w:lang w:val="fr-CH" w:eastAsia="ar-SA"/>
        </w:rPr>
        <w:t>La configuration de l’engin et les températures internes propres à chaque compartiment doivent être choisies de telle façon qu’elles n’autorisent qu’un unique flux thermique au trave</w:t>
      </w:r>
      <w:r>
        <w:rPr>
          <w:lang w:val="fr-CH" w:eastAsia="ar-SA"/>
        </w:rPr>
        <w:t>rs de la cloison interne fixe.</w:t>
      </w:r>
    </w:p>
    <w:p w:rsidR="00B211EE" w:rsidRPr="00B04B41" w:rsidRDefault="00B211EE" w:rsidP="00B211EE">
      <w:pPr>
        <w:pStyle w:val="SingleTxtG"/>
        <w:keepNext/>
        <w:keepLines/>
        <w:rPr>
          <w:lang w:val="fr-CH" w:eastAsia="ar-SA"/>
        </w:rPr>
      </w:pPr>
      <w:r w:rsidRPr="00B04B41">
        <w:rPr>
          <w:lang w:val="fr-CH" w:eastAsia="ar-SA"/>
        </w:rPr>
        <w:lastRenderedPageBreak/>
        <w:t>Dans le cas des compartiments:</w:t>
      </w:r>
    </w:p>
    <w:p w:rsidR="00B211EE" w:rsidRPr="00705D68" w:rsidRDefault="00B211EE" w:rsidP="00B211EE">
      <w:pPr>
        <w:pStyle w:val="SingleTxtG"/>
        <w:numPr>
          <w:ilvl w:val="0"/>
          <w:numId w:val="1"/>
        </w:numPr>
        <w:tabs>
          <w:tab w:val="clear" w:pos="1701"/>
        </w:tabs>
        <w:ind w:left="2268" w:hanging="567"/>
      </w:pPr>
      <w:r w:rsidRPr="00B04B41">
        <w:rPr>
          <w:lang w:val="fr-CH" w:eastAsia="ar-SA"/>
        </w:rPr>
        <w:t>Refroidis, un ou plusieurs échangeurs de chaleur sont placés à l'intérieur de la caisse;</w:t>
      </w:r>
    </w:p>
    <w:p w:rsidR="00B211EE" w:rsidRPr="00B04B41" w:rsidRDefault="00B211EE" w:rsidP="00B211EE">
      <w:pPr>
        <w:pStyle w:val="SingleTxtG"/>
        <w:numPr>
          <w:ilvl w:val="0"/>
          <w:numId w:val="1"/>
        </w:numPr>
        <w:tabs>
          <w:tab w:val="clear" w:pos="1701"/>
        </w:tabs>
        <w:ind w:left="2268" w:hanging="567"/>
        <w:rPr>
          <w:lang w:val="fr-CH" w:eastAsia="ar-SA"/>
        </w:rPr>
      </w:pPr>
      <w:r w:rsidRPr="00B04B41">
        <w:rPr>
          <w:lang w:val="fr-CH" w:eastAsia="ar-SA"/>
        </w:rPr>
        <w:t>Chauffés, un dispositif de chauffage électrique (résistance, etc.) y est positionné, le tout conformément aux points 2.1.2 et 2.1.3 du présent appendice où le volume à vide et les surfaces intérieures de la caisse correspondent, respectivement, au volume à vide et des surfaces intérieures de chacun des compartiments considérés.</w:t>
      </w:r>
    </w:p>
    <w:p w:rsidR="00B211EE" w:rsidRPr="00B04B41" w:rsidRDefault="00B211EE" w:rsidP="00B211EE">
      <w:pPr>
        <w:pStyle w:val="SingleTxtG"/>
        <w:rPr>
          <w:lang w:val="fr-CH" w:eastAsia="ar-SA"/>
        </w:rPr>
      </w:pPr>
      <w:r w:rsidRPr="00B04B41">
        <w:rPr>
          <w:lang w:val="fr-CH" w:eastAsia="ar-SA"/>
        </w:rPr>
        <w:t>La température moyenne de la chambre isotherme est maintenue pendant toute la durée de l'essai, uniforme et constante comme indiqué au paragraphe 1.7 du présent appendice, à un niveau tel que l'écart de température existant entre l'intérieur de la caisse et la chambre isotherme soit:</w:t>
      </w:r>
    </w:p>
    <w:p w:rsidR="00B211EE" w:rsidRPr="00705D68" w:rsidRDefault="00B211EE" w:rsidP="00B211EE">
      <w:pPr>
        <w:pStyle w:val="SingleTxtG"/>
        <w:numPr>
          <w:ilvl w:val="0"/>
          <w:numId w:val="1"/>
        </w:numPr>
        <w:tabs>
          <w:tab w:val="clear" w:pos="1701"/>
        </w:tabs>
        <w:ind w:left="2268" w:hanging="567"/>
      </w:pPr>
      <w:r w:rsidRPr="00B04B41">
        <w:rPr>
          <w:lang w:val="fr-CH" w:eastAsia="ar-SA"/>
        </w:rPr>
        <w:t>De 25 °C ± 1 K, la température moyenne des parois de la caisse, pour le compartiment considéré, étant maintenue à + 20 °C ± 0,25 K pour les compartiments à 7,5 °C; ou</w:t>
      </w:r>
    </w:p>
    <w:p w:rsidR="00B211EE" w:rsidRPr="00705D68" w:rsidRDefault="00B211EE" w:rsidP="00B211EE">
      <w:pPr>
        <w:pStyle w:val="SingleTxtG"/>
        <w:numPr>
          <w:ilvl w:val="0"/>
          <w:numId w:val="1"/>
        </w:numPr>
        <w:tabs>
          <w:tab w:val="clear" w:pos="1701"/>
        </w:tabs>
        <w:ind w:left="2268" w:hanging="567"/>
      </w:pPr>
      <w:r w:rsidRPr="00B04B41">
        <w:rPr>
          <w:lang w:val="fr-CH" w:eastAsia="ar-SA"/>
        </w:rPr>
        <w:t>De 0 °C ± 1 K, la température moyenne des parois de la caisse, pour le compartiment considéré, étant maintenue à + 32,5 °C ± 0,25 K pour les compartiments à 32,5 °C.</w:t>
      </w:r>
    </w:p>
    <w:p w:rsidR="00B211EE" w:rsidRPr="00B04B41" w:rsidRDefault="00B211EE" w:rsidP="00B211EE">
      <w:pPr>
        <w:pStyle w:val="SingleTxtG"/>
        <w:rPr>
          <w:b/>
          <w:lang w:val="fr-CH" w:eastAsia="ar-SA"/>
        </w:rPr>
      </w:pPr>
      <w:r w:rsidRPr="00B04B41">
        <w:rPr>
          <w:lang w:val="fr-CH" w:eastAsia="ar-SA"/>
        </w:rPr>
        <w:t>Le tout conformément aux points 2.1.5, 2.1.6, 2.1.7 et 2.1.8 du présent appendice.</w:t>
      </w:r>
    </w:p>
    <w:p w:rsidR="00B211EE" w:rsidRPr="00B04B41" w:rsidRDefault="00B211EE" w:rsidP="00B211EE">
      <w:pPr>
        <w:pStyle w:val="SingleTxtG"/>
        <w:rPr>
          <w:lang w:val="fr-CH" w:eastAsia="ar-SA"/>
        </w:rPr>
      </w:pPr>
      <w:r w:rsidRPr="00B04B41">
        <w:rPr>
          <w:lang w:val="fr-CH" w:eastAsia="ar-SA"/>
        </w:rPr>
        <w:t>Le coefficient K de la cloison interne fixe est défini par la relation suivante:</w:t>
      </w:r>
    </w:p>
    <w:p w:rsidR="00B211EE" w:rsidRDefault="00B211EE" w:rsidP="00B211EE">
      <w:pPr>
        <w:ind w:left="1134" w:right="1134"/>
        <w:jc w:val="center"/>
        <w:rPr>
          <w:lang w:eastAsia="ar-SA"/>
        </w:rPr>
      </w:pPr>
      <w:r>
        <w:rPr>
          <w:position w:val="-18"/>
        </w:rPr>
        <w:object w:dxaOrig="1124" w:dyaOrig="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8.5pt" o:ole="" filled="t">
            <v:fill color2="black"/>
            <v:imagedata r:id="rId9" o:title=""/>
          </v:shape>
          <o:OLEObject Type="Embed" ProgID="Equation.3" ShapeID="_x0000_i1025" DrawAspect="Content" ObjectID="_1563355230" r:id="rId10"/>
        </w:object>
      </w:r>
    </w:p>
    <w:p w:rsidR="00B211EE" w:rsidRPr="00B04B41" w:rsidRDefault="00B211EE" w:rsidP="00B211EE">
      <w:pPr>
        <w:pStyle w:val="SingleTxtG"/>
        <w:rPr>
          <w:lang w:val="fr-CH" w:eastAsia="ar-SA"/>
        </w:rPr>
      </w:pPr>
      <w:r w:rsidRPr="00B04B41">
        <w:rPr>
          <w:lang w:val="fr-CH" w:eastAsia="ar-SA"/>
        </w:rPr>
        <w:t xml:space="preserve">Où W est la puissance de chauffage ou de refroidissement, selon le cas, nécessaire pour maintenir en régime permanent l'écart en valeur absolue </w:t>
      </w:r>
      <w:r>
        <w:rPr>
          <w:lang w:eastAsia="ar-SA"/>
        </w:rPr>
        <w:t>Δ</w:t>
      </w:r>
      <w:r w:rsidRPr="00B04B41">
        <w:rPr>
          <w:lang w:val="fr-CH" w:eastAsia="ar-SA"/>
        </w:rPr>
        <w:t>T entre les températures moyennes intérieure Ti des compartiments fermés par la cloison interne mobile ou fixe, lorsque la température moyenne extérieure Te est constante, pour la surface d’échange de la cloison S.</w:t>
      </w:r>
    </w:p>
    <w:p w:rsidR="00B211EE" w:rsidRPr="00B04B41" w:rsidRDefault="00B211EE" w:rsidP="00B211EE">
      <w:pPr>
        <w:pStyle w:val="SingleTxtG"/>
        <w:rPr>
          <w:lang w:val="fr-CH" w:eastAsia="ar-SA"/>
        </w:rPr>
      </w:pPr>
      <w:r w:rsidRPr="00B04B41">
        <w:rPr>
          <w:lang w:val="fr-CH" w:eastAsia="ar-SA"/>
        </w:rPr>
        <w:t xml:space="preserve">Il sera fait mention, dans le rapport d’essais, du type de matériau revêtant la surface du plancher sur lequel la cloison repose. </w:t>
      </w:r>
    </w:p>
    <w:p w:rsidR="00B211EE" w:rsidRPr="00B04B41" w:rsidRDefault="00B211EE" w:rsidP="00B211EE">
      <w:pPr>
        <w:pStyle w:val="SingleTxtG"/>
        <w:rPr>
          <w:lang w:val="fr-CH"/>
        </w:rPr>
      </w:pPr>
      <w:r w:rsidRPr="00B04B41">
        <w:rPr>
          <w:lang w:val="fr-CH" w:eastAsia="ar-SA"/>
        </w:rPr>
        <w:t>L’incertitude sur la valeur du coefficient K respecte les limites du po</w:t>
      </w:r>
      <w:r>
        <w:rPr>
          <w:lang w:val="fr-CH" w:eastAsia="ar-SA"/>
        </w:rPr>
        <w:t>int 2.3.2 du présent appendice.».</w:t>
      </w:r>
    </w:p>
    <w:p w:rsidR="00B211EE" w:rsidRDefault="00B211EE" w:rsidP="00B211EE">
      <w:pPr>
        <w:pStyle w:val="H1G"/>
        <w:pageBreakBefore/>
      </w:pPr>
      <w:r w:rsidRPr="00B04B41">
        <w:rPr>
          <w:lang w:val="fr-CH"/>
        </w:rPr>
        <w:lastRenderedPageBreak/>
        <w:tab/>
      </w:r>
      <w:r>
        <w:rPr>
          <w:lang w:val="fr-CH"/>
        </w:rPr>
        <w:t>II.</w:t>
      </w:r>
      <w:r w:rsidRPr="00B04B41">
        <w:rPr>
          <w:lang w:val="fr-CH"/>
        </w:rPr>
        <w:tab/>
      </w:r>
      <w:r>
        <w:t>Justification</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1559"/>
        <w:gridCol w:w="5953"/>
      </w:tblGrid>
      <w:tr w:rsidR="00B211EE" w:rsidRPr="00B04B41" w:rsidTr="00417E47">
        <w:tc>
          <w:tcPr>
            <w:tcW w:w="1559" w:type="dxa"/>
            <w:tcBorders>
              <w:top w:val="none" w:sz="1" w:space="0" w:color="000000"/>
              <w:left w:val="none" w:sz="1" w:space="0" w:color="000000"/>
              <w:bottom w:val="none" w:sz="1" w:space="0" w:color="000000"/>
            </w:tcBorders>
            <w:shd w:val="clear" w:color="auto" w:fill="auto"/>
          </w:tcPr>
          <w:p w:rsidR="00B211EE" w:rsidRDefault="00B211EE" w:rsidP="00417E47">
            <w:pPr>
              <w:pStyle w:val="SingleTxtG"/>
              <w:spacing w:before="57" w:after="57" w:line="240" w:lineRule="auto"/>
              <w:ind w:left="0" w:right="0"/>
            </w:pPr>
            <w:r>
              <w:t>Coût</w:t>
            </w:r>
          </w:p>
        </w:tc>
        <w:tc>
          <w:tcPr>
            <w:tcW w:w="5953" w:type="dxa"/>
            <w:tcBorders>
              <w:top w:val="none" w:sz="1" w:space="0" w:color="000000"/>
              <w:left w:val="none" w:sz="1" w:space="0" w:color="000000"/>
              <w:bottom w:val="none" w:sz="1" w:space="0" w:color="000000"/>
              <w:right w:val="none" w:sz="1" w:space="0" w:color="000000"/>
            </w:tcBorders>
            <w:shd w:val="clear" w:color="auto" w:fill="auto"/>
          </w:tcPr>
          <w:p w:rsidR="00B211EE" w:rsidRPr="00B04B41" w:rsidRDefault="00B211EE" w:rsidP="00417E47">
            <w:pPr>
              <w:pStyle w:val="SingleTxtG"/>
              <w:spacing w:before="57" w:after="57" w:line="240" w:lineRule="auto"/>
              <w:ind w:left="0" w:right="0"/>
              <w:rPr>
                <w:lang w:val="fr-CH"/>
              </w:rPr>
            </w:pPr>
            <w:r w:rsidRPr="00B04B41">
              <w:rPr>
                <w:lang w:val="fr-CH"/>
              </w:rPr>
              <w:t>Cette proposition ouvre une nouvelle possibilité; elle n'impose donc aucun coût direct.</w:t>
            </w:r>
          </w:p>
          <w:p w:rsidR="00B211EE" w:rsidRPr="00B04B41" w:rsidRDefault="00B211EE" w:rsidP="00417E47">
            <w:pPr>
              <w:pStyle w:val="SingleTxtG"/>
              <w:spacing w:before="57" w:after="57" w:line="240" w:lineRule="auto"/>
              <w:ind w:left="0" w:right="0"/>
              <w:rPr>
                <w:lang w:val="fr-CH"/>
              </w:rPr>
            </w:pPr>
            <w:r w:rsidRPr="00B04B41">
              <w:rPr>
                <w:lang w:val="fr-CH"/>
              </w:rPr>
              <w:t>Pour les fabricants d'équipements qui utiliseront cette méthode, le test ainsi proposé représentera un coût qui est susceptible d'être récupéré par un meilleur dimensionnement des cloisons internes fixes.</w:t>
            </w:r>
          </w:p>
        </w:tc>
      </w:tr>
      <w:tr w:rsidR="00B211EE" w:rsidTr="00417E47">
        <w:tc>
          <w:tcPr>
            <w:tcW w:w="1559" w:type="dxa"/>
            <w:tcBorders>
              <w:left w:val="none" w:sz="1" w:space="0" w:color="000000"/>
              <w:bottom w:val="none" w:sz="1" w:space="0" w:color="000000"/>
            </w:tcBorders>
            <w:shd w:val="clear" w:color="auto" w:fill="auto"/>
          </w:tcPr>
          <w:p w:rsidR="00B211EE" w:rsidRDefault="00B211EE" w:rsidP="00417E47">
            <w:pPr>
              <w:pStyle w:val="SingleTxtG"/>
              <w:spacing w:before="57" w:after="57" w:line="240" w:lineRule="auto"/>
              <w:ind w:left="0" w:right="0"/>
            </w:pPr>
            <w:r>
              <w:t>Faisabilité</w:t>
            </w:r>
          </w:p>
        </w:tc>
        <w:tc>
          <w:tcPr>
            <w:tcW w:w="5953" w:type="dxa"/>
            <w:tcBorders>
              <w:left w:val="none" w:sz="1" w:space="0" w:color="000000"/>
              <w:bottom w:val="none" w:sz="1" w:space="0" w:color="000000"/>
              <w:right w:val="none" w:sz="1" w:space="0" w:color="000000"/>
            </w:tcBorders>
            <w:shd w:val="clear" w:color="auto" w:fill="auto"/>
          </w:tcPr>
          <w:p w:rsidR="00B211EE" w:rsidRDefault="00B211EE" w:rsidP="00417E47">
            <w:pPr>
              <w:pStyle w:val="SingleTxtG"/>
              <w:spacing w:before="57" w:after="57" w:line="240" w:lineRule="auto"/>
              <w:ind w:left="0" w:right="0"/>
            </w:pPr>
            <w:r w:rsidRPr="00B04B41">
              <w:rPr>
                <w:lang w:val="fr-CH"/>
              </w:rPr>
              <w:t xml:space="preserve">La proposition de méthode faite ici adapte une méthode déjà décrite dans le présent accord. </w:t>
            </w:r>
            <w:r>
              <w:t>Sa faisabilité ne semble donc pas poser problème.</w:t>
            </w:r>
          </w:p>
        </w:tc>
      </w:tr>
      <w:tr w:rsidR="00B211EE" w:rsidRPr="00B04B41" w:rsidTr="00417E47">
        <w:tc>
          <w:tcPr>
            <w:tcW w:w="1559" w:type="dxa"/>
            <w:tcBorders>
              <w:left w:val="none" w:sz="1" w:space="0" w:color="000000"/>
              <w:bottom w:val="none" w:sz="1" w:space="0" w:color="000000"/>
            </w:tcBorders>
            <w:shd w:val="clear" w:color="auto" w:fill="auto"/>
          </w:tcPr>
          <w:p w:rsidR="00B211EE" w:rsidRDefault="00B211EE" w:rsidP="00417E47">
            <w:pPr>
              <w:spacing w:before="57" w:after="57" w:line="240" w:lineRule="auto"/>
            </w:pPr>
            <w:r>
              <w:t>Impact sur l’environnement</w:t>
            </w:r>
          </w:p>
        </w:tc>
        <w:tc>
          <w:tcPr>
            <w:tcW w:w="5953" w:type="dxa"/>
            <w:tcBorders>
              <w:left w:val="none" w:sz="1" w:space="0" w:color="000000"/>
              <w:bottom w:val="none" w:sz="1" w:space="0" w:color="000000"/>
              <w:right w:val="none" w:sz="1" w:space="0" w:color="000000"/>
            </w:tcBorders>
            <w:shd w:val="clear" w:color="auto" w:fill="auto"/>
          </w:tcPr>
          <w:p w:rsidR="00B211EE" w:rsidRPr="00B04B41" w:rsidRDefault="00B211EE" w:rsidP="00417E47">
            <w:pPr>
              <w:spacing w:before="57" w:after="57" w:line="240" w:lineRule="auto"/>
            </w:pPr>
            <w:r w:rsidRPr="00B04B41">
              <w:t>La présente proposition vise un dimensionnement plus précis des cloisons internes fixes et, ainsi, une possible économie en matériaux d'isolation.</w:t>
            </w:r>
          </w:p>
        </w:tc>
      </w:tr>
      <w:tr w:rsidR="00B211EE" w:rsidRPr="00B04B41" w:rsidTr="00417E47">
        <w:tc>
          <w:tcPr>
            <w:tcW w:w="1559" w:type="dxa"/>
            <w:tcBorders>
              <w:left w:val="none" w:sz="1" w:space="0" w:color="000000"/>
              <w:bottom w:val="none" w:sz="1" w:space="0" w:color="000000"/>
            </w:tcBorders>
            <w:shd w:val="clear" w:color="auto" w:fill="auto"/>
          </w:tcPr>
          <w:p w:rsidR="00B211EE" w:rsidRDefault="00B211EE" w:rsidP="00417E47">
            <w:pPr>
              <w:pStyle w:val="SingleTxtG"/>
              <w:spacing w:before="57" w:after="57" w:line="240" w:lineRule="auto"/>
              <w:ind w:left="0" w:right="0"/>
            </w:pPr>
            <w:r>
              <w:t>Application effective</w:t>
            </w:r>
          </w:p>
        </w:tc>
        <w:tc>
          <w:tcPr>
            <w:tcW w:w="5953" w:type="dxa"/>
            <w:tcBorders>
              <w:left w:val="none" w:sz="1" w:space="0" w:color="000000"/>
              <w:bottom w:val="none" w:sz="1" w:space="0" w:color="000000"/>
              <w:right w:val="none" w:sz="1" w:space="0" w:color="000000"/>
            </w:tcBorders>
            <w:shd w:val="clear" w:color="auto" w:fill="auto"/>
          </w:tcPr>
          <w:p w:rsidR="00B211EE" w:rsidRPr="00B04B41" w:rsidRDefault="00B211EE" w:rsidP="00417E47">
            <w:pPr>
              <w:pStyle w:val="SingleTxtG"/>
              <w:spacing w:before="57" w:after="57" w:line="240" w:lineRule="auto"/>
              <w:ind w:left="0" w:right="0"/>
              <w:rPr>
                <w:lang w:val="fr-CH"/>
              </w:rPr>
            </w:pPr>
            <w:r w:rsidRPr="00B04B41">
              <w:rPr>
                <w:lang w:val="fr-CH"/>
              </w:rPr>
              <w:t>L’application de cette nouvelle possibilité ne sera qu’optionnelle.</w:t>
            </w:r>
          </w:p>
        </w:tc>
      </w:tr>
    </w:tbl>
    <w:p w:rsidR="002D0E27" w:rsidRPr="00B211EE" w:rsidRDefault="00B211EE" w:rsidP="00B211EE">
      <w:pPr>
        <w:spacing w:before="240"/>
        <w:ind w:left="1134" w:right="1134"/>
        <w:jc w:val="center"/>
        <w:rPr>
          <w:u w:val="single"/>
        </w:rPr>
      </w:pPr>
      <w:r>
        <w:rPr>
          <w:u w:val="single"/>
        </w:rPr>
        <w:tab/>
      </w:r>
      <w:r>
        <w:rPr>
          <w:u w:val="single"/>
        </w:rPr>
        <w:tab/>
      </w:r>
      <w:r>
        <w:rPr>
          <w:u w:val="single"/>
        </w:rPr>
        <w:tab/>
      </w:r>
      <w:bookmarkStart w:id="0" w:name="_GoBack"/>
      <w:bookmarkEnd w:id="0"/>
    </w:p>
    <w:sectPr w:rsidR="002D0E27" w:rsidRPr="00B211EE" w:rsidSect="00B211E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EE" w:rsidRDefault="00B211EE"/>
  </w:endnote>
  <w:endnote w:type="continuationSeparator" w:id="0">
    <w:p w:rsidR="00B211EE" w:rsidRDefault="00B211EE"/>
  </w:endnote>
  <w:endnote w:type="continuationNotice" w:id="1">
    <w:p w:rsidR="00B211EE" w:rsidRDefault="00B2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E" w:rsidRPr="00B211EE" w:rsidRDefault="00B211EE" w:rsidP="00B211EE">
    <w:pPr>
      <w:pStyle w:val="Footer"/>
      <w:tabs>
        <w:tab w:val="right" w:pos="9638"/>
      </w:tabs>
      <w:rPr>
        <w:sz w:val="18"/>
      </w:rPr>
    </w:pPr>
    <w:r w:rsidRPr="00B211EE">
      <w:rPr>
        <w:b/>
        <w:sz w:val="18"/>
      </w:rPr>
      <w:fldChar w:fldCharType="begin"/>
    </w:r>
    <w:r w:rsidRPr="00B211EE">
      <w:rPr>
        <w:b/>
        <w:sz w:val="18"/>
      </w:rPr>
      <w:instrText xml:space="preserve"> PAGE  \* MERGEFORMAT </w:instrText>
    </w:r>
    <w:r w:rsidRPr="00B211EE">
      <w:rPr>
        <w:b/>
        <w:sz w:val="18"/>
      </w:rPr>
      <w:fldChar w:fldCharType="separate"/>
    </w:r>
    <w:r>
      <w:rPr>
        <w:b/>
        <w:noProof/>
        <w:sz w:val="18"/>
      </w:rPr>
      <w:t>2</w:t>
    </w:r>
    <w:r w:rsidRPr="00B211E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E" w:rsidRPr="00B211EE" w:rsidRDefault="00B211EE" w:rsidP="00B211EE">
    <w:pPr>
      <w:pStyle w:val="Footer"/>
      <w:tabs>
        <w:tab w:val="right" w:pos="9638"/>
      </w:tabs>
      <w:rPr>
        <w:b/>
        <w:sz w:val="18"/>
      </w:rPr>
    </w:pPr>
    <w:r>
      <w:tab/>
    </w:r>
    <w:r w:rsidRPr="00B211EE">
      <w:rPr>
        <w:b/>
        <w:sz w:val="18"/>
      </w:rPr>
      <w:fldChar w:fldCharType="begin"/>
    </w:r>
    <w:r w:rsidRPr="00B211EE">
      <w:rPr>
        <w:b/>
        <w:sz w:val="18"/>
      </w:rPr>
      <w:instrText xml:space="preserve"> PAGE  \* MERGEFORMAT </w:instrText>
    </w:r>
    <w:r w:rsidRPr="00B211EE">
      <w:rPr>
        <w:b/>
        <w:sz w:val="18"/>
      </w:rPr>
      <w:fldChar w:fldCharType="separate"/>
    </w:r>
    <w:r>
      <w:rPr>
        <w:b/>
        <w:noProof/>
        <w:sz w:val="18"/>
      </w:rPr>
      <w:t>5</w:t>
    </w:r>
    <w:r w:rsidRPr="00B211E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EE" w:rsidRPr="00D27D5E" w:rsidRDefault="00B211EE" w:rsidP="00D27D5E">
      <w:pPr>
        <w:tabs>
          <w:tab w:val="right" w:pos="2155"/>
        </w:tabs>
        <w:spacing w:after="80"/>
        <w:ind w:left="680"/>
        <w:rPr>
          <w:u w:val="single"/>
        </w:rPr>
      </w:pPr>
      <w:r>
        <w:rPr>
          <w:u w:val="single"/>
        </w:rPr>
        <w:tab/>
      </w:r>
    </w:p>
  </w:footnote>
  <w:footnote w:type="continuationSeparator" w:id="0">
    <w:p w:rsidR="00B211EE" w:rsidRPr="00CC68E4" w:rsidRDefault="00B211EE" w:rsidP="00CC68E4">
      <w:pPr>
        <w:tabs>
          <w:tab w:val="left" w:pos="2155"/>
        </w:tabs>
        <w:spacing w:after="80"/>
        <w:ind w:left="680"/>
        <w:rPr>
          <w:u w:val="single"/>
        </w:rPr>
      </w:pPr>
      <w:r w:rsidRPr="00CC68E4">
        <w:rPr>
          <w:u w:val="single"/>
        </w:rPr>
        <w:tab/>
      </w:r>
    </w:p>
  </w:footnote>
  <w:footnote w:type="continuationNotice" w:id="1">
    <w:p w:rsidR="00B211EE" w:rsidRDefault="00B211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E" w:rsidRPr="00B211EE" w:rsidRDefault="00B211EE">
    <w:pPr>
      <w:pStyle w:val="Header"/>
    </w:pPr>
    <w:r>
      <w:t>ECE/TRANS/WP.11/2017/7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EE" w:rsidRPr="00B211EE" w:rsidRDefault="00B211EE" w:rsidP="00B211EE">
    <w:pPr>
      <w:pStyle w:val="Header"/>
      <w:jc w:val="right"/>
    </w:pPr>
    <w:r>
      <w:t>ECE/TRANS/WP.11/2017/7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EE"/>
    <w:rsid w:val="00016AC5"/>
    <w:rsid w:val="00030ADE"/>
    <w:rsid w:val="00072032"/>
    <w:rsid w:val="000F41F2"/>
    <w:rsid w:val="00135C0D"/>
    <w:rsid w:val="00160540"/>
    <w:rsid w:val="00172839"/>
    <w:rsid w:val="00177007"/>
    <w:rsid w:val="00186EE9"/>
    <w:rsid w:val="00192EEB"/>
    <w:rsid w:val="001A20FB"/>
    <w:rsid w:val="001B6F40"/>
    <w:rsid w:val="001D7F8A"/>
    <w:rsid w:val="001E3FEB"/>
    <w:rsid w:val="001E4A02"/>
    <w:rsid w:val="00223B89"/>
    <w:rsid w:val="00225A8C"/>
    <w:rsid w:val="002659F1"/>
    <w:rsid w:val="00270983"/>
    <w:rsid w:val="00287E79"/>
    <w:rsid w:val="002928F9"/>
    <w:rsid w:val="002A5D07"/>
    <w:rsid w:val="002A60A5"/>
    <w:rsid w:val="002D0E27"/>
    <w:rsid w:val="003016B7"/>
    <w:rsid w:val="00340C35"/>
    <w:rsid w:val="003515AA"/>
    <w:rsid w:val="00370E0F"/>
    <w:rsid w:val="00374106"/>
    <w:rsid w:val="003976D5"/>
    <w:rsid w:val="003A3B0D"/>
    <w:rsid w:val="003C1B1D"/>
    <w:rsid w:val="003D1DF3"/>
    <w:rsid w:val="003D46A7"/>
    <w:rsid w:val="003D6C68"/>
    <w:rsid w:val="004159D0"/>
    <w:rsid w:val="004249E7"/>
    <w:rsid w:val="004963DE"/>
    <w:rsid w:val="004A7FCC"/>
    <w:rsid w:val="005046DB"/>
    <w:rsid w:val="00543D5E"/>
    <w:rsid w:val="00571F41"/>
    <w:rsid w:val="005E5D1F"/>
    <w:rsid w:val="00603391"/>
    <w:rsid w:val="00611D43"/>
    <w:rsid w:val="00612D48"/>
    <w:rsid w:val="00616B45"/>
    <w:rsid w:val="00630D9B"/>
    <w:rsid w:val="00631953"/>
    <w:rsid w:val="006439EC"/>
    <w:rsid w:val="00652353"/>
    <w:rsid w:val="006B4590"/>
    <w:rsid w:val="006C340C"/>
    <w:rsid w:val="0070347C"/>
    <w:rsid w:val="007176C1"/>
    <w:rsid w:val="007B5228"/>
    <w:rsid w:val="007F55CB"/>
    <w:rsid w:val="008107F5"/>
    <w:rsid w:val="008317F6"/>
    <w:rsid w:val="00844750"/>
    <w:rsid w:val="008B44C4"/>
    <w:rsid w:val="008B7879"/>
    <w:rsid w:val="008E7FAE"/>
    <w:rsid w:val="00911BF7"/>
    <w:rsid w:val="00977EC8"/>
    <w:rsid w:val="009B09B2"/>
    <w:rsid w:val="009D3A8C"/>
    <w:rsid w:val="009E7956"/>
    <w:rsid w:val="00A2492E"/>
    <w:rsid w:val="00A70163"/>
    <w:rsid w:val="00A87827"/>
    <w:rsid w:val="00AC67A1"/>
    <w:rsid w:val="00AC7977"/>
    <w:rsid w:val="00AE352C"/>
    <w:rsid w:val="00B211EE"/>
    <w:rsid w:val="00B32E2D"/>
    <w:rsid w:val="00B4466B"/>
    <w:rsid w:val="00B61990"/>
    <w:rsid w:val="00B85D99"/>
    <w:rsid w:val="00BF0556"/>
    <w:rsid w:val="00C261F8"/>
    <w:rsid w:val="00C33100"/>
    <w:rsid w:val="00C940E9"/>
    <w:rsid w:val="00CC68E4"/>
    <w:rsid w:val="00CD1A71"/>
    <w:rsid w:val="00CD1FBB"/>
    <w:rsid w:val="00D016B5"/>
    <w:rsid w:val="00D034F1"/>
    <w:rsid w:val="00D11B17"/>
    <w:rsid w:val="00D27D5E"/>
    <w:rsid w:val="00DA57D4"/>
    <w:rsid w:val="00DB4793"/>
    <w:rsid w:val="00DE01E3"/>
    <w:rsid w:val="00DE6D90"/>
    <w:rsid w:val="00DF002F"/>
    <w:rsid w:val="00E0244D"/>
    <w:rsid w:val="00E55D71"/>
    <w:rsid w:val="00E64876"/>
    <w:rsid w:val="00E81E94"/>
    <w:rsid w:val="00E82607"/>
    <w:rsid w:val="00EA31C2"/>
    <w:rsid w:val="00EC73F8"/>
    <w:rsid w:val="00EE2EA3"/>
    <w:rsid w:val="00F0151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DED22A"/>
  <w15:docId w15:val="{F536DA15-6D09-4EA8-A734-B07B1C7C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ECE_F</Template>
  <TotalTime>9</TotalTime>
  <Pages>5</Pages>
  <Words>1262</Words>
  <Characters>7197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Marie-Claude Collet</cp:lastModifiedBy>
  <cp:revision>1</cp:revision>
  <cp:lastPrinted>2008-02-01T15:27:00Z</cp:lastPrinted>
  <dcterms:created xsi:type="dcterms:W3CDTF">2017-08-04T10:24:00Z</dcterms:created>
  <dcterms:modified xsi:type="dcterms:W3CDTF">2017-08-04T10:34:00Z</dcterms:modified>
</cp:coreProperties>
</file>