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597159">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597159" w:rsidP="00597159">
            <w:pPr>
              <w:jc w:val="right"/>
            </w:pPr>
            <w:r w:rsidRPr="00597159">
              <w:rPr>
                <w:sz w:val="40"/>
              </w:rPr>
              <w:t>ECE</w:t>
            </w:r>
            <w:r>
              <w:t>/TRANS/WP.11/2017/3</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597159" w:rsidP="00295CCA">
            <w:pPr>
              <w:spacing w:before="240"/>
            </w:pPr>
            <w:r>
              <w:t>Distr. générale</w:t>
            </w:r>
          </w:p>
          <w:p w:rsidR="00597159" w:rsidRDefault="00842D43" w:rsidP="00597159">
            <w:pPr>
              <w:spacing w:line="240" w:lineRule="exact"/>
            </w:pPr>
            <w:r>
              <w:t>25 juillet 2017</w:t>
            </w:r>
          </w:p>
          <w:p w:rsidR="00597159" w:rsidRDefault="00597159" w:rsidP="00597159">
            <w:pPr>
              <w:spacing w:line="240" w:lineRule="exact"/>
            </w:pPr>
            <w:r>
              <w:t>Français</w:t>
            </w:r>
          </w:p>
          <w:p w:rsidR="00597159" w:rsidRPr="00DB58B5" w:rsidRDefault="00842D43" w:rsidP="00597159">
            <w:pPr>
              <w:spacing w:line="240" w:lineRule="exact"/>
            </w:pPr>
            <w:r>
              <w:t>Original :</w:t>
            </w:r>
            <w:r w:rsidR="00597159">
              <w:t xml:space="preserve">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9E0B0D" w:rsidRPr="009E0B0D" w:rsidRDefault="009E0B0D" w:rsidP="009E0B0D">
      <w:pPr>
        <w:spacing w:before="120" w:after="120"/>
        <w:rPr>
          <w:sz w:val="28"/>
          <w:szCs w:val="28"/>
        </w:rPr>
      </w:pPr>
      <w:r w:rsidRPr="009E0B0D">
        <w:rPr>
          <w:sz w:val="28"/>
          <w:szCs w:val="28"/>
          <w:lang w:val="fr-FR"/>
        </w:rPr>
        <w:t>Comité des transports intérieurs</w:t>
      </w:r>
    </w:p>
    <w:p w:rsidR="009E0B0D" w:rsidRPr="009E0B0D" w:rsidRDefault="009E0B0D" w:rsidP="009E0B0D">
      <w:pPr>
        <w:rPr>
          <w:b/>
          <w:sz w:val="24"/>
          <w:szCs w:val="24"/>
        </w:rPr>
      </w:pPr>
      <w:r w:rsidRPr="009E0B0D">
        <w:rPr>
          <w:b/>
          <w:sz w:val="24"/>
          <w:szCs w:val="24"/>
          <w:lang w:val="fr-FR"/>
        </w:rPr>
        <w:t>Groupe de travail du transports des denrées périssables</w:t>
      </w:r>
    </w:p>
    <w:p w:rsidR="009E0B0D" w:rsidRPr="009E0B0D" w:rsidRDefault="009E0B0D" w:rsidP="00A11B56">
      <w:pPr>
        <w:spacing w:before="120"/>
      </w:pPr>
      <w:r w:rsidRPr="009E0B0D">
        <w:rPr>
          <w:lang w:val="fr-FR"/>
        </w:rPr>
        <w:t>Soixante-treizième session</w:t>
      </w:r>
    </w:p>
    <w:p w:rsidR="009E0B0D" w:rsidRPr="009E0B0D" w:rsidRDefault="009E0B0D" w:rsidP="009E0B0D">
      <w:r w:rsidRPr="009E0B0D">
        <w:rPr>
          <w:lang w:val="fr-FR"/>
        </w:rPr>
        <w:t>Genève, 10-13 octobre 2017</w:t>
      </w:r>
    </w:p>
    <w:p w:rsidR="009E0B0D" w:rsidRPr="009E0B0D" w:rsidRDefault="009E0B0D" w:rsidP="009E0B0D">
      <w:r w:rsidRPr="009E0B0D">
        <w:rPr>
          <w:lang w:val="fr-FR"/>
        </w:rPr>
        <w:t>Point 9 de l’ordre du jour provisoire</w:t>
      </w:r>
    </w:p>
    <w:p w:rsidR="009E0B0D" w:rsidRPr="009E0B0D" w:rsidRDefault="009E0B0D" w:rsidP="009E0B0D">
      <w:pPr>
        <w:rPr>
          <w:b/>
        </w:rPr>
      </w:pPr>
      <w:r w:rsidRPr="009E0B0D">
        <w:rPr>
          <w:b/>
          <w:lang w:val="fr-FR"/>
        </w:rPr>
        <w:t>Programme de travail et évaluation biennale</w:t>
      </w:r>
    </w:p>
    <w:p w:rsidR="009E0B0D" w:rsidRPr="009E0B0D" w:rsidRDefault="009E0B0D" w:rsidP="009E0B0D">
      <w:pPr>
        <w:pStyle w:val="HChG"/>
      </w:pPr>
      <w:r w:rsidRPr="009E0B0D">
        <w:rPr>
          <w:lang w:val="fr-FR"/>
        </w:rPr>
        <w:tab/>
      </w:r>
      <w:r w:rsidRPr="009E0B0D">
        <w:rPr>
          <w:lang w:val="fr-FR"/>
        </w:rPr>
        <w:tab/>
        <w:t>Évaluation biennale et programme de travail</w:t>
      </w:r>
    </w:p>
    <w:p w:rsidR="009E0B0D" w:rsidRPr="009E0B0D" w:rsidRDefault="009E0B0D" w:rsidP="009E0B0D">
      <w:pPr>
        <w:pStyle w:val="H1G"/>
      </w:pPr>
      <w:r w:rsidRPr="009E0B0D">
        <w:rPr>
          <w:lang w:val="fr-FR"/>
        </w:rPr>
        <w:tab/>
      </w:r>
      <w:r w:rsidRPr="009E0B0D">
        <w:rPr>
          <w:lang w:val="fr-FR"/>
        </w:rPr>
        <w:tab/>
        <w:t>Note du secrétariat</w:t>
      </w:r>
    </w:p>
    <w:p w:rsidR="009E0B0D" w:rsidRPr="009E0B0D" w:rsidRDefault="009E0B0D" w:rsidP="009E0B0D">
      <w:pPr>
        <w:pStyle w:val="SingleTxtG"/>
      </w:pPr>
      <w:r w:rsidRPr="009E0B0D">
        <w:rPr>
          <w:lang w:val="fr-FR"/>
        </w:rPr>
        <w:t>1.</w:t>
      </w:r>
      <w:r w:rsidRPr="009E0B0D">
        <w:rPr>
          <w:lang w:val="fr-FR"/>
        </w:rPr>
        <w:tab/>
        <w:t>Le WP.11 examine et approuve son projet de programme de travail tous les deux ans. Une fois adopté par le WP.11, le projet de programme de travail est transmis au Comité des transports intérieurs et, une fois adopté par le Comité, il devient partie intégrante du programme de travail de celui-ci. Le projet de programme de travail pour 2018-2019 figure à l’annexe II.</w:t>
      </w:r>
    </w:p>
    <w:p w:rsidR="009E0B0D" w:rsidRPr="009E0B0D" w:rsidRDefault="009E0B0D" w:rsidP="009E0B0D">
      <w:pPr>
        <w:pStyle w:val="SingleTxtG"/>
      </w:pPr>
      <w:r w:rsidRPr="009E0B0D">
        <w:rPr>
          <w:lang w:val="fr-FR"/>
        </w:rPr>
        <w:t>2.</w:t>
      </w:r>
      <w:r w:rsidRPr="009E0B0D">
        <w:rPr>
          <w:lang w:val="fr-FR"/>
        </w:rPr>
        <w:tab/>
        <w:t xml:space="preserve">Le secrétariat souhaite également appeler l’attention du Groupe de travail sur l’objectif du sous-programme des transports figurant dans le cadre stratégique pour 2018-2019, qui est d’améliorer la viabilité des transports intérieurs en vue de les rendre sûrs, propres et compétitifs, à la fois pour le transport de marchandises et la mobilité des personnes. </w:t>
      </w:r>
    </w:p>
    <w:p w:rsidR="009E0B0D" w:rsidRPr="009E0B0D" w:rsidRDefault="009E0B0D" w:rsidP="009E0B0D">
      <w:pPr>
        <w:pStyle w:val="SingleTxtG"/>
      </w:pPr>
      <w:r w:rsidRPr="009E0B0D">
        <w:rPr>
          <w:lang w:val="fr-FR"/>
        </w:rPr>
        <w:t>3.</w:t>
      </w:r>
      <w:r w:rsidRPr="009E0B0D">
        <w:rPr>
          <w:lang w:val="fr-FR"/>
        </w:rPr>
        <w:tab/>
        <w:t>Comme lors des exercices biennaux précédents, le WP.11 devrait également élaborer un projet de réalisations escomptées se rapportant à son domaine d’activité ainsi que des indicateurs de succès correspondants.</w:t>
      </w:r>
    </w:p>
    <w:p w:rsidR="009E0B0D" w:rsidRPr="009E0B0D" w:rsidRDefault="009E0B0D" w:rsidP="009E0B0D">
      <w:pPr>
        <w:pStyle w:val="SingleTxtG"/>
      </w:pPr>
      <w:r w:rsidRPr="009E0B0D">
        <w:rPr>
          <w:lang w:val="fr-FR"/>
        </w:rPr>
        <w:t>4.</w:t>
      </w:r>
      <w:r w:rsidRPr="009E0B0D">
        <w:rPr>
          <w:lang w:val="fr-FR"/>
        </w:rPr>
        <w:tab/>
        <w:t>À sa soixante et onzième session, en 2015, le Groupe de travail a adopté la proposition présentée ci-dessous, qui a ensuite été approuvée par le Comité des transports intérieurs (CTI).</w:t>
      </w:r>
    </w:p>
    <w:p w:rsidR="009E0B0D" w:rsidRPr="009E0B0D" w:rsidRDefault="009E0B0D" w:rsidP="009E0B0D">
      <w:pPr>
        <w:pStyle w:val="H1G"/>
        <w:rPr>
          <w:rFonts w:eastAsia="MS Mincho"/>
        </w:rPr>
      </w:pPr>
      <w:r w:rsidRPr="009E0B0D">
        <w:rPr>
          <w:lang w:val="fr-FR"/>
        </w:rPr>
        <w:tab/>
        <w:t>A.</w:t>
      </w:r>
      <w:r w:rsidRPr="009E0B0D">
        <w:rPr>
          <w:lang w:val="fr-FR"/>
        </w:rPr>
        <w:tab/>
        <w:t xml:space="preserve">Réalisation escomptée </w:t>
      </w:r>
    </w:p>
    <w:p w:rsidR="009E0B0D" w:rsidRPr="009E0B0D" w:rsidRDefault="009E0B0D" w:rsidP="009E0B0D">
      <w:pPr>
        <w:pStyle w:val="SingleTxtG"/>
        <w:rPr>
          <w:rFonts w:eastAsia="MS Mincho"/>
        </w:rPr>
      </w:pPr>
      <w:r w:rsidRPr="009E0B0D">
        <w:rPr>
          <w:lang w:val="fr-FR"/>
        </w:rPr>
        <w:t>5.</w:t>
      </w:r>
      <w:r w:rsidRPr="009E0B0D">
        <w:rPr>
          <w:lang w:val="fr-FR"/>
        </w:rPr>
        <w:tab/>
        <w:t>Renforcement et mise à jour des prescriptions régissant le transport international des denrées périssables</w:t>
      </w:r>
      <w:r w:rsidR="00A11B56">
        <w:rPr>
          <w:lang w:val="fr-FR"/>
        </w:rPr>
        <w:t>.</w:t>
      </w:r>
    </w:p>
    <w:p w:rsidR="009E0B0D" w:rsidRPr="009E0B0D" w:rsidRDefault="009E0B0D" w:rsidP="00842D43">
      <w:pPr>
        <w:pStyle w:val="H1G"/>
        <w:rPr>
          <w:rFonts w:eastAsia="MS Mincho"/>
        </w:rPr>
      </w:pPr>
      <w:r w:rsidRPr="009E0B0D">
        <w:rPr>
          <w:lang w:val="fr-FR"/>
        </w:rPr>
        <w:lastRenderedPageBreak/>
        <w:tab/>
        <w:t>B</w:t>
      </w:r>
      <w:r w:rsidR="005A6F21">
        <w:rPr>
          <w:lang w:val="fr-FR"/>
        </w:rPr>
        <w:t>.</w:t>
      </w:r>
      <w:r w:rsidRPr="009E0B0D">
        <w:rPr>
          <w:lang w:val="fr-FR"/>
        </w:rPr>
        <w:tab/>
        <w:t>Indicateurs de succès</w:t>
      </w:r>
    </w:p>
    <w:tbl>
      <w:tblPr>
        <w:tblW w:w="8505" w:type="dxa"/>
        <w:tblInd w:w="1134" w:type="dxa"/>
        <w:tblLayout w:type="fixed"/>
        <w:tblCellMar>
          <w:left w:w="0" w:type="dxa"/>
          <w:right w:w="0" w:type="dxa"/>
        </w:tblCellMar>
        <w:tblLook w:val="01E0" w:firstRow="1" w:lastRow="1" w:firstColumn="1" w:lastColumn="1" w:noHBand="0" w:noVBand="0"/>
      </w:tblPr>
      <w:tblGrid>
        <w:gridCol w:w="1963"/>
        <w:gridCol w:w="2781"/>
        <w:gridCol w:w="3761"/>
      </w:tblGrid>
      <w:tr w:rsidR="009E0B0D" w:rsidRPr="009E0B0D" w:rsidTr="009E0B0D">
        <w:trPr>
          <w:tblHeader/>
        </w:trPr>
        <w:tc>
          <w:tcPr>
            <w:tcW w:w="1701" w:type="dxa"/>
            <w:tcBorders>
              <w:top w:val="single" w:sz="4" w:space="0" w:color="auto"/>
              <w:bottom w:val="single" w:sz="12" w:space="0" w:color="auto"/>
            </w:tcBorders>
            <w:shd w:val="clear" w:color="auto" w:fill="auto"/>
            <w:tcMar>
              <w:left w:w="57" w:type="dxa"/>
              <w:right w:w="57" w:type="dxa"/>
            </w:tcMar>
            <w:vAlign w:val="bottom"/>
          </w:tcPr>
          <w:p w:rsidR="009E0B0D" w:rsidRPr="009E0B0D" w:rsidRDefault="009E0B0D" w:rsidP="00842D43">
            <w:pPr>
              <w:keepNext/>
              <w:keepLines/>
              <w:spacing w:before="80" w:after="80" w:line="200" w:lineRule="exact"/>
              <w:ind w:right="113"/>
              <w:rPr>
                <w:i/>
                <w:sz w:val="16"/>
                <w:szCs w:val="24"/>
              </w:rPr>
            </w:pPr>
            <w:r w:rsidRPr="009E0B0D">
              <w:rPr>
                <w:i/>
                <w:sz w:val="16"/>
                <w:lang w:val="fr-FR"/>
              </w:rPr>
              <w:t>Module</w:t>
            </w:r>
          </w:p>
        </w:tc>
        <w:tc>
          <w:tcPr>
            <w:tcW w:w="2410" w:type="dxa"/>
            <w:tcBorders>
              <w:top w:val="single" w:sz="4" w:space="0" w:color="auto"/>
              <w:bottom w:val="single" w:sz="12" w:space="0" w:color="auto"/>
            </w:tcBorders>
            <w:shd w:val="clear" w:color="auto" w:fill="auto"/>
            <w:tcMar>
              <w:left w:w="57" w:type="dxa"/>
              <w:right w:w="57" w:type="dxa"/>
            </w:tcMar>
            <w:vAlign w:val="bottom"/>
          </w:tcPr>
          <w:p w:rsidR="009E0B0D" w:rsidRPr="009E0B0D" w:rsidRDefault="009E0B0D" w:rsidP="00842D43">
            <w:pPr>
              <w:keepNext/>
              <w:keepLines/>
              <w:spacing w:before="80" w:after="80" w:line="200" w:lineRule="exact"/>
              <w:ind w:right="113"/>
              <w:rPr>
                <w:i/>
                <w:sz w:val="16"/>
                <w:szCs w:val="24"/>
              </w:rPr>
            </w:pPr>
            <w:r w:rsidRPr="009E0B0D">
              <w:rPr>
                <w:i/>
                <w:sz w:val="16"/>
                <w:lang w:val="fr-FR"/>
              </w:rPr>
              <w:t>Réalisations escomptées</w:t>
            </w:r>
          </w:p>
        </w:tc>
        <w:tc>
          <w:tcPr>
            <w:tcW w:w="3259" w:type="dxa"/>
            <w:tcBorders>
              <w:top w:val="single" w:sz="4" w:space="0" w:color="auto"/>
              <w:bottom w:val="single" w:sz="12" w:space="0" w:color="auto"/>
            </w:tcBorders>
            <w:shd w:val="clear" w:color="auto" w:fill="auto"/>
            <w:tcMar>
              <w:left w:w="57" w:type="dxa"/>
              <w:right w:w="57" w:type="dxa"/>
            </w:tcMar>
            <w:vAlign w:val="bottom"/>
          </w:tcPr>
          <w:p w:rsidR="009E0B0D" w:rsidRPr="009E0B0D" w:rsidRDefault="009E0B0D" w:rsidP="00842D43">
            <w:pPr>
              <w:keepNext/>
              <w:keepLines/>
              <w:spacing w:before="80" w:after="80" w:line="200" w:lineRule="exact"/>
              <w:ind w:right="113"/>
              <w:rPr>
                <w:i/>
                <w:sz w:val="16"/>
                <w:szCs w:val="24"/>
              </w:rPr>
            </w:pPr>
            <w:r w:rsidRPr="009E0B0D">
              <w:rPr>
                <w:i/>
                <w:sz w:val="16"/>
                <w:lang w:val="fr-FR"/>
              </w:rPr>
              <w:t>Indicateurs de succès</w:t>
            </w:r>
          </w:p>
        </w:tc>
      </w:tr>
      <w:tr w:rsidR="009E0B0D" w:rsidRPr="009E0B0D" w:rsidTr="009E0B0D">
        <w:trPr>
          <w:trHeight w:hRule="exact" w:val="113"/>
          <w:tblHeader/>
        </w:trPr>
        <w:tc>
          <w:tcPr>
            <w:tcW w:w="1701" w:type="dxa"/>
            <w:tcBorders>
              <w:top w:val="single" w:sz="12" w:space="0" w:color="auto"/>
            </w:tcBorders>
            <w:shd w:val="clear" w:color="auto" w:fill="auto"/>
            <w:tcMar>
              <w:left w:w="57" w:type="dxa"/>
              <w:right w:w="57" w:type="dxa"/>
            </w:tcMar>
          </w:tcPr>
          <w:p w:rsidR="009E0B0D" w:rsidRPr="009E0B0D" w:rsidRDefault="009E0B0D" w:rsidP="00842D43">
            <w:pPr>
              <w:keepNext/>
              <w:keepLines/>
              <w:spacing w:before="40" w:after="120"/>
              <w:ind w:right="113"/>
              <w:rPr>
                <w:lang w:val="fr-FR"/>
              </w:rPr>
            </w:pPr>
          </w:p>
        </w:tc>
        <w:tc>
          <w:tcPr>
            <w:tcW w:w="2410" w:type="dxa"/>
            <w:tcBorders>
              <w:top w:val="single" w:sz="12" w:space="0" w:color="auto"/>
            </w:tcBorders>
            <w:shd w:val="clear" w:color="auto" w:fill="auto"/>
            <w:tcMar>
              <w:left w:w="57" w:type="dxa"/>
              <w:right w:w="57" w:type="dxa"/>
            </w:tcMar>
          </w:tcPr>
          <w:p w:rsidR="009E0B0D" w:rsidRPr="009E0B0D" w:rsidRDefault="009E0B0D" w:rsidP="00842D43">
            <w:pPr>
              <w:keepNext/>
              <w:keepLines/>
              <w:spacing w:before="40" w:after="120"/>
              <w:ind w:right="113"/>
              <w:rPr>
                <w:lang w:val="fr-FR"/>
              </w:rPr>
            </w:pPr>
          </w:p>
        </w:tc>
        <w:tc>
          <w:tcPr>
            <w:tcW w:w="3259" w:type="dxa"/>
            <w:tcBorders>
              <w:top w:val="single" w:sz="12" w:space="0" w:color="auto"/>
            </w:tcBorders>
            <w:shd w:val="clear" w:color="auto" w:fill="auto"/>
            <w:tcMar>
              <w:left w:w="57" w:type="dxa"/>
              <w:right w:w="57" w:type="dxa"/>
            </w:tcMar>
          </w:tcPr>
          <w:p w:rsidR="009E0B0D" w:rsidRPr="009E0B0D" w:rsidRDefault="009E0B0D" w:rsidP="00842D43">
            <w:pPr>
              <w:keepNext/>
              <w:keepLines/>
              <w:spacing w:before="40" w:after="120"/>
              <w:ind w:right="113"/>
              <w:rPr>
                <w:lang w:val="fr-FR"/>
              </w:rPr>
            </w:pPr>
          </w:p>
        </w:tc>
      </w:tr>
      <w:tr w:rsidR="009E0B0D" w:rsidRPr="009E0B0D" w:rsidTr="009E0B0D">
        <w:tc>
          <w:tcPr>
            <w:tcW w:w="1701" w:type="dxa"/>
            <w:shd w:val="clear" w:color="auto" w:fill="auto"/>
            <w:tcMar>
              <w:left w:w="57" w:type="dxa"/>
              <w:right w:w="57" w:type="dxa"/>
            </w:tcMar>
          </w:tcPr>
          <w:p w:rsidR="009E0B0D" w:rsidRPr="009E0B0D" w:rsidRDefault="009E0B0D" w:rsidP="00842D43">
            <w:pPr>
              <w:keepNext/>
              <w:keepLines/>
              <w:spacing w:before="40" w:after="120"/>
              <w:ind w:right="113"/>
            </w:pPr>
            <w:r w:rsidRPr="009E0B0D">
              <w:rPr>
                <w:lang w:val="fr-FR"/>
              </w:rPr>
              <w:t>Transport des denrées périssables</w:t>
            </w:r>
          </w:p>
        </w:tc>
        <w:tc>
          <w:tcPr>
            <w:tcW w:w="2410" w:type="dxa"/>
            <w:shd w:val="clear" w:color="auto" w:fill="auto"/>
            <w:tcMar>
              <w:left w:w="57" w:type="dxa"/>
              <w:right w:w="57" w:type="dxa"/>
            </w:tcMar>
          </w:tcPr>
          <w:p w:rsidR="009E0B0D" w:rsidRPr="009E0B0D" w:rsidRDefault="009E0B0D" w:rsidP="00842D43">
            <w:pPr>
              <w:keepNext/>
              <w:keepLines/>
              <w:spacing w:before="40" w:after="120"/>
              <w:ind w:right="113"/>
            </w:pPr>
            <w:r w:rsidRPr="009E0B0D">
              <w:rPr>
                <w:lang w:val="fr-FR"/>
              </w:rPr>
              <w:t>Renforcement et mise à jour des prescriptions régissant le transport international des denrées périssables</w:t>
            </w:r>
          </w:p>
        </w:tc>
        <w:tc>
          <w:tcPr>
            <w:tcW w:w="3259" w:type="dxa"/>
            <w:shd w:val="clear" w:color="auto" w:fill="auto"/>
            <w:tcMar>
              <w:left w:w="57" w:type="dxa"/>
              <w:right w:w="57" w:type="dxa"/>
            </w:tcMar>
          </w:tcPr>
          <w:p w:rsidR="009E0B0D" w:rsidRPr="009E0B0D" w:rsidRDefault="009E0B0D" w:rsidP="00842D43">
            <w:pPr>
              <w:keepNext/>
              <w:keepLines/>
              <w:spacing w:before="40" w:after="120"/>
              <w:ind w:right="113"/>
            </w:pPr>
            <w:r w:rsidRPr="009E0B0D">
              <w:rPr>
                <w:lang w:val="fr-FR"/>
              </w:rPr>
              <w:t>a)</w:t>
            </w:r>
            <w:r w:rsidRPr="009E0B0D">
              <w:rPr>
                <w:lang w:val="fr-FR"/>
              </w:rPr>
              <w:tab/>
              <w:t>Pourcentage des propositions d’amendement autres que rédactionnelles par rapport au nombre total de propositions d’amendement adoptées par le WP.11</w:t>
            </w:r>
          </w:p>
        </w:tc>
      </w:tr>
      <w:tr w:rsidR="00842D43" w:rsidRPr="009E0B0D" w:rsidTr="009E0B0D">
        <w:tc>
          <w:tcPr>
            <w:tcW w:w="1701" w:type="dxa"/>
            <w:shd w:val="clear" w:color="auto" w:fill="auto"/>
            <w:tcMar>
              <w:left w:w="57" w:type="dxa"/>
              <w:right w:w="57" w:type="dxa"/>
            </w:tcMar>
          </w:tcPr>
          <w:p w:rsidR="00842D43" w:rsidRPr="009E0B0D" w:rsidRDefault="00842D43" w:rsidP="009E0B0D">
            <w:pPr>
              <w:spacing w:before="40" w:after="120"/>
              <w:ind w:right="113"/>
              <w:rPr>
                <w:lang w:val="fr-FR"/>
              </w:rPr>
            </w:pPr>
          </w:p>
        </w:tc>
        <w:tc>
          <w:tcPr>
            <w:tcW w:w="2410" w:type="dxa"/>
            <w:shd w:val="clear" w:color="auto" w:fill="auto"/>
            <w:tcMar>
              <w:left w:w="57" w:type="dxa"/>
              <w:right w:w="57" w:type="dxa"/>
            </w:tcMar>
          </w:tcPr>
          <w:p w:rsidR="00842D43" w:rsidRPr="009E0B0D" w:rsidRDefault="00842D43" w:rsidP="009E0B0D">
            <w:pPr>
              <w:spacing w:before="40" w:after="120"/>
              <w:ind w:right="113"/>
              <w:rPr>
                <w:lang w:val="fr-FR"/>
              </w:rPr>
            </w:pPr>
          </w:p>
        </w:tc>
        <w:tc>
          <w:tcPr>
            <w:tcW w:w="3259" w:type="dxa"/>
            <w:shd w:val="clear" w:color="auto" w:fill="auto"/>
            <w:tcMar>
              <w:left w:w="57" w:type="dxa"/>
              <w:right w:w="57" w:type="dxa"/>
            </w:tcMar>
          </w:tcPr>
          <w:p w:rsidR="00842D43" w:rsidRPr="00842D43" w:rsidRDefault="00842D43" w:rsidP="009E0B0D">
            <w:pPr>
              <w:spacing w:before="40" w:after="120"/>
              <w:ind w:right="113"/>
            </w:pPr>
            <w:r w:rsidRPr="009E0B0D">
              <w:rPr>
                <w:lang w:val="fr-FR"/>
              </w:rPr>
              <w:t>Mesures des résultats</w:t>
            </w:r>
            <w:r w:rsidR="005A6F21">
              <w:rPr>
                <w:lang w:val="fr-FR"/>
              </w:rPr>
              <w:t> :</w:t>
            </w:r>
          </w:p>
        </w:tc>
      </w:tr>
      <w:tr w:rsidR="00842D43" w:rsidRPr="009E0B0D" w:rsidTr="009E0B0D">
        <w:tc>
          <w:tcPr>
            <w:tcW w:w="1701" w:type="dxa"/>
            <w:shd w:val="clear" w:color="auto" w:fill="auto"/>
            <w:tcMar>
              <w:left w:w="57" w:type="dxa"/>
              <w:right w:w="57" w:type="dxa"/>
            </w:tcMar>
          </w:tcPr>
          <w:p w:rsidR="00842D43" w:rsidRPr="009E0B0D" w:rsidRDefault="00842D43" w:rsidP="009E0B0D">
            <w:pPr>
              <w:spacing w:before="40" w:after="120"/>
              <w:ind w:right="113"/>
              <w:rPr>
                <w:lang w:val="fr-FR"/>
              </w:rPr>
            </w:pPr>
          </w:p>
        </w:tc>
        <w:tc>
          <w:tcPr>
            <w:tcW w:w="2410" w:type="dxa"/>
            <w:shd w:val="clear" w:color="auto" w:fill="auto"/>
            <w:tcMar>
              <w:left w:w="57" w:type="dxa"/>
              <w:right w:w="57" w:type="dxa"/>
            </w:tcMar>
          </w:tcPr>
          <w:p w:rsidR="00842D43" w:rsidRPr="009E0B0D" w:rsidRDefault="00842D43" w:rsidP="009E0B0D">
            <w:pPr>
              <w:spacing w:before="40" w:after="120"/>
              <w:ind w:right="113"/>
              <w:rPr>
                <w:lang w:val="fr-FR"/>
              </w:rPr>
            </w:pPr>
          </w:p>
        </w:tc>
        <w:tc>
          <w:tcPr>
            <w:tcW w:w="3259" w:type="dxa"/>
            <w:shd w:val="clear" w:color="auto" w:fill="auto"/>
            <w:tcMar>
              <w:left w:w="57" w:type="dxa"/>
              <w:right w:w="57" w:type="dxa"/>
            </w:tcMar>
          </w:tcPr>
          <w:p w:rsidR="00842D43" w:rsidRPr="009E0B0D" w:rsidRDefault="00842D43" w:rsidP="00501733">
            <w:pPr>
              <w:spacing w:before="40" w:after="120"/>
              <w:ind w:right="113"/>
              <w:rPr>
                <w:lang w:val="fr-FR"/>
              </w:rPr>
            </w:pPr>
            <w:r w:rsidRPr="009E0B0D">
              <w:rPr>
                <w:lang w:val="fr-FR"/>
              </w:rPr>
              <w:t>Estimatio</w:t>
            </w:r>
            <w:r w:rsidR="00501733">
              <w:rPr>
                <w:lang w:val="fr-FR"/>
              </w:rPr>
              <w:t>n</w:t>
            </w:r>
            <w:r>
              <w:rPr>
                <w:lang w:val="fr-FR"/>
              </w:rPr>
              <w:t> :</w:t>
            </w:r>
            <w:r w:rsidR="005A6F21">
              <w:rPr>
                <w:lang w:val="fr-FR"/>
              </w:rPr>
              <w:t xml:space="preserve"> 2014-2015</w:t>
            </w:r>
            <w:r>
              <w:rPr>
                <w:lang w:val="fr-FR"/>
              </w:rPr>
              <w:t> : 50 % Objectif : </w:t>
            </w:r>
            <w:r w:rsidR="005A6F21">
              <w:rPr>
                <w:lang w:val="fr-FR"/>
              </w:rPr>
              <w:t>2016-2017</w:t>
            </w:r>
            <w:r>
              <w:rPr>
                <w:lang w:val="fr-FR"/>
              </w:rPr>
              <w:t> :</w:t>
            </w:r>
            <w:r w:rsidRPr="009E0B0D">
              <w:rPr>
                <w:lang w:val="fr-FR"/>
              </w:rPr>
              <w:t xml:space="preserve"> 60 %</w:t>
            </w:r>
          </w:p>
        </w:tc>
      </w:tr>
      <w:tr w:rsidR="009E0B0D" w:rsidRPr="009E0B0D" w:rsidTr="009E0B0D">
        <w:tc>
          <w:tcPr>
            <w:tcW w:w="1701" w:type="dxa"/>
            <w:shd w:val="clear" w:color="auto" w:fill="auto"/>
            <w:tcMar>
              <w:left w:w="57" w:type="dxa"/>
              <w:right w:w="57" w:type="dxa"/>
            </w:tcMar>
          </w:tcPr>
          <w:p w:rsidR="009E0B0D" w:rsidRPr="009E0B0D" w:rsidRDefault="009E0B0D" w:rsidP="009E0B0D">
            <w:pPr>
              <w:spacing w:before="40" w:after="120"/>
              <w:ind w:right="113"/>
            </w:pPr>
          </w:p>
        </w:tc>
        <w:tc>
          <w:tcPr>
            <w:tcW w:w="2410" w:type="dxa"/>
            <w:shd w:val="clear" w:color="auto" w:fill="auto"/>
            <w:tcMar>
              <w:left w:w="57" w:type="dxa"/>
              <w:right w:w="57" w:type="dxa"/>
            </w:tcMar>
          </w:tcPr>
          <w:p w:rsidR="009E0B0D" w:rsidRPr="009E0B0D" w:rsidRDefault="009E0B0D" w:rsidP="009E0B0D">
            <w:pPr>
              <w:spacing w:before="40" w:after="120"/>
              <w:ind w:right="113"/>
            </w:pPr>
          </w:p>
        </w:tc>
        <w:tc>
          <w:tcPr>
            <w:tcW w:w="3259" w:type="dxa"/>
            <w:shd w:val="clear" w:color="auto" w:fill="auto"/>
            <w:tcMar>
              <w:left w:w="57" w:type="dxa"/>
              <w:right w:w="57" w:type="dxa"/>
            </w:tcMar>
          </w:tcPr>
          <w:p w:rsidR="009E0B0D" w:rsidRPr="009E0B0D" w:rsidRDefault="009E0B0D" w:rsidP="009E0B0D">
            <w:pPr>
              <w:spacing w:before="40" w:after="120"/>
              <w:ind w:right="113"/>
            </w:pPr>
            <w:r w:rsidRPr="009E0B0D">
              <w:rPr>
                <w:lang w:val="fr-FR"/>
              </w:rPr>
              <w:t>b)</w:t>
            </w:r>
            <w:r w:rsidRPr="009E0B0D">
              <w:rPr>
                <w:lang w:val="fr-FR"/>
              </w:rPr>
              <w:tab/>
              <w:t>Nombre total de Parties contractantes à l’ATP</w:t>
            </w:r>
          </w:p>
        </w:tc>
      </w:tr>
      <w:tr w:rsidR="009E0B0D" w:rsidRPr="009E0B0D" w:rsidTr="009E0B0D">
        <w:tc>
          <w:tcPr>
            <w:tcW w:w="1701" w:type="dxa"/>
            <w:shd w:val="clear" w:color="auto" w:fill="auto"/>
            <w:tcMar>
              <w:left w:w="57" w:type="dxa"/>
              <w:right w:w="57" w:type="dxa"/>
            </w:tcMar>
          </w:tcPr>
          <w:p w:rsidR="009E0B0D" w:rsidRPr="009E0B0D" w:rsidRDefault="009E0B0D" w:rsidP="009E0B0D">
            <w:pPr>
              <w:spacing w:before="40" w:after="120"/>
              <w:ind w:right="113"/>
            </w:pPr>
          </w:p>
        </w:tc>
        <w:tc>
          <w:tcPr>
            <w:tcW w:w="2410" w:type="dxa"/>
            <w:shd w:val="clear" w:color="auto" w:fill="auto"/>
            <w:tcMar>
              <w:left w:w="57" w:type="dxa"/>
              <w:right w:w="57" w:type="dxa"/>
            </w:tcMar>
          </w:tcPr>
          <w:p w:rsidR="009E0B0D" w:rsidRPr="009E0B0D" w:rsidRDefault="009E0B0D" w:rsidP="009E0B0D">
            <w:pPr>
              <w:spacing w:before="40" w:after="120"/>
              <w:ind w:right="113"/>
            </w:pPr>
          </w:p>
        </w:tc>
        <w:tc>
          <w:tcPr>
            <w:tcW w:w="3259" w:type="dxa"/>
            <w:shd w:val="clear" w:color="auto" w:fill="auto"/>
            <w:tcMar>
              <w:left w:w="57" w:type="dxa"/>
              <w:right w:w="57" w:type="dxa"/>
            </w:tcMar>
          </w:tcPr>
          <w:p w:rsidR="009E0B0D" w:rsidRPr="009E0B0D" w:rsidRDefault="009E0B0D" w:rsidP="009E0B0D">
            <w:pPr>
              <w:spacing w:before="40" w:after="120"/>
              <w:ind w:right="113"/>
            </w:pPr>
            <w:r w:rsidRPr="009E0B0D">
              <w:rPr>
                <w:lang w:val="fr-FR"/>
              </w:rPr>
              <w:t>Mesures des résultats</w:t>
            </w:r>
            <w:r w:rsidR="005A6F21">
              <w:rPr>
                <w:lang w:val="fr-FR"/>
              </w:rPr>
              <w:t> :</w:t>
            </w:r>
          </w:p>
        </w:tc>
      </w:tr>
      <w:tr w:rsidR="00842D43" w:rsidRPr="009E0B0D" w:rsidTr="009E0B0D">
        <w:tc>
          <w:tcPr>
            <w:tcW w:w="1701" w:type="dxa"/>
            <w:shd w:val="clear" w:color="auto" w:fill="auto"/>
            <w:tcMar>
              <w:left w:w="57" w:type="dxa"/>
              <w:right w:w="57" w:type="dxa"/>
            </w:tcMar>
          </w:tcPr>
          <w:p w:rsidR="00842D43" w:rsidRPr="009E0B0D" w:rsidRDefault="00842D43" w:rsidP="009E0B0D">
            <w:pPr>
              <w:spacing w:before="40" w:after="120"/>
              <w:ind w:right="113"/>
            </w:pPr>
          </w:p>
        </w:tc>
        <w:tc>
          <w:tcPr>
            <w:tcW w:w="2410" w:type="dxa"/>
            <w:shd w:val="clear" w:color="auto" w:fill="auto"/>
            <w:tcMar>
              <w:left w:w="57" w:type="dxa"/>
              <w:right w:w="57" w:type="dxa"/>
            </w:tcMar>
          </w:tcPr>
          <w:p w:rsidR="00842D43" w:rsidRPr="009E0B0D" w:rsidRDefault="00842D43" w:rsidP="009E0B0D">
            <w:pPr>
              <w:spacing w:before="40" w:after="120"/>
              <w:ind w:right="113"/>
            </w:pPr>
          </w:p>
        </w:tc>
        <w:tc>
          <w:tcPr>
            <w:tcW w:w="3259" w:type="dxa"/>
            <w:shd w:val="clear" w:color="auto" w:fill="auto"/>
            <w:tcMar>
              <w:left w:w="57" w:type="dxa"/>
              <w:right w:w="57" w:type="dxa"/>
            </w:tcMar>
          </w:tcPr>
          <w:p w:rsidR="00842D43" w:rsidRPr="009E0B0D" w:rsidRDefault="00842D43" w:rsidP="005A6F21">
            <w:pPr>
              <w:spacing w:before="40" w:after="120"/>
              <w:ind w:right="113"/>
              <w:rPr>
                <w:lang w:val="fr-FR"/>
              </w:rPr>
            </w:pPr>
            <w:r w:rsidRPr="009E0B0D">
              <w:rPr>
                <w:lang w:val="fr-FR"/>
              </w:rPr>
              <w:t>Estima</w:t>
            </w:r>
            <w:r>
              <w:rPr>
                <w:lang w:val="fr-FR"/>
              </w:rPr>
              <w:t>tion  : 2014-2015 : 49 Objectif : </w:t>
            </w:r>
            <w:r w:rsidRPr="009E0B0D">
              <w:rPr>
                <w:lang w:val="fr-FR"/>
              </w:rPr>
              <w:t>2016</w:t>
            </w:r>
            <w:r>
              <w:rPr>
                <w:lang w:val="fr-FR"/>
              </w:rPr>
              <w:noBreakHyphen/>
            </w:r>
            <w:r w:rsidR="005A6F21">
              <w:rPr>
                <w:lang w:val="fr-FR"/>
              </w:rPr>
              <w:t>2017</w:t>
            </w:r>
            <w:r>
              <w:rPr>
                <w:lang w:val="fr-FR"/>
              </w:rPr>
              <w:t> :</w:t>
            </w:r>
            <w:r w:rsidRPr="009E0B0D">
              <w:rPr>
                <w:lang w:val="fr-FR"/>
              </w:rPr>
              <w:t xml:space="preserve"> 51</w:t>
            </w:r>
          </w:p>
        </w:tc>
      </w:tr>
      <w:tr w:rsidR="009E0B0D" w:rsidRPr="009E0B0D" w:rsidTr="009E0B0D">
        <w:tc>
          <w:tcPr>
            <w:tcW w:w="1701" w:type="dxa"/>
            <w:shd w:val="clear" w:color="auto" w:fill="auto"/>
            <w:tcMar>
              <w:left w:w="57" w:type="dxa"/>
              <w:right w:w="57" w:type="dxa"/>
            </w:tcMar>
          </w:tcPr>
          <w:p w:rsidR="009E0B0D" w:rsidRPr="009E0B0D" w:rsidRDefault="009E0B0D" w:rsidP="009E0B0D">
            <w:pPr>
              <w:spacing w:before="40" w:after="120"/>
              <w:ind w:right="113"/>
            </w:pPr>
          </w:p>
        </w:tc>
        <w:tc>
          <w:tcPr>
            <w:tcW w:w="2410" w:type="dxa"/>
            <w:shd w:val="clear" w:color="auto" w:fill="auto"/>
            <w:tcMar>
              <w:left w:w="57" w:type="dxa"/>
              <w:right w:w="57" w:type="dxa"/>
            </w:tcMar>
          </w:tcPr>
          <w:p w:rsidR="009E0B0D" w:rsidRPr="009E0B0D" w:rsidRDefault="009E0B0D" w:rsidP="009E0B0D">
            <w:pPr>
              <w:spacing w:before="40" w:after="120"/>
              <w:ind w:right="113"/>
            </w:pPr>
          </w:p>
        </w:tc>
        <w:tc>
          <w:tcPr>
            <w:tcW w:w="3259" w:type="dxa"/>
            <w:shd w:val="clear" w:color="auto" w:fill="auto"/>
            <w:tcMar>
              <w:left w:w="57" w:type="dxa"/>
              <w:right w:w="57" w:type="dxa"/>
            </w:tcMar>
          </w:tcPr>
          <w:p w:rsidR="009E0B0D" w:rsidRPr="009E0B0D" w:rsidRDefault="009E0B0D" w:rsidP="009E0B0D">
            <w:pPr>
              <w:spacing w:before="40" w:after="120"/>
              <w:ind w:right="113"/>
            </w:pPr>
            <w:r w:rsidRPr="009E0B0D">
              <w:rPr>
                <w:lang w:val="fr-FR"/>
              </w:rPr>
              <w:t>c)</w:t>
            </w:r>
            <w:r w:rsidRPr="009E0B0D">
              <w:rPr>
                <w:lang w:val="fr-FR"/>
              </w:rPr>
              <w:tab/>
              <w:t>Nombre de pays ayant répondu au questionnaire sur la mise en œuvre de l’ATP</w:t>
            </w:r>
          </w:p>
        </w:tc>
      </w:tr>
      <w:tr w:rsidR="009E0B0D" w:rsidRPr="009E0B0D" w:rsidTr="00842D43">
        <w:tc>
          <w:tcPr>
            <w:tcW w:w="1701" w:type="dxa"/>
            <w:shd w:val="clear" w:color="auto" w:fill="auto"/>
            <w:tcMar>
              <w:left w:w="57" w:type="dxa"/>
              <w:right w:w="57" w:type="dxa"/>
            </w:tcMar>
          </w:tcPr>
          <w:p w:rsidR="009E0B0D" w:rsidRPr="009E0B0D" w:rsidRDefault="009E0B0D" w:rsidP="009E0B0D">
            <w:pPr>
              <w:spacing w:before="40" w:after="120"/>
              <w:ind w:right="113"/>
            </w:pPr>
          </w:p>
        </w:tc>
        <w:tc>
          <w:tcPr>
            <w:tcW w:w="2410" w:type="dxa"/>
            <w:shd w:val="clear" w:color="auto" w:fill="auto"/>
            <w:tcMar>
              <w:left w:w="57" w:type="dxa"/>
              <w:right w:w="57" w:type="dxa"/>
            </w:tcMar>
          </w:tcPr>
          <w:p w:rsidR="009E0B0D" w:rsidRPr="009E0B0D" w:rsidRDefault="009E0B0D" w:rsidP="009E0B0D">
            <w:pPr>
              <w:spacing w:before="40" w:after="120"/>
              <w:ind w:right="113"/>
            </w:pPr>
          </w:p>
        </w:tc>
        <w:tc>
          <w:tcPr>
            <w:tcW w:w="3259" w:type="dxa"/>
            <w:shd w:val="clear" w:color="auto" w:fill="auto"/>
            <w:tcMar>
              <w:left w:w="57" w:type="dxa"/>
              <w:right w:w="57" w:type="dxa"/>
            </w:tcMar>
          </w:tcPr>
          <w:p w:rsidR="009E0B0D" w:rsidRPr="009E0B0D" w:rsidRDefault="009E0B0D" w:rsidP="009E0B0D">
            <w:pPr>
              <w:spacing w:before="40" w:after="120"/>
              <w:ind w:right="113"/>
            </w:pPr>
            <w:r w:rsidRPr="009E0B0D">
              <w:rPr>
                <w:lang w:val="fr-FR"/>
              </w:rPr>
              <w:t>Mesures des résultats</w:t>
            </w:r>
            <w:r w:rsidR="005A6F21">
              <w:rPr>
                <w:lang w:val="fr-FR"/>
              </w:rPr>
              <w:t> :</w:t>
            </w:r>
          </w:p>
        </w:tc>
      </w:tr>
      <w:tr w:rsidR="00842D43" w:rsidRPr="009E0B0D" w:rsidTr="009E0B0D">
        <w:tc>
          <w:tcPr>
            <w:tcW w:w="1701" w:type="dxa"/>
            <w:tcBorders>
              <w:bottom w:val="single" w:sz="12" w:space="0" w:color="auto"/>
            </w:tcBorders>
            <w:shd w:val="clear" w:color="auto" w:fill="auto"/>
            <w:tcMar>
              <w:left w:w="57" w:type="dxa"/>
              <w:right w:w="57" w:type="dxa"/>
            </w:tcMar>
          </w:tcPr>
          <w:p w:rsidR="00842D43" w:rsidRPr="009E0B0D" w:rsidRDefault="00842D43" w:rsidP="009E0B0D">
            <w:pPr>
              <w:spacing w:before="40" w:after="120"/>
              <w:ind w:right="113"/>
            </w:pPr>
          </w:p>
        </w:tc>
        <w:tc>
          <w:tcPr>
            <w:tcW w:w="2410" w:type="dxa"/>
            <w:tcBorders>
              <w:bottom w:val="single" w:sz="12" w:space="0" w:color="auto"/>
            </w:tcBorders>
            <w:shd w:val="clear" w:color="auto" w:fill="auto"/>
            <w:tcMar>
              <w:left w:w="57" w:type="dxa"/>
              <w:right w:w="57" w:type="dxa"/>
            </w:tcMar>
          </w:tcPr>
          <w:p w:rsidR="00842D43" w:rsidRPr="009E0B0D" w:rsidRDefault="00842D43" w:rsidP="009E0B0D">
            <w:pPr>
              <w:spacing w:before="40" w:after="120"/>
              <w:ind w:right="113"/>
            </w:pPr>
          </w:p>
        </w:tc>
        <w:tc>
          <w:tcPr>
            <w:tcW w:w="3259" w:type="dxa"/>
            <w:tcBorders>
              <w:bottom w:val="single" w:sz="12" w:space="0" w:color="auto"/>
            </w:tcBorders>
            <w:shd w:val="clear" w:color="auto" w:fill="auto"/>
            <w:tcMar>
              <w:left w:w="57" w:type="dxa"/>
              <w:right w:w="57" w:type="dxa"/>
            </w:tcMar>
          </w:tcPr>
          <w:p w:rsidR="00842D43" w:rsidRPr="009E0B0D" w:rsidRDefault="00842D43" w:rsidP="009E0B0D">
            <w:pPr>
              <w:spacing w:before="40" w:after="120"/>
              <w:ind w:right="113"/>
              <w:rPr>
                <w:lang w:val="fr-FR"/>
              </w:rPr>
            </w:pPr>
            <w:r w:rsidRPr="009E0B0D">
              <w:rPr>
                <w:lang w:val="fr-FR"/>
              </w:rPr>
              <w:t>Estimat</w:t>
            </w:r>
            <w:r w:rsidR="005A6F21">
              <w:rPr>
                <w:lang w:val="fr-FR"/>
              </w:rPr>
              <w:t>ion</w:t>
            </w:r>
            <w:r>
              <w:rPr>
                <w:lang w:val="fr-FR"/>
              </w:rPr>
              <w:t> :</w:t>
            </w:r>
            <w:r w:rsidR="005A6F21">
              <w:rPr>
                <w:lang w:val="fr-FR"/>
              </w:rPr>
              <w:t xml:space="preserve"> 2014-2015</w:t>
            </w:r>
            <w:r>
              <w:rPr>
                <w:lang w:val="fr-FR"/>
              </w:rPr>
              <w:t> :</w:t>
            </w:r>
            <w:r w:rsidR="00E86C1C">
              <w:rPr>
                <w:lang w:val="fr-FR"/>
              </w:rPr>
              <w:t xml:space="preserve"> 21 Objectif</w:t>
            </w:r>
            <w:r>
              <w:rPr>
                <w:lang w:val="fr-FR"/>
              </w:rPr>
              <w:t> : </w:t>
            </w:r>
            <w:r w:rsidR="005A6F21">
              <w:rPr>
                <w:lang w:val="fr-FR"/>
              </w:rPr>
              <w:t>2016-2017</w:t>
            </w:r>
            <w:r>
              <w:rPr>
                <w:lang w:val="fr-FR"/>
              </w:rPr>
              <w:t> :</w:t>
            </w:r>
            <w:r w:rsidRPr="009E0B0D">
              <w:rPr>
                <w:lang w:val="fr-FR"/>
              </w:rPr>
              <w:t xml:space="preserve"> 24</w:t>
            </w:r>
          </w:p>
        </w:tc>
      </w:tr>
    </w:tbl>
    <w:p w:rsidR="009E0B0D" w:rsidRPr="009E0B0D" w:rsidRDefault="009E0B0D" w:rsidP="009E0B0D">
      <w:pPr>
        <w:pStyle w:val="SingleTxtG"/>
        <w:spacing w:before="240"/>
      </w:pPr>
      <w:r w:rsidRPr="009E0B0D">
        <w:rPr>
          <w:lang w:val="fr-FR"/>
        </w:rPr>
        <w:t>6.</w:t>
      </w:r>
      <w:r w:rsidRPr="009E0B0D">
        <w:rPr>
          <w:lang w:val="fr-FR"/>
        </w:rPr>
        <w:tab/>
        <w:t xml:space="preserve">Le Groupe de travail est invité à évaluer les résultats de ses activités à l’aune des réalisations escomptées et des indicateurs connexes définis en 2015. À cette fin, il souhaitera peut-être examiner le projet de compte rendu d’exécution figurant ci-après, consistant en une évaluation des résultats obtenus </w:t>
      </w:r>
      <w:r w:rsidR="005A6F21">
        <w:rPr>
          <w:lang w:val="fr-FR"/>
        </w:rPr>
        <w:t>jusqu’à</w:t>
      </w:r>
      <w:r w:rsidRPr="009E0B0D">
        <w:rPr>
          <w:lang w:val="fr-FR"/>
        </w:rPr>
        <w:t xml:space="preserve"> juillet 2017, examiner les enseignements qui en auront été dégagés et prendre des mesures programmatiques.</w:t>
      </w:r>
    </w:p>
    <w:p w:rsidR="009E0B0D" w:rsidRPr="009E0B0D" w:rsidRDefault="009E0B0D" w:rsidP="009E0B0D">
      <w:pPr>
        <w:pStyle w:val="H1G"/>
        <w:rPr>
          <w:rFonts w:eastAsia="MS Mincho"/>
        </w:rPr>
      </w:pPr>
      <w:r w:rsidRPr="009E0B0D">
        <w:rPr>
          <w:lang w:val="fr-FR"/>
        </w:rPr>
        <w:tab/>
        <w:t>C.</w:t>
      </w:r>
      <w:r w:rsidRPr="009E0B0D">
        <w:rPr>
          <w:lang w:val="fr-FR"/>
        </w:rPr>
        <w:tab/>
        <w:t>Évaluation des résultats</w:t>
      </w:r>
    </w:p>
    <w:p w:rsidR="009E0B0D" w:rsidRPr="009E0B0D" w:rsidRDefault="009E0B0D" w:rsidP="009E0B0D">
      <w:pPr>
        <w:pStyle w:val="H23G"/>
      </w:pPr>
      <w:r w:rsidRPr="009E0B0D">
        <w:rPr>
          <w:lang w:val="fr-FR"/>
        </w:rPr>
        <w:tab/>
        <w:t>a)</w:t>
      </w:r>
      <w:r w:rsidRPr="009E0B0D">
        <w:rPr>
          <w:lang w:val="fr-FR"/>
        </w:rPr>
        <w:tab/>
        <w:t>Pourcentage des propositions d’amendement autres que rédactionnelles par rapport au nombre total de propositions d’amendement adoptées par le WP.11</w:t>
      </w:r>
    </w:p>
    <w:p w:rsidR="009E0B0D" w:rsidRPr="009E0B0D" w:rsidRDefault="009E0B0D" w:rsidP="009E0B0D">
      <w:pPr>
        <w:pStyle w:val="SingleTxtG"/>
      </w:pPr>
      <w:r w:rsidRPr="009E0B0D">
        <w:rPr>
          <w:lang w:val="fr-FR"/>
        </w:rPr>
        <w:t>7.</w:t>
      </w:r>
      <w:r w:rsidRPr="009E0B0D">
        <w:rPr>
          <w:lang w:val="fr-FR"/>
        </w:rPr>
        <w:tab/>
        <w:t>À sa soixante-douzième session en 2016, le WP.11 a adopté au total une proposition d’amendement à l’ATP, qui figure à l’annexe I du rapport de ladite session, publié sous la cote ECE/TRANS/WP.11/235. L’amendement peut être considéré comme rédactionnel. Le nombre d’amendements non rédactionnels qui seront adoptés à la soixante-treizième session du WP.11 en 2017 ne sera connu qu’après la s</w:t>
      </w:r>
      <w:r w:rsidR="00842D43">
        <w:rPr>
          <w:lang w:val="fr-FR"/>
        </w:rPr>
        <w:t>ession (10-13 </w:t>
      </w:r>
      <w:r w:rsidRPr="009E0B0D">
        <w:rPr>
          <w:lang w:val="fr-FR"/>
        </w:rPr>
        <w:t>octobre 2017), mais on peut déjà supposer que le pourcentage d’amendements non rédactionnels ne dépassera pas l’objectif de 60</w:t>
      </w:r>
      <w:r w:rsidR="00842D43">
        <w:rPr>
          <w:lang w:val="fr-FR"/>
        </w:rPr>
        <w:t> </w:t>
      </w:r>
      <w:r w:rsidRPr="009E0B0D">
        <w:rPr>
          <w:lang w:val="fr-FR"/>
        </w:rPr>
        <w:t>% pour 2016-2017. Le WP.11 souhaitera peut-être choisir un nouvel indicateur de succès pour remplacer le «</w:t>
      </w:r>
      <w:r w:rsidR="00842D43">
        <w:rPr>
          <w:lang w:val="fr-FR"/>
        </w:rPr>
        <w:t> </w:t>
      </w:r>
      <w:r w:rsidRPr="009E0B0D">
        <w:rPr>
          <w:lang w:val="fr-FR"/>
        </w:rPr>
        <w:t>pourcentage des propositions d’amendement autres que rédactionnelles par rapport au nombre total de propositions d’amendement adoptées par le WP.11</w:t>
      </w:r>
      <w:r w:rsidR="00842D43">
        <w:rPr>
          <w:lang w:val="fr-FR"/>
        </w:rPr>
        <w:t> </w:t>
      </w:r>
      <w:r w:rsidRPr="009E0B0D">
        <w:rPr>
          <w:lang w:val="fr-FR"/>
        </w:rPr>
        <w:t xml:space="preserve">». </w:t>
      </w:r>
    </w:p>
    <w:p w:rsidR="009E0B0D" w:rsidRPr="009E0B0D" w:rsidRDefault="009E0B0D" w:rsidP="009E0B0D">
      <w:pPr>
        <w:pStyle w:val="H23G"/>
      </w:pPr>
      <w:r w:rsidRPr="009E0B0D">
        <w:rPr>
          <w:lang w:val="fr-FR"/>
        </w:rPr>
        <w:tab/>
        <w:t>b)</w:t>
      </w:r>
      <w:r w:rsidRPr="009E0B0D">
        <w:rPr>
          <w:lang w:val="fr-FR"/>
        </w:rPr>
        <w:tab/>
        <w:t>Nombre total de Parties contractantes à l’ATP</w:t>
      </w:r>
    </w:p>
    <w:p w:rsidR="009E0B0D" w:rsidRPr="009E0B0D" w:rsidRDefault="009E0B0D" w:rsidP="009E0B0D">
      <w:pPr>
        <w:pStyle w:val="SingleTxtG"/>
      </w:pPr>
      <w:r w:rsidRPr="009E0B0D">
        <w:rPr>
          <w:lang w:val="fr-FR"/>
        </w:rPr>
        <w:t>8.</w:t>
      </w:r>
      <w:r w:rsidRPr="009E0B0D">
        <w:rPr>
          <w:lang w:val="fr-FR"/>
        </w:rPr>
        <w:tab/>
        <w:t xml:space="preserve">Lors de la rédaction du présent document, l’ATP comptait 50 Parties contractantes. L’objectif de deux nouvelles adhésions n’a donc pas été atteint au cours de l’exercice biennal 2016-2017. Le dernier pays à avoir adhéré à l’Accord est Saint-Marin en mai 2016. Les possibilités d’enregistrer de nouvelles adhésions restent réelles. Parmi les 56 États membres de la Commission économique pour l’Europe, l’Arménie, le Canada, Chypre, l’Islande, Israël, le Liechtenstein, Malte, la Suisse et le Turkménistan ne sont pas encore Parties </w:t>
      </w:r>
      <w:r w:rsidRPr="009E0B0D">
        <w:rPr>
          <w:lang w:val="fr-FR"/>
        </w:rPr>
        <w:lastRenderedPageBreak/>
        <w:t>contractantes à l’ATP. Des efforts sont également entrepris pour attirer d’autres pays du pourtour méditerranéen tels que l’Algérie, l’Égypte, Israël, la Jordanie et le Liban. Ces pays sont déjà parties à d’autres instruments juridiques de la Commission économique pour l’Europe. Il est recommandé de conserver cet indicateur de succès pour la période 2018</w:t>
      </w:r>
      <w:r w:rsidR="00842D43">
        <w:rPr>
          <w:lang w:val="fr-FR"/>
        </w:rPr>
        <w:t>-</w:t>
      </w:r>
      <w:r w:rsidRPr="009E0B0D">
        <w:rPr>
          <w:lang w:val="fr-FR"/>
        </w:rPr>
        <w:t>2019.</w:t>
      </w:r>
    </w:p>
    <w:p w:rsidR="009E0B0D" w:rsidRPr="009E0B0D" w:rsidRDefault="009E0B0D" w:rsidP="009E0B0D">
      <w:pPr>
        <w:pStyle w:val="H23G"/>
      </w:pPr>
      <w:r w:rsidRPr="009E0B0D">
        <w:rPr>
          <w:lang w:val="fr-FR"/>
        </w:rPr>
        <w:tab/>
        <w:t>c)</w:t>
      </w:r>
      <w:r w:rsidRPr="009E0B0D">
        <w:rPr>
          <w:lang w:val="fr-FR"/>
        </w:rPr>
        <w:tab/>
        <w:t>Nombre de pays ayant répondu au questionnaire sur la mise en œuvre de l’ATP</w:t>
      </w:r>
    </w:p>
    <w:p w:rsidR="009E0B0D" w:rsidRPr="009E0B0D" w:rsidRDefault="009E0B0D" w:rsidP="009E0B0D">
      <w:pPr>
        <w:pStyle w:val="SingleTxtG"/>
      </w:pPr>
      <w:r w:rsidRPr="009E0B0D">
        <w:rPr>
          <w:lang w:val="fr-FR"/>
        </w:rPr>
        <w:t>9.</w:t>
      </w:r>
      <w:r w:rsidRPr="009E0B0D">
        <w:rPr>
          <w:lang w:val="fr-FR"/>
        </w:rPr>
        <w:tab/>
        <w:t>En 2016, 22 pays ont répondu au questionnaire sur la mise en œuvre de l’ATP. En 2017, 23 pays y ont répondu. L’objectif de 24 pays ayant répondu qui avait été fixé comme indicateur de succès n’a donc pas été atteint. Il est recommandé de conserver cet indicateur de succès pour la période 2018</w:t>
      </w:r>
      <w:r w:rsidR="00DA15B7">
        <w:rPr>
          <w:lang w:val="fr-FR"/>
        </w:rPr>
        <w:t>-</w:t>
      </w:r>
      <w:r w:rsidRPr="009E0B0D">
        <w:rPr>
          <w:lang w:val="fr-FR"/>
        </w:rPr>
        <w:t>2019.</w:t>
      </w:r>
    </w:p>
    <w:p w:rsidR="009E0B0D" w:rsidRPr="009E0B0D" w:rsidRDefault="009E0B0D" w:rsidP="009E0B0D">
      <w:pPr>
        <w:pStyle w:val="H1G"/>
        <w:rPr>
          <w:rFonts w:eastAsia="MS Mincho"/>
        </w:rPr>
      </w:pPr>
      <w:r w:rsidRPr="009E0B0D">
        <w:rPr>
          <w:lang w:val="fr-FR"/>
        </w:rPr>
        <w:tab/>
        <w:t>D.</w:t>
      </w:r>
      <w:r w:rsidRPr="009E0B0D">
        <w:rPr>
          <w:lang w:val="fr-FR"/>
        </w:rPr>
        <w:tab/>
        <w:t>Enseignements tirés/améliorations à apporter</w:t>
      </w:r>
    </w:p>
    <w:p w:rsidR="009E0B0D" w:rsidRDefault="009E0B0D" w:rsidP="009E0B0D">
      <w:pPr>
        <w:pStyle w:val="SingleTxtG"/>
        <w:rPr>
          <w:lang w:val="fr-FR"/>
        </w:rPr>
      </w:pPr>
      <w:r w:rsidRPr="009E0B0D">
        <w:rPr>
          <w:lang w:val="fr-FR"/>
        </w:rPr>
        <w:t>10.</w:t>
      </w:r>
      <w:r w:rsidRPr="009E0B0D">
        <w:rPr>
          <w:lang w:val="fr-FR"/>
        </w:rPr>
        <w:tab/>
        <w:t>L’objectif qui avait été fixé pour le nombre de réponses au questionnaire sur la mise en œuvre de l’ATP a été atteint et il est donc recommandé de revoir cet objectif à la hausse. Toutefois, certains pays déclarent qu’ils ne sont pas en mesure de fournir les données requises en raison de leurs structures administratives. Il est recommandé de conserver cet indicateur de succès pour la période 2018</w:t>
      </w:r>
      <w:r w:rsidR="00842D43">
        <w:rPr>
          <w:lang w:val="fr-FR"/>
        </w:rPr>
        <w:t>-</w:t>
      </w:r>
      <w:r w:rsidRPr="009E0B0D">
        <w:rPr>
          <w:lang w:val="fr-FR"/>
        </w:rPr>
        <w:t>2019.</w:t>
      </w:r>
    </w:p>
    <w:p w:rsidR="009E0B0D" w:rsidRPr="009E0B0D" w:rsidRDefault="009E0B0D" w:rsidP="009E0B0D">
      <w:pPr>
        <w:pStyle w:val="HChG"/>
      </w:pPr>
      <w:r>
        <w:rPr>
          <w:lang w:val="fr-FR"/>
        </w:rPr>
        <w:br w:type="page"/>
      </w:r>
      <w:r w:rsidRPr="009E0B0D">
        <w:rPr>
          <w:lang w:val="fr-FR"/>
        </w:rPr>
        <w:lastRenderedPageBreak/>
        <w:t>Annexe I</w:t>
      </w:r>
    </w:p>
    <w:p w:rsidR="009E0B0D" w:rsidRPr="009E0B0D" w:rsidRDefault="009E0B0D" w:rsidP="009E0B0D">
      <w:pPr>
        <w:pStyle w:val="HChG"/>
      </w:pPr>
      <w:r w:rsidRPr="009E0B0D">
        <w:rPr>
          <w:lang w:val="fr-FR"/>
        </w:rPr>
        <w:tab/>
      </w:r>
      <w:r w:rsidRPr="009E0B0D">
        <w:rPr>
          <w:lang w:val="fr-FR"/>
        </w:rPr>
        <w:tab/>
        <w:t>Proposition d’évaluation pour l’exercice biennal 2018-2019</w:t>
      </w:r>
    </w:p>
    <w:p w:rsidR="009E0B0D" w:rsidRPr="009E0B0D" w:rsidRDefault="009E0B0D" w:rsidP="009E0B0D">
      <w:pPr>
        <w:pStyle w:val="SingleTxtG"/>
      </w:pPr>
      <w:r w:rsidRPr="009E0B0D">
        <w:rPr>
          <w:lang w:val="fr-FR"/>
        </w:rPr>
        <w:t>9.</w:t>
      </w:r>
      <w:r w:rsidRPr="009E0B0D">
        <w:rPr>
          <w:lang w:val="fr-FR"/>
        </w:rPr>
        <w:tab/>
        <w:t>Le WP.11 sera invité à examiner, modifier et adopter la proposition d’évaluation biennale pour 2018-2019 qui figure ci-dessous et qui sera présentée à la quatre-vingtième session du CTI en 2018.</w:t>
      </w:r>
    </w:p>
    <w:tbl>
      <w:tblPr>
        <w:tblW w:w="8505" w:type="dxa"/>
        <w:tblInd w:w="1134" w:type="dxa"/>
        <w:tblLayout w:type="fixed"/>
        <w:tblCellMar>
          <w:left w:w="57" w:type="dxa"/>
          <w:right w:w="57" w:type="dxa"/>
        </w:tblCellMar>
        <w:tblLook w:val="01E0" w:firstRow="1" w:lastRow="1" w:firstColumn="1" w:lastColumn="1" w:noHBand="0" w:noVBand="0"/>
      </w:tblPr>
      <w:tblGrid>
        <w:gridCol w:w="1461"/>
        <w:gridCol w:w="3462"/>
        <w:gridCol w:w="3582"/>
      </w:tblGrid>
      <w:tr w:rsidR="009E0B0D" w:rsidRPr="009E0B0D" w:rsidTr="00842D43">
        <w:trPr>
          <w:tblHeader/>
        </w:trPr>
        <w:tc>
          <w:tcPr>
            <w:tcW w:w="1461" w:type="dxa"/>
            <w:tcBorders>
              <w:top w:val="single" w:sz="4" w:space="0" w:color="auto"/>
              <w:bottom w:val="single" w:sz="12" w:space="0" w:color="auto"/>
            </w:tcBorders>
            <w:shd w:val="clear" w:color="auto" w:fill="auto"/>
            <w:vAlign w:val="bottom"/>
          </w:tcPr>
          <w:p w:rsidR="009E0B0D" w:rsidRPr="009E0B0D" w:rsidRDefault="009E0B0D" w:rsidP="009E0B0D">
            <w:pPr>
              <w:spacing w:before="80" w:after="80" w:line="200" w:lineRule="exact"/>
              <w:ind w:right="113"/>
              <w:rPr>
                <w:i/>
                <w:sz w:val="16"/>
                <w:szCs w:val="24"/>
              </w:rPr>
            </w:pPr>
            <w:r w:rsidRPr="009E0B0D">
              <w:rPr>
                <w:i/>
                <w:sz w:val="16"/>
                <w:lang w:val="fr-FR"/>
              </w:rPr>
              <w:t>Module</w:t>
            </w:r>
          </w:p>
        </w:tc>
        <w:tc>
          <w:tcPr>
            <w:tcW w:w="3462" w:type="dxa"/>
            <w:tcBorders>
              <w:top w:val="single" w:sz="4" w:space="0" w:color="auto"/>
              <w:bottom w:val="single" w:sz="12" w:space="0" w:color="auto"/>
            </w:tcBorders>
            <w:shd w:val="clear" w:color="auto" w:fill="auto"/>
            <w:vAlign w:val="bottom"/>
          </w:tcPr>
          <w:p w:rsidR="009E0B0D" w:rsidRPr="009E0B0D" w:rsidRDefault="009E0B0D" w:rsidP="009E0B0D">
            <w:pPr>
              <w:spacing w:before="80" w:after="80" w:line="200" w:lineRule="exact"/>
              <w:ind w:right="113"/>
              <w:rPr>
                <w:i/>
                <w:sz w:val="16"/>
                <w:szCs w:val="24"/>
              </w:rPr>
            </w:pPr>
            <w:r w:rsidRPr="009E0B0D">
              <w:rPr>
                <w:i/>
                <w:sz w:val="16"/>
                <w:lang w:val="fr-FR"/>
              </w:rPr>
              <w:t>Réalisations escomptées</w:t>
            </w:r>
          </w:p>
        </w:tc>
        <w:tc>
          <w:tcPr>
            <w:tcW w:w="3582" w:type="dxa"/>
            <w:tcBorders>
              <w:top w:val="single" w:sz="4" w:space="0" w:color="auto"/>
              <w:bottom w:val="single" w:sz="12" w:space="0" w:color="auto"/>
            </w:tcBorders>
            <w:shd w:val="clear" w:color="auto" w:fill="auto"/>
            <w:vAlign w:val="bottom"/>
          </w:tcPr>
          <w:p w:rsidR="009E0B0D" w:rsidRPr="009E0B0D" w:rsidRDefault="009E0B0D" w:rsidP="009E0B0D">
            <w:pPr>
              <w:spacing w:before="80" w:after="80" w:line="200" w:lineRule="exact"/>
              <w:ind w:right="113"/>
              <w:rPr>
                <w:i/>
                <w:sz w:val="16"/>
                <w:szCs w:val="24"/>
              </w:rPr>
            </w:pPr>
            <w:r w:rsidRPr="009E0B0D">
              <w:rPr>
                <w:i/>
                <w:sz w:val="16"/>
                <w:lang w:val="fr-FR"/>
              </w:rPr>
              <w:t>Indicateurs de succès</w:t>
            </w:r>
          </w:p>
        </w:tc>
      </w:tr>
      <w:tr w:rsidR="009E0B0D" w:rsidRPr="009E0B0D" w:rsidTr="00842D43">
        <w:trPr>
          <w:trHeight w:hRule="exact" w:val="113"/>
          <w:tblHeader/>
        </w:trPr>
        <w:tc>
          <w:tcPr>
            <w:tcW w:w="1461" w:type="dxa"/>
            <w:tcBorders>
              <w:top w:val="single" w:sz="12" w:space="0" w:color="auto"/>
            </w:tcBorders>
            <w:shd w:val="clear" w:color="auto" w:fill="auto"/>
          </w:tcPr>
          <w:p w:rsidR="009E0B0D" w:rsidRPr="009E0B0D" w:rsidRDefault="009E0B0D" w:rsidP="009E0B0D">
            <w:pPr>
              <w:spacing w:before="40" w:after="120"/>
              <w:ind w:right="113"/>
              <w:rPr>
                <w:lang w:val="fr-FR"/>
              </w:rPr>
            </w:pPr>
          </w:p>
        </w:tc>
        <w:tc>
          <w:tcPr>
            <w:tcW w:w="3462" w:type="dxa"/>
            <w:tcBorders>
              <w:top w:val="single" w:sz="12" w:space="0" w:color="auto"/>
            </w:tcBorders>
            <w:shd w:val="clear" w:color="auto" w:fill="auto"/>
          </w:tcPr>
          <w:p w:rsidR="009E0B0D" w:rsidRPr="009E0B0D" w:rsidRDefault="009E0B0D" w:rsidP="009E0B0D">
            <w:pPr>
              <w:spacing w:before="40" w:after="120"/>
              <w:ind w:right="113"/>
              <w:rPr>
                <w:lang w:val="fr-FR"/>
              </w:rPr>
            </w:pPr>
          </w:p>
        </w:tc>
        <w:tc>
          <w:tcPr>
            <w:tcW w:w="3582" w:type="dxa"/>
            <w:tcBorders>
              <w:top w:val="single" w:sz="12" w:space="0" w:color="auto"/>
            </w:tcBorders>
            <w:shd w:val="clear" w:color="auto" w:fill="auto"/>
          </w:tcPr>
          <w:p w:rsidR="009E0B0D" w:rsidRPr="009E0B0D" w:rsidRDefault="009E0B0D" w:rsidP="009E0B0D">
            <w:pPr>
              <w:spacing w:before="40" w:after="120"/>
              <w:ind w:right="113"/>
              <w:rPr>
                <w:lang w:val="fr-FR"/>
              </w:rPr>
            </w:pPr>
          </w:p>
        </w:tc>
      </w:tr>
      <w:tr w:rsidR="00842D43" w:rsidRPr="009E0B0D" w:rsidTr="00842D43">
        <w:tc>
          <w:tcPr>
            <w:tcW w:w="1461" w:type="dxa"/>
            <w:shd w:val="clear" w:color="auto" w:fill="auto"/>
          </w:tcPr>
          <w:p w:rsidR="009E0B0D" w:rsidRPr="009E0B0D" w:rsidRDefault="009E0B0D" w:rsidP="009E0B0D">
            <w:pPr>
              <w:spacing w:before="40" w:after="120"/>
              <w:ind w:right="113"/>
            </w:pPr>
            <w:r w:rsidRPr="009E0B0D">
              <w:rPr>
                <w:lang w:val="fr-FR"/>
              </w:rPr>
              <w:t>Transport des denrées périssables</w:t>
            </w:r>
          </w:p>
        </w:tc>
        <w:tc>
          <w:tcPr>
            <w:tcW w:w="3462" w:type="dxa"/>
            <w:shd w:val="clear" w:color="auto" w:fill="auto"/>
          </w:tcPr>
          <w:p w:rsidR="009E0B0D" w:rsidRPr="009E0B0D" w:rsidRDefault="009E0B0D" w:rsidP="009E0B0D">
            <w:pPr>
              <w:spacing w:before="40" w:after="120"/>
              <w:ind w:right="113"/>
            </w:pPr>
            <w:r w:rsidRPr="009E0B0D">
              <w:rPr>
                <w:lang w:val="fr-FR"/>
              </w:rPr>
              <w:t>Renforcement et mise à jour des prescriptions régissant le transport international des denrées périssables</w:t>
            </w:r>
          </w:p>
        </w:tc>
        <w:tc>
          <w:tcPr>
            <w:tcW w:w="3582" w:type="dxa"/>
            <w:shd w:val="clear" w:color="auto" w:fill="auto"/>
          </w:tcPr>
          <w:p w:rsidR="009E0B0D" w:rsidRPr="009E0B0D" w:rsidRDefault="009E0B0D" w:rsidP="00183D6F">
            <w:pPr>
              <w:spacing w:before="40" w:after="120"/>
              <w:ind w:right="113"/>
            </w:pPr>
            <w:r w:rsidRPr="009E0B0D">
              <w:rPr>
                <w:lang w:val="fr-FR"/>
              </w:rPr>
              <w:t>a)</w:t>
            </w:r>
            <w:r w:rsidRPr="009E0B0D">
              <w:rPr>
                <w:lang w:val="fr-FR"/>
              </w:rPr>
              <w:tab/>
              <w:t>Pourcentage des propositions d’amendement autres que rédactionnelles par rapport au nombre total de propositions d’amendement adoptées par le WP.11</w:t>
            </w:r>
          </w:p>
        </w:tc>
      </w:tr>
      <w:tr w:rsidR="00183D6F" w:rsidRPr="009E0B0D" w:rsidTr="00842D43">
        <w:tc>
          <w:tcPr>
            <w:tcW w:w="1461" w:type="dxa"/>
            <w:shd w:val="clear" w:color="auto" w:fill="auto"/>
          </w:tcPr>
          <w:p w:rsidR="00183D6F" w:rsidRPr="009E0B0D" w:rsidRDefault="00183D6F" w:rsidP="009E0B0D">
            <w:pPr>
              <w:spacing w:before="40" w:after="120"/>
              <w:ind w:right="113"/>
              <w:rPr>
                <w:lang w:val="fr-FR"/>
              </w:rPr>
            </w:pPr>
          </w:p>
        </w:tc>
        <w:tc>
          <w:tcPr>
            <w:tcW w:w="3462" w:type="dxa"/>
            <w:shd w:val="clear" w:color="auto" w:fill="auto"/>
          </w:tcPr>
          <w:p w:rsidR="00183D6F" w:rsidRPr="009E0B0D" w:rsidRDefault="00183D6F" w:rsidP="009E0B0D">
            <w:pPr>
              <w:spacing w:before="40" w:after="120"/>
              <w:ind w:right="113"/>
              <w:rPr>
                <w:lang w:val="fr-FR"/>
              </w:rPr>
            </w:pPr>
          </w:p>
        </w:tc>
        <w:tc>
          <w:tcPr>
            <w:tcW w:w="3582" w:type="dxa"/>
            <w:shd w:val="clear" w:color="auto" w:fill="auto"/>
          </w:tcPr>
          <w:p w:rsidR="00183D6F" w:rsidRPr="00183D6F" w:rsidRDefault="00183D6F" w:rsidP="009E0B0D">
            <w:pPr>
              <w:spacing w:before="40" w:after="120"/>
              <w:ind w:right="113"/>
            </w:pPr>
            <w:r w:rsidRPr="009E0B0D">
              <w:rPr>
                <w:lang w:val="fr-FR"/>
              </w:rPr>
              <w:t>Mesures des résultats</w:t>
            </w:r>
            <w:r w:rsidR="0003036D">
              <w:rPr>
                <w:lang w:val="fr-FR"/>
              </w:rPr>
              <w:t> :</w:t>
            </w:r>
          </w:p>
        </w:tc>
      </w:tr>
      <w:tr w:rsidR="00183D6F" w:rsidRPr="009E0B0D" w:rsidTr="00842D43">
        <w:tc>
          <w:tcPr>
            <w:tcW w:w="1461" w:type="dxa"/>
            <w:shd w:val="clear" w:color="auto" w:fill="auto"/>
          </w:tcPr>
          <w:p w:rsidR="00183D6F" w:rsidRPr="009E0B0D" w:rsidRDefault="00183D6F" w:rsidP="009E0B0D">
            <w:pPr>
              <w:spacing w:before="40" w:after="120"/>
              <w:ind w:right="113"/>
              <w:rPr>
                <w:lang w:val="fr-FR"/>
              </w:rPr>
            </w:pPr>
          </w:p>
        </w:tc>
        <w:tc>
          <w:tcPr>
            <w:tcW w:w="3462" w:type="dxa"/>
            <w:shd w:val="clear" w:color="auto" w:fill="auto"/>
          </w:tcPr>
          <w:p w:rsidR="00183D6F" w:rsidRPr="009E0B0D" w:rsidRDefault="00183D6F" w:rsidP="009E0B0D">
            <w:pPr>
              <w:spacing w:before="40" w:after="120"/>
              <w:ind w:right="113"/>
              <w:rPr>
                <w:lang w:val="fr-FR"/>
              </w:rPr>
            </w:pPr>
          </w:p>
        </w:tc>
        <w:tc>
          <w:tcPr>
            <w:tcW w:w="3582" w:type="dxa"/>
            <w:shd w:val="clear" w:color="auto" w:fill="auto"/>
          </w:tcPr>
          <w:p w:rsidR="00183D6F" w:rsidRPr="009E0B0D" w:rsidRDefault="00183D6F" w:rsidP="00842D43">
            <w:pPr>
              <w:spacing w:before="40" w:after="120"/>
              <w:ind w:right="113"/>
              <w:rPr>
                <w:lang w:val="fr-FR"/>
              </w:rPr>
            </w:pPr>
            <w:r w:rsidRPr="009E0B0D">
              <w:rPr>
                <w:lang w:val="fr-FR"/>
              </w:rPr>
              <w:t>Estimatio</w:t>
            </w:r>
            <w:r>
              <w:rPr>
                <w:lang w:val="fr-FR"/>
              </w:rPr>
              <w:t>n </w:t>
            </w:r>
            <w:r w:rsidR="00842D43">
              <w:rPr>
                <w:lang w:val="fr-FR"/>
              </w:rPr>
              <w:t>:</w:t>
            </w:r>
            <w:r>
              <w:rPr>
                <w:lang w:val="fr-FR"/>
              </w:rPr>
              <w:t xml:space="preserve"> 2016-2017 </w:t>
            </w:r>
            <w:r w:rsidR="00842D43">
              <w:rPr>
                <w:lang w:val="fr-FR"/>
              </w:rPr>
              <w:t>:</w:t>
            </w:r>
            <w:r w:rsidR="0003036D">
              <w:rPr>
                <w:lang w:val="fr-FR"/>
              </w:rPr>
              <w:t xml:space="preserve"> 60 </w:t>
            </w:r>
            <w:r>
              <w:rPr>
                <w:lang w:val="fr-FR"/>
              </w:rPr>
              <w:t>% Objectif</w:t>
            </w:r>
            <w:r w:rsidR="00842D43">
              <w:rPr>
                <w:lang w:val="fr-FR"/>
              </w:rPr>
              <w:t> :</w:t>
            </w:r>
            <w:r w:rsidRPr="009E0B0D">
              <w:rPr>
                <w:lang w:val="fr-FR"/>
              </w:rPr>
              <w:t xml:space="preserve">2018-2019 </w:t>
            </w:r>
            <w:r w:rsidR="00842D43">
              <w:rPr>
                <w:lang w:val="fr-FR"/>
              </w:rPr>
              <w:t> :</w:t>
            </w:r>
            <w:r w:rsidR="0003036D">
              <w:rPr>
                <w:lang w:val="fr-FR"/>
              </w:rPr>
              <w:t xml:space="preserve"> 60 </w:t>
            </w:r>
            <w:r w:rsidRPr="009E0B0D">
              <w:rPr>
                <w:lang w:val="fr-FR"/>
              </w:rPr>
              <w:t>%</w:t>
            </w:r>
          </w:p>
        </w:tc>
      </w:tr>
      <w:tr w:rsidR="009E0B0D" w:rsidRPr="009E0B0D" w:rsidTr="00842D43">
        <w:tc>
          <w:tcPr>
            <w:tcW w:w="1461" w:type="dxa"/>
            <w:shd w:val="clear" w:color="auto" w:fill="auto"/>
          </w:tcPr>
          <w:p w:rsidR="009E0B0D" w:rsidRPr="009E0B0D" w:rsidRDefault="009E0B0D" w:rsidP="009E0B0D">
            <w:pPr>
              <w:spacing w:before="40" w:after="120"/>
              <w:ind w:right="113"/>
            </w:pPr>
          </w:p>
        </w:tc>
        <w:tc>
          <w:tcPr>
            <w:tcW w:w="3462" w:type="dxa"/>
            <w:shd w:val="clear" w:color="auto" w:fill="auto"/>
          </w:tcPr>
          <w:p w:rsidR="009E0B0D" w:rsidRPr="009E0B0D" w:rsidRDefault="009E0B0D" w:rsidP="009E0B0D">
            <w:pPr>
              <w:spacing w:before="40" w:after="120"/>
              <w:ind w:right="113"/>
            </w:pPr>
          </w:p>
        </w:tc>
        <w:tc>
          <w:tcPr>
            <w:tcW w:w="3582" w:type="dxa"/>
            <w:shd w:val="clear" w:color="auto" w:fill="auto"/>
          </w:tcPr>
          <w:p w:rsidR="009E0B0D" w:rsidRPr="009E0B0D" w:rsidRDefault="009E0B0D" w:rsidP="009E0B0D">
            <w:pPr>
              <w:spacing w:before="40" w:after="120"/>
              <w:ind w:right="113"/>
            </w:pPr>
            <w:r w:rsidRPr="009E0B0D">
              <w:rPr>
                <w:lang w:val="fr-FR"/>
              </w:rPr>
              <w:t>b)</w:t>
            </w:r>
            <w:r w:rsidRPr="009E0B0D">
              <w:rPr>
                <w:lang w:val="fr-FR"/>
              </w:rPr>
              <w:tab/>
              <w:t>Nombre total de Parties contractantes à l’ATP</w:t>
            </w:r>
          </w:p>
        </w:tc>
      </w:tr>
      <w:tr w:rsidR="00183D6F" w:rsidRPr="009E0B0D" w:rsidTr="00842D43">
        <w:tc>
          <w:tcPr>
            <w:tcW w:w="1461" w:type="dxa"/>
            <w:shd w:val="clear" w:color="auto" w:fill="auto"/>
          </w:tcPr>
          <w:p w:rsidR="00183D6F" w:rsidRPr="009E0B0D" w:rsidRDefault="00183D6F" w:rsidP="009E0B0D">
            <w:pPr>
              <w:spacing w:before="40" w:after="120"/>
              <w:ind w:right="113"/>
            </w:pPr>
          </w:p>
        </w:tc>
        <w:tc>
          <w:tcPr>
            <w:tcW w:w="3462" w:type="dxa"/>
            <w:shd w:val="clear" w:color="auto" w:fill="auto"/>
          </w:tcPr>
          <w:p w:rsidR="00183D6F" w:rsidRPr="009E0B0D" w:rsidRDefault="00183D6F" w:rsidP="009E0B0D">
            <w:pPr>
              <w:spacing w:before="40" w:after="120"/>
              <w:ind w:right="113"/>
            </w:pPr>
          </w:p>
        </w:tc>
        <w:tc>
          <w:tcPr>
            <w:tcW w:w="3582" w:type="dxa"/>
            <w:shd w:val="clear" w:color="auto" w:fill="auto"/>
          </w:tcPr>
          <w:p w:rsidR="00183D6F" w:rsidRPr="00183D6F" w:rsidRDefault="00183D6F" w:rsidP="009E0B0D">
            <w:pPr>
              <w:spacing w:before="40" w:after="120"/>
              <w:ind w:right="113"/>
            </w:pPr>
            <w:r w:rsidRPr="009E0B0D">
              <w:rPr>
                <w:lang w:val="fr-FR"/>
              </w:rPr>
              <w:t>Mesures des résultats</w:t>
            </w:r>
            <w:r w:rsidR="0003036D">
              <w:rPr>
                <w:lang w:val="fr-FR"/>
              </w:rPr>
              <w:t> :</w:t>
            </w:r>
          </w:p>
        </w:tc>
      </w:tr>
      <w:tr w:rsidR="00183D6F" w:rsidRPr="009E0B0D" w:rsidTr="00842D43">
        <w:tc>
          <w:tcPr>
            <w:tcW w:w="1461" w:type="dxa"/>
            <w:shd w:val="clear" w:color="auto" w:fill="auto"/>
          </w:tcPr>
          <w:p w:rsidR="00183D6F" w:rsidRPr="009E0B0D" w:rsidRDefault="00183D6F" w:rsidP="009E0B0D">
            <w:pPr>
              <w:spacing w:before="40" w:after="120"/>
              <w:ind w:right="113"/>
            </w:pPr>
          </w:p>
        </w:tc>
        <w:tc>
          <w:tcPr>
            <w:tcW w:w="3462" w:type="dxa"/>
            <w:shd w:val="clear" w:color="auto" w:fill="auto"/>
          </w:tcPr>
          <w:p w:rsidR="00183D6F" w:rsidRPr="009E0B0D" w:rsidRDefault="00183D6F" w:rsidP="009E0B0D">
            <w:pPr>
              <w:spacing w:before="40" w:after="120"/>
              <w:ind w:right="113"/>
            </w:pPr>
          </w:p>
        </w:tc>
        <w:tc>
          <w:tcPr>
            <w:tcW w:w="3582" w:type="dxa"/>
            <w:shd w:val="clear" w:color="auto" w:fill="auto"/>
          </w:tcPr>
          <w:p w:rsidR="00183D6F" w:rsidRPr="009E0B0D" w:rsidRDefault="00183D6F" w:rsidP="00292551">
            <w:pPr>
              <w:spacing w:before="40" w:after="120"/>
              <w:ind w:right="113"/>
              <w:rPr>
                <w:lang w:val="fr-FR"/>
              </w:rPr>
            </w:pPr>
            <w:r w:rsidRPr="009E0B0D">
              <w:rPr>
                <w:lang w:val="fr-FR"/>
              </w:rPr>
              <w:t>Référence</w:t>
            </w:r>
            <w:r w:rsidR="00842D43">
              <w:rPr>
                <w:lang w:val="fr-FR"/>
              </w:rPr>
              <w:t> :</w:t>
            </w:r>
            <w:r w:rsidRPr="009E0B0D">
              <w:rPr>
                <w:lang w:val="fr-FR"/>
              </w:rPr>
              <w:t xml:space="preserve"> 2016-2017</w:t>
            </w:r>
            <w:r w:rsidR="00842D43">
              <w:rPr>
                <w:lang w:val="fr-FR"/>
              </w:rPr>
              <w:t> :</w:t>
            </w:r>
            <w:r w:rsidRPr="009E0B0D">
              <w:rPr>
                <w:lang w:val="fr-FR"/>
              </w:rPr>
              <w:t xml:space="preserve"> 50</w:t>
            </w:r>
            <w:r>
              <w:rPr>
                <w:lang w:val="fr-FR"/>
              </w:rPr>
              <w:t xml:space="preserve"> Objectif </w:t>
            </w:r>
            <w:r w:rsidR="00842D43">
              <w:rPr>
                <w:lang w:val="fr-FR"/>
              </w:rPr>
              <w:t>:</w:t>
            </w:r>
            <w:r w:rsidR="00292551">
              <w:rPr>
                <w:lang w:val="fr-FR"/>
              </w:rPr>
              <w:t> </w:t>
            </w:r>
            <w:r w:rsidRPr="009E0B0D">
              <w:rPr>
                <w:lang w:val="fr-FR"/>
              </w:rPr>
              <w:t>2018</w:t>
            </w:r>
            <w:r>
              <w:rPr>
                <w:lang w:val="fr-FR"/>
              </w:rPr>
              <w:noBreakHyphen/>
            </w:r>
            <w:r w:rsidR="0003036D">
              <w:rPr>
                <w:lang w:val="fr-FR"/>
              </w:rPr>
              <w:t>2019</w:t>
            </w:r>
            <w:r w:rsidR="00842D43">
              <w:rPr>
                <w:lang w:val="fr-FR"/>
              </w:rPr>
              <w:t> :</w:t>
            </w:r>
            <w:r w:rsidRPr="009E0B0D">
              <w:rPr>
                <w:lang w:val="fr-FR"/>
              </w:rPr>
              <w:t xml:space="preserve"> 52</w:t>
            </w:r>
          </w:p>
        </w:tc>
      </w:tr>
      <w:tr w:rsidR="00292551" w:rsidRPr="009E0B0D" w:rsidTr="00842D43">
        <w:tc>
          <w:tcPr>
            <w:tcW w:w="1461" w:type="dxa"/>
            <w:shd w:val="clear" w:color="auto" w:fill="auto"/>
          </w:tcPr>
          <w:p w:rsidR="00292551" w:rsidRPr="009E0B0D" w:rsidRDefault="00292551" w:rsidP="00292551">
            <w:pPr>
              <w:spacing w:before="40" w:after="120"/>
              <w:ind w:right="113"/>
            </w:pPr>
          </w:p>
        </w:tc>
        <w:tc>
          <w:tcPr>
            <w:tcW w:w="3462" w:type="dxa"/>
            <w:shd w:val="clear" w:color="auto" w:fill="auto"/>
          </w:tcPr>
          <w:p w:rsidR="00292551" w:rsidRPr="009E0B0D" w:rsidRDefault="00292551" w:rsidP="00292551">
            <w:pPr>
              <w:spacing w:before="40" w:after="120"/>
              <w:ind w:right="113"/>
            </w:pPr>
          </w:p>
        </w:tc>
        <w:tc>
          <w:tcPr>
            <w:tcW w:w="3582" w:type="dxa"/>
            <w:shd w:val="clear" w:color="auto" w:fill="auto"/>
          </w:tcPr>
          <w:p w:rsidR="00292551" w:rsidRPr="009E0B0D" w:rsidRDefault="00292551" w:rsidP="00292551">
            <w:pPr>
              <w:spacing w:before="40" w:after="120"/>
              <w:ind w:right="113"/>
            </w:pPr>
            <w:r w:rsidRPr="009E0B0D">
              <w:rPr>
                <w:lang w:val="fr-FR"/>
              </w:rPr>
              <w:t>c)</w:t>
            </w:r>
            <w:r w:rsidRPr="009E0B0D">
              <w:rPr>
                <w:lang w:val="fr-FR"/>
              </w:rPr>
              <w:tab/>
              <w:t>Nombre de pays ayant répondu au questionnaire sur la mise en œuvre de l’ATP</w:t>
            </w:r>
          </w:p>
        </w:tc>
      </w:tr>
      <w:tr w:rsidR="00292551" w:rsidRPr="009E0B0D" w:rsidTr="00842D43">
        <w:tc>
          <w:tcPr>
            <w:tcW w:w="1461" w:type="dxa"/>
            <w:shd w:val="clear" w:color="auto" w:fill="auto"/>
          </w:tcPr>
          <w:p w:rsidR="00292551" w:rsidRPr="009E0B0D" w:rsidRDefault="00292551" w:rsidP="00292551">
            <w:pPr>
              <w:spacing w:before="40" w:after="120"/>
              <w:ind w:right="113"/>
            </w:pPr>
          </w:p>
        </w:tc>
        <w:tc>
          <w:tcPr>
            <w:tcW w:w="3462" w:type="dxa"/>
            <w:shd w:val="clear" w:color="auto" w:fill="auto"/>
          </w:tcPr>
          <w:p w:rsidR="00292551" w:rsidRPr="009E0B0D" w:rsidRDefault="00292551" w:rsidP="00292551">
            <w:pPr>
              <w:spacing w:before="40" w:after="120"/>
              <w:ind w:right="113"/>
            </w:pPr>
          </w:p>
        </w:tc>
        <w:tc>
          <w:tcPr>
            <w:tcW w:w="3582" w:type="dxa"/>
            <w:shd w:val="clear" w:color="auto" w:fill="auto"/>
          </w:tcPr>
          <w:p w:rsidR="00292551" w:rsidRPr="009E0B0D" w:rsidRDefault="00292551" w:rsidP="00292551">
            <w:pPr>
              <w:spacing w:before="40" w:after="120"/>
              <w:ind w:right="113"/>
            </w:pPr>
            <w:r w:rsidRPr="009E0B0D">
              <w:rPr>
                <w:lang w:val="fr-FR"/>
              </w:rPr>
              <w:t>Mesures des résultats</w:t>
            </w:r>
            <w:r w:rsidR="00842D43">
              <w:rPr>
                <w:lang w:val="fr-FR"/>
              </w:rPr>
              <w:t> :</w:t>
            </w:r>
          </w:p>
        </w:tc>
      </w:tr>
      <w:tr w:rsidR="00292551" w:rsidRPr="009E0B0D" w:rsidTr="00842D43">
        <w:tc>
          <w:tcPr>
            <w:tcW w:w="1461" w:type="dxa"/>
            <w:tcBorders>
              <w:bottom w:val="single" w:sz="12" w:space="0" w:color="auto"/>
            </w:tcBorders>
            <w:shd w:val="clear" w:color="auto" w:fill="auto"/>
          </w:tcPr>
          <w:p w:rsidR="00292551" w:rsidRPr="009E0B0D" w:rsidRDefault="00292551" w:rsidP="00292551">
            <w:pPr>
              <w:spacing w:before="40" w:after="120"/>
              <w:ind w:right="113"/>
            </w:pPr>
          </w:p>
        </w:tc>
        <w:tc>
          <w:tcPr>
            <w:tcW w:w="3462" w:type="dxa"/>
            <w:tcBorders>
              <w:bottom w:val="single" w:sz="12" w:space="0" w:color="auto"/>
            </w:tcBorders>
            <w:shd w:val="clear" w:color="auto" w:fill="auto"/>
          </w:tcPr>
          <w:p w:rsidR="00292551" w:rsidRPr="009E0B0D" w:rsidRDefault="00292551" w:rsidP="00292551">
            <w:pPr>
              <w:spacing w:before="40" w:after="120"/>
              <w:ind w:right="113"/>
            </w:pPr>
          </w:p>
        </w:tc>
        <w:tc>
          <w:tcPr>
            <w:tcW w:w="3582" w:type="dxa"/>
            <w:tcBorders>
              <w:bottom w:val="single" w:sz="12" w:space="0" w:color="auto"/>
            </w:tcBorders>
            <w:shd w:val="clear" w:color="auto" w:fill="auto"/>
          </w:tcPr>
          <w:p w:rsidR="00292551" w:rsidRPr="00292551" w:rsidRDefault="00842D43" w:rsidP="00292551">
            <w:pPr>
              <w:spacing w:before="40" w:after="120"/>
              <w:ind w:right="113"/>
              <w:rPr>
                <w:lang w:val="fr-FR"/>
              </w:rPr>
            </w:pPr>
            <w:r>
              <w:rPr>
                <w:lang w:val="fr-FR"/>
              </w:rPr>
              <w:t>Référence :</w:t>
            </w:r>
            <w:r w:rsidR="00292551" w:rsidRPr="009E0B0D">
              <w:rPr>
                <w:lang w:val="fr-FR"/>
              </w:rPr>
              <w:t xml:space="preserve"> 2016-2017</w:t>
            </w:r>
            <w:r>
              <w:rPr>
                <w:lang w:val="fr-FR"/>
              </w:rPr>
              <w:t> :</w:t>
            </w:r>
            <w:r w:rsidR="00292551" w:rsidRPr="009E0B0D">
              <w:rPr>
                <w:lang w:val="fr-FR"/>
              </w:rPr>
              <w:t xml:space="preserve"> 22</w:t>
            </w:r>
            <w:r w:rsidR="00292551">
              <w:rPr>
                <w:lang w:val="fr-FR"/>
              </w:rPr>
              <w:t xml:space="preserve"> Objectif </w:t>
            </w:r>
            <w:r>
              <w:rPr>
                <w:lang w:val="fr-FR"/>
              </w:rPr>
              <w:t>:</w:t>
            </w:r>
            <w:r w:rsidR="00292551">
              <w:rPr>
                <w:lang w:val="fr-FR"/>
              </w:rPr>
              <w:t> </w:t>
            </w:r>
            <w:r w:rsidR="00292551" w:rsidRPr="009E0B0D">
              <w:rPr>
                <w:lang w:val="fr-FR"/>
              </w:rPr>
              <w:t>2018</w:t>
            </w:r>
            <w:r w:rsidR="00292551">
              <w:rPr>
                <w:lang w:val="fr-FR"/>
              </w:rPr>
              <w:noBreakHyphen/>
            </w:r>
            <w:r w:rsidR="0003036D">
              <w:rPr>
                <w:lang w:val="fr-FR"/>
              </w:rPr>
              <w:t>2019</w:t>
            </w:r>
            <w:r>
              <w:rPr>
                <w:lang w:val="fr-FR"/>
              </w:rPr>
              <w:t> :</w:t>
            </w:r>
            <w:r w:rsidR="00292551" w:rsidRPr="009E0B0D">
              <w:rPr>
                <w:lang w:val="fr-FR"/>
              </w:rPr>
              <w:t xml:space="preserve"> 24</w:t>
            </w:r>
          </w:p>
        </w:tc>
      </w:tr>
    </w:tbl>
    <w:p w:rsidR="009E0B0D" w:rsidRDefault="009E0B0D" w:rsidP="005316B0"/>
    <w:p w:rsidR="009E0B0D" w:rsidRPr="009E0B0D" w:rsidRDefault="009E0B0D" w:rsidP="009E0B0D">
      <w:pPr>
        <w:pStyle w:val="HChG"/>
      </w:pPr>
      <w:r>
        <w:br w:type="page"/>
      </w:r>
      <w:r w:rsidRPr="009E0B0D">
        <w:rPr>
          <w:lang w:val="fr-FR"/>
        </w:rPr>
        <w:lastRenderedPageBreak/>
        <w:t>Annexe II</w:t>
      </w:r>
    </w:p>
    <w:p w:rsidR="009E0B0D" w:rsidRPr="009E0B0D" w:rsidRDefault="009E0B0D" w:rsidP="009E0B0D">
      <w:pPr>
        <w:pStyle w:val="HChG"/>
      </w:pPr>
      <w:r w:rsidRPr="009E0B0D">
        <w:rPr>
          <w:lang w:val="fr-FR"/>
        </w:rPr>
        <w:tab/>
      </w:r>
      <w:r w:rsidRPr="009E0B0D">
        <w:rPr>
          <w:lang w:val="fr-FR"/>
        </w:rPr>
        <w:tab/>
        <w:t>Produits et activités à réaliser au cours de l’exercice biennal 2018-2019</w:t>
      </w:r>
    </w:p>
    <w:p w:rsidR="009E0B0D" w:rsidRPr="009E0B0D" w:rsidRDefault="009E0B0D" w:rsidP="009E0B0D">
      <w:pPr>
        <w:pStyle w:val="H23G"/>
      </w:pPr>
      <w:r w:rsidRPr="009E0B0D">
        <w:rPr>
          <w:lang w:val="fr-FR"/>
        </w:rPr>
        <w:tab/>
      </w:r>
      <w:r w:rsidRPr="009E0B0D">
        <w:rPr>
          <w:lang w:val="fr-FR"/>
        </w:rPr>
        <w:tab/>
        <w:t xml:space="preserve">Sous-programme 2 </w:t>
      </w:r>
      <w:r w:rsidR="00842D43">
        <w:rPr>
          <w:lang w:val="fr-FR"/>
        </w:rPr>
        <w:t>−</w:t>
      </w:r>
      <w:r w:rsidRPr="009E0B0D">
        <w:rPr>
          <w:lang w:val="fr-FR"/>
        </w:rPr>
        <w:t xml:space="preserve"> Transports</w:t>
      </w:r>
    </w:p>
    <w:p w:rsidR="009E0B0D" w:rsidRPr="009E0B0D" w:rsidRDefault="009E0B0D" w:rsidP="009E0B0D">
      <w:pPr>
        <w:pStyle w:val="H1G"/>
      </w:pPr>
      <w:r w:rsidRPr="009E0B0D">
        <w:rPr>
          <w:lang w:val="fr-FR"/>
        </w:rPr>
        <w:tab/>
      </w:r>
      <w:r w:rsidRPr="009E0B0D">
        <w:rPr>
          <w:lang w:val="fr-FR"/>
        </w:rPr>
        <w:tab/>
        <w:t xml:space="preserve">Module 12 </w:t>
      </w:r>
      <w:r>
        <w:rPr>
          <w:lang w:val="fr-FR"/>
        </w:rPr>
        <w:br/>
      </w:r>
      <w:r w:rsidRPr="009E0B0D">
        <w:rPr>
          <w:lang w:val="fr-FR"/>
        </w:rPr>
        <w:t>Transport des denrées périssables</w:t>
      </w:r>
    </w:p>
    <w:tbl>
      <w:tblPr>
        <w:tblW w:w="8505" w:type="dxa"/>
        <w:tblInd w:w="1134" w:type="dxa"/>
        <w:tblLayout w:type="fixed"/>
        <w:tblCellMar>
          <w:left w:w="0" w:type="dxa"/>
          <w:right w:w="0" w:type="dxa"/>
        </w:tblCellMar>
        <w:tblLook w:val="01E0" w:firstRow="1" w:lastRow="1" w:firstColumn="1" w:lastColumn="1" w:noHBand="0" w:noVBand="0"/>
      </w:tblPr>
      <w:tblGrid>
        <w:gridCol w:w="4877"/>
        <w:gridCol w:w="3628"/>
      </w:tblGrid>
      <w:tr w:rsidR="009E0B0D" w:rsidRPr="009E0B0D" w:rsidTr="009C20CB">
        <w:trPr>
          <w:tblHeader/>
        </w:trPr>
        <w:tc>
          <w:tcPr>
            <w:tcW w:w="4877" w:type="dxa"/>
            <w:tcBorders>
              <w:top w:val="single" w:sz="4" w:space="0" w:color="auto"/>
              <w:bottom w:val="single" w:sz="12" w:space="0" w:color="auto"/>
            </w:tcBorders>
            <w:shd w:val="clear" w:color="auto" w:fill="auto"/>
            <w:tcMar>
              <w:left w:w="57" w:type="dxa"/>
              <w:right w:w="57" w:type="dxa"/>
            </w:tcMar>
            <w:vAlign w:val="bottom"/>
          </w:tcPr>
          <w:p w:rsidR="009E0B0D" w:rsidRPr="009E0B0D" w:rsidRDefault="009E0B0D" w:rsidP="009E0B0D">
            <w:pPr>
              <w:spacing w:before="80" w:after="80" w:line="200" w:lineRule="exact"/>
              <w:ind w:right="113"/>
              <w:rPr>
                <w:i/>
                <w:iCs/>
                <w:sz w:val="16"/>
                <w:szCs w:val="16"/>
              </w:rPr>
            </w:pPr>
            <w:r w:rsidRPr="009E0B0D">
              <w:rPr>
                <w:i/>
                <w:sz w:val="16"/>
                <w:lang w:val="fr-FR"/>
              </w:rPr>
              <w:t>Description du module (facultatif)</w:t>
            </w:r>
          </w:p>
        </w:tc>
        <w:tc>
          <w:tcPr>
            <w:tcW w:w="3628" w:type="dxa"/>
            <w:tcBorders>
              <w:top w:val="single" w:sz="4" w:space="0" w:color="auto"/>
              <w:bottom w:val="single" w:sz="12" w:space="0" w:color="auto"/>
            </w:tcBorders>
            <w:shd w:val="clear" w:color="auto" w:fill="auto"/>
            <w:tcMar>
              <w:left w:w="57" w:type="dxa"/>
              <w:right w:w="57" w:type="dxa"/>
            </w:tcMar>
            <w:vAlign w:val="bottom"/>
          </w:tcPr>
          <w:p w:rsidR="009E0B0D" w:rsidRPr="009E0B0D" w:rsidRDefault="009E0B0D" w:rsidP="009E0B0D">
            <w:pPr>
              <w:spacing w:before="80" w:after="80" w:line="200" w:lineRule="exact"/>
              <w:ind w:right="113"/>
              <w:rPr>
                <w:i/>
                <w:iCs/>
                <w:sz w:val="16"/>
                <w:szCs w:val="16"/>
              </w:rPr>
            </w:pPr>
            <w:r w:rsidRPr="009E0B0D">
              <w:rPr>
                <w:i/>
                <w:sz w:val="16"/>
                <w:lang w:val="fr-FR"/>
              </w:rPr>
              <w:t>Réalisations escomptées</w:t>
            </w:r>
          </w:p>
        </w:tc>
      </w:tr>
      <w:tr w:rsidR="009E0B0D" w:rsidRPr="009E0B0D" w:rsidTr="009C20CB">
        <w:trPr>
          <w:trHeight w:hRule="exact" w:val="113"/>
        </w:trPr>
        <w:tc>
          <w:tcPr>
            <w:tcW w:w="4877" w:type="dxa"/>
            <w:tcBorders>
              <w:top w:val="single" w:sz="12" w:space="0" w:color="auto"/>
            </w:tcBorders>
            <w:shd w:val="clear" w:color="auto" w:fill="auto"/>
            <w:tcMar>
              <w:left w:w="57" w:type="dxa"/>
              <w:right w:w="57" w:type="dxa"/>
            </w:tcMar>
          </w:tcPr>
          <w:p w:rsidR="009E0B0D" w:rsidRPr="009E0B0D" w:rsidRDefault="009E0B0D" w:rsidP="009E0B0D">
            <w:pPr>
              <w:spacing w:before="40" w:after="120"/>
              <w:ind w:right="113"/>
              <w:rPr>
                <w:lang w:val="fr-FR"/>
              </w:rPr>
            </w:pPr>
          </w:p>
        </w:tc>
        <w:tc>
          <w:tcPr>
            <w:tcW w:w="3628" w:type="dxa"/>
            <w:tcBorders>
              <w:top w:val="single" w:sz="12" w:space="0" w:color="auto"/>
            </w:tcBorders>
            <w:shd w:val="clear" w:color="auto" w:fill="auto"/>
            <w:tcMar>
              <w:left w:w="57" w:type="dxa"/>
              <w:right w:w="57" w:type="dxa"/>
            </w:tcMar>
          </w:tcPr>
          <w:p w:rsidR="009E0B0D" w:rsidRPr="009E0B0D" w:rsidRDefault="009E0B0D" w:rsidP="009E0B0D">
            <w:pPr>
              <w:spacing w:before="40" w:after="120"/>
              <w:ind w:right="113"/>
              <w:rPr>
                <w:lang w:val="fr-FR"/>
              </w:rPr>
            </w:pPr>
          </w:p>
        </w:tc>
      </w:tr>
      <w:tr w:rsidR="00E86C1C" w:rsidRPr="009E0B0D" w:rsidTr="009C20CB">
        <w:tc>
          <w:tcPr>
            <w:tcW w:w="4877" w:type="dxa"/>
            <w:shd w:val="clear" w:color="auto" w:fill="auto"/>
            <w:tcMar>
              <w:left w:w="57" w:type="dxa"/>
              <w:right w:w="57" w:type="dxa"/>
            </w:tcMar>
          </w:tcPr>
          <w:p w:rsidR="00E86C1C" w:rsidRPr="00183D6F" w:rsidRDefault="00E86C1C" w:rsidP="00183D6F">
            <w:pPr>
              <w:spacing w:before="40" w:after="120"/>
              <w:ind w:right="113"/>
              <w:rPr>
                <w:szCs w:val="18"/>
                <w:lang w:val="fr-FR"/>
              </w:rPr>
            </w:pPr>
            <w:r w:rsidRPr="009E0B0D">
              <w:rPr>
                <w:lang w:val="fr-FR"/>
              </w:rPr>
              <w:t xml:space="preserve">Les principaux objectifs de ce module sont les suivants </w:t>
            </w:r>
            <w:r>
              <w:rPr>
                <w:lang w:val="fr-FR"/>
              </w:rPr>
              <w:t> :</w:t>
            </w:r>
          </w:p>
        </w:tc>
        <w:tc>
          <w:tcPr>
            <w:tcW w:w="3628" w:type="dxa"/>
            <w:vMerge w:val="restart"/>
            <w:shd w:val="clear" w:color="auto" w:fill="auto"/>
            <w:tcMar>
              <w:left w:w="57" w:type="dxa"/>
              <w:right w:w="57" w:type="dxa"/>
            </w:tcMar>
          </w:tcPr>
          <w:p w:rsidR="00E86C1C" w:rsidRPr="009E0B0D" w:rsidRDefault="00E86C1C" w:rsidP="009E0B0D">
            <w:pPr>
              <w:spacing w:before="40" w:after="120"/>
              <w:ind w:right="113"/>
              <w:rPr>
                <w:szCs w:val="18"/>
              </w:rPr>
            </w:pPr>
            <w:r w:rsidRPr="009E0B0D">
              <w:rPr>
                <w:lang w:val="fr-FR"/>
              </w:rPr>
              <w:t xml:space="preserve">Renforcement et mise à jour des prescriptions régissant le transport international des denrées périssables </w:t>
            </w:r>
          </w:p>
        </w:tc>
      </w:tr>
      <w:tr w:rsidR="00E86C1C" w:rsidRPr="009E0B0D" w:rsidTr="009C20CB">
        <w:tc>
          <w:tcPr>
            <w:tcW w:w="4877" w:type="dxa"/>
            <w:shd w:val="clear" w:color="auto" w:fill="auto"/>
            <w:tcMar>
              <w:left w:w="57" w:type="dxa"/>
              <w:right w:w="57" w:type="dxa"/>
            </w:tcMar>
          </w:tcPr>
          <w:p w:rsidR="00E86C1C" w:rsidRPr="00183D6F" w:rsidRDefault="00E86C1C" w:rsidP="009E0B0D">
            <w:pPr>
              <w:spacing w:before="40" w:after="120"/>
              <w:ind w:right="113"/>
              <w:rPr>
                <w:szCs w:val="18"/>
              </w:rPr>
            </w:pPr>
            <w:r w:rsidRPr="009E0B0D">
              <w:rPr>
                <w:lang w:val="fr-FR"/>
              </w:rPr>
              <w:t>Prendre et mettre en œuvre des mesures visant à accroître la préservation de la qualité des denrées périssables lors de leur transport, en particulier au cours des transports internationaux</w:t>
            </w:r>
            <w:r>
              <w:rPr>
                <w:lang w:val="fr-FR"/>
              </w:rPr>
              <w:t> ;</w:t>
            </w:r>
          </w:p>
        </w:tc>
        <w:tc>
          <w:tcPr>
            <w:tcW w:w="3628" w:type="dxa"/>
            <w:vMerge/>
            <w:shd w:val="clear" w:color="auto" w:fill="auto"/>
            <w:tcMar>
              <w:left w:w="57" w:type="dxa"/>
              <w:right w:w="57" w:type="dxa"/>
            </w:tcMar>
          </w:tcPr>
          <w:p w:rsidR="00E86C1C" w:rsidRPr="009E0B0D" w:rsidRDefault="00E86C1C" w:rsidP="009E0B0D">
            <w:pPr>
              <w:spacing w:before="40" w:after="120"/>
              <w:ind w:right="113"/>
              <w:rPr>
                <w:lang w:val="fr-FR"/>
              </w:rPr>
            </w:pPr>
          </w:p>
        </w:tc>
      </w:tr>
      <w:tr w:rsidR="009C20CB" w:rsidRPr="009E0B0D" w:rsidTr="009C20CB">
        <w:tc>
          <w:tcPr>
            <w:tcW w:w="4877" w:type="dxa"/>
            <w:shd w:val="clear" w:color="auto" w:fill="auto"/>
            <w:tcMar>
              <w:left w:w="57" w:type="dxa"/>
              <w:right w:w="57" w:type="dxa"/>
            </w:tcMar>
          </w:tcPr>
          <w:p w:rsidR="009C20CB" w:rsidRPr="00183D6F" w:rsidRDefault="00183D6F" w:rsidP="009E0B0D">
            <w:pPr>
              <w:spacing w:before="40" w:after="120"/>
              <w:ind w:right="113"/>
              <w:rPr>
                <w:szCs w:val="18"/>
              </w:rPr>
            </w:pPr>
            <w:r w:rsidRPr="009E0B0D">
              <w:rPr>
                <w:lang w:val="fr-FR"/>
              </w:rPr>
              <w:t>Promouvoir la facilitation du transport international des denrées périssables par une harmonisation des prescriptions et règles y relatives ainsi que des procédures administratives et de la documentation auxquelles ce transport est soumis</w:t>
            </w:r>
            <w:r w:rsidR="00842D43">
              <w:rPr>
                <w:lang w:val="fr-FR"/>
              </w:rPr>
              <w:t> ;</w:t>
            </w:r>
          </w:p>
        </w:tc>
        <w:tc>
          <w:tcPr>
            <w:tcW w:w="3628" w:type="dxa"/>
            <w:shd w:val="clear" w:color="auto" w:fill="auto"/>
            <w:tcMar>
              <w:left w:w="57" w:type="dxa"/>
              <w:right w:w="57" w:type="dxa"/>
            </w:tcMar>
          </w:tcPr>
          <w:p w:rsidR="009C20CB" w:rsidRPr="009E0B0D" w:rsidRDefault="009C20CB" w:rsidP="009E0B0D">
            <w:pPr>
              <w:spacing w:before="40" w:after="120"/>
              <w:ind w:right="113"/>
              <w:rPr>
                <w:lang w:val="fr-FR"/>
              </w:rPr>
            </w:pPr>
          </w:p>
        </w:tc>
      </w:tr>
      <w:tr w:rsidR="009C20CB" w:rsidRPr="009E0B0D" w:rsidTr="009C20CB">
        <w:tc>
          <w:tcPr>
            <w:tcW w:w="4877" w:type="dxa"/>
            <w:shd w:val="clear" w:color="auto" w:fill="auto"/>
            <w:tcMar>
              <w:left w:w="57" w:type="dxa"/>
              <w:right w:w="57" w:type="dxa"/>
            </w:tcMar>
          </w:tcPr>
          <w:p w:rsidR="009C20CB" w:rsidRPr="00183D6F" w:rsidRDefault="00183D6F" w:rsidP="009E0B0D">
            <w:pPr>
              <w:spacing w:before="40" w:after="120"/>
              <w:ind w:right="113"/>
              <w:rPr>
                <w:szCs w:val="18"/>
              </w:rPr>
            </w:pPr>
            <w:r w:rsidRPr="009E0B0D">
              <w:rPr>
                <w:lang w:val="fr-FR"/>
              </w:rPr>
              <w:t>Élargir et mettre à jour l’Accord européen relatif aux transports internationaux de denrées périssables et aux engins spéciaux à utiliser pour ces transports (ATP), conclu à Genève en 1970</w:t>
            </w:r>
            <w:r w:rsidR="00842D43">
              <w:rPr>
                <w:lang w:val="fr-FR"/>
              </w:rPr>
              <w:t> ;</w:t>
            </w:r>
          </w:p>
        </w:tc>
        <w:tc>
          <w:tcPr>
            <w:tcW w:w="3628" w:type="dxa"/>
            <w:shd w:val="clear" w:color="auto" w:fill="auto"/>
            <w:tcMar>
              <w:left w:w="57" w:type="dxa"/>
              <w:right w:w="57" w:type="dxa"/>
            </w:tcMar>
          </w:tcPr>
          <w:p w:rsidR="009C20CB" w:rsidRPr="009E0B0D" w:rsidRDefault="009C20CB" w:rsidP="009E0B0D">
            <w:pPr>
              <w:spacing w:before="40" w:after="120"/>
              <w:ind w:right="113"/>
              <w:rPr>
                <w:lang w:val="fr-FR"/>
              </w:rPr>
            </w:pPr>
          </w:p>
        </w:tc>
      </w:tr>
      <w:tr w:rsidR="009C20CB" w:rsidRPr="009E0B0D" w:rsidTr="009C20CB">
        <w:tc>
          <w:tcPr>
            <w:tcW w:w="4877" w:type="dxa"/>
            <w:shd w:val="clear" w:color="auto" w:fill="auto"/>
            <w:tcMar>
              <w:left w:w="57" w:type="dxa"/>
              <w:right w:w="57" w:type="dxa"/>
            </w:tcMar>
          </w:tcPr>
          <w:p w:rsidR="009C20CB" w:rsidRPr="009E0B0D" w:rsidRDefault="00183D6F" w:rsidP="009E0B0D">
            <w:pPr>
              <w:spacing w:before="40" w:after="120"/>
              <w:ind w:right="113"/>
              <w:rPr>
                <w:lang w:val="fr-FR"/>
              </w:rPr>
            </w:pPr>
            <w:r w:rsidRPr="009E0B0D">
              <w:rPr>
                <w:lang w:val="fr-FR"/>
              </w:rPr>
              <w:t>Assurer l’harmonisation de l’ATP avec d’autres normes et instruments juridiques pertinents régissant le transport des denrées périssables élaborés dans le cadre d’autres instances</w:t>
            </w:r>
            <w:r w:rsidR="00842D43">
              <w:rPr>
                <w:lang w:val="fr-FR"/>
              </w:rPr>
              <w:t> ;</w:t>
            </w:r>
          </w:p>
        </w:tc>
        <w:tc>
          <w:tcPr>
            <w:tcW w:w="3628" w:type="dxa"/>
            <w:shd w:val="clear" w:color="auto" w:fill="auto"/>
            <w:tcMar>
              <w:left w:w="57" w:type="dxa"/>
              <w:right w:w="57" w:type="dxa"/>
            </w:tcMar>
          </w:tcPr>
          <w:p w:rsidR="009C20CB" w:rsidRPr="009E0B0D" w:rsidRDefault="009C20CB" w:rsidP="009E0B0D">
            <w:pPr>
              <w:spacing w:before="40" w:after="120"/>
              <w:ind w:right="113"/>
              <w:rPr>
                <w:lang w:val="fr-FR"/>
              </w:rPr>
            </w:pPr>
          </w:p>
        </w:tc>
      </w:tr>
      <w:tr w:rsidR="009E0B0D" w:rsidRPr="009E0B0D" w:rsidTr="009C20CB">
        <w:tc>
          <w:tcPr>
            <w:tcW w:w="4877" w:type="dxa"/>
            <w:shd w:val="clear" w:color="auto" w:fill="auto"/>
            <w:tcMar>
              <w:left w:w="57" w:type="dxa"/>
              <w:right w:w="57" w:type="dxa"/>
            </w:tcMar>
          </w:tcPr>
          <w:p w:rsidR="009E0B0D" w:rsidRPr="00183D6F" w:rsidDel="00817D5E" w:rsidRDefault="009E0B0D" w:rsidP="00183D6F">
            <w:pPr>
              <w:spacing w:before="40" w:after="120"/>
              <w:ind w:right="113"/>
              <w:rPr>
                <w:szCs w:val="18"/>
                <w:lang w:val="fr-FR"/>
              </w:rPr>
            </w:pPr>
            <w:r w:rsidRPr="009E0B0D">
              <w:rPr>
                <w:lang w:val="fr-FR"/>
              </w:rPr>
              <w:t>Principales tâches de la Division des transports durables</w:t>
            </w:r>
            <w:r w:rsidR="00842D43">
              <w:rPr>
                <w:lang w:val="fr-FR"/>
              </w:rPr>
              <w:t> :</w:t>
            </w:r>
          </w:p>
        </w:tc>
        <w:tc>
          <w:tcPr>
            <w:tcW w:w="3628" w:type="dxa"/>
            <w:shd w:val="clear" w:color="auto" w:fill="auto"/>
            <w:tcMar>
              <w:left w:w="57" w:type="dxa"/>
              <w:right w:w="57" w:type="dxa"/>
            </w:tcMar>
          </w:tcPr>
          <w:p w:rsidR="009E0B0D" w:rsidRPr="009E0B0D" w:rsidRDefault="009E0B0D" w:rsidP="009E0B0D">
            <w:pPr>
              <w:spacing w:before="40" w:after="120"/>
              <w:ind w:right="113"/>
              <w:rPr>
                <w:szCs w:val="18"/>
              </w:rPr>
            </w:pPr>
          </w:p>
        </w:tc>
      </w:tr>
      <w:tr w:rsidR="009C20CB" w:rsidRPr="009E0B0D" w:rsidTr="00183D6F">
        <w:tc>
          <w:tcPr>
            <w:tcW w:w="4877" w:type="dxa"/>
            <w:shd w:val="clear" w:color="auto" w:fill="auto"/>
            <w:tcMar>
              <w:left w:w="57" w:type="dxa"/>
              <w:right w:w="57" w:type="dxa"/>
            </w:tcMar>
          </w:tcPr>
          <w:p w:rsidR="009E0B0D" w:rsidRPr="009E0B0D" w:rsidRDefault="00183D6F" w:rsidP="00183D6F">
            <w:pPr>
              <w:tabs>
                <w:tab w:val="left" w:pos="283"/>
              </w:tabs>
              <w:spacing w:before="40" w:after="120"/>
              <w:ind w:right="113"/>
              <w:rPr>
                <w:szCs w:val="18"/>
              </w:rPr>
            </w:pPr>
            <w:r>
              <w:rPr>
                <w:lang w:val="fr-FR"/>
              </w:rPr>
              <w:t>•</w:t>
            </w:r>
            <w:r>
              <w:rPr>
                <w:lang w:val="fr-FR"/>
              </w:rPr>
              <w:tab/>
            </w:r>
            <w:r w:rsidRPr="009E0B0D">
              <w:rPr>
                <w:lang w:val="fr-FR"/>
              </w:rPr>
              <w:t>Assurer le secrétariat du Groupe de travail du transport des denrées périssables (WP.11)</w:t>
            </w:r>
            <w:r w:rsidR="00842D43">
              <w:rPr>
                <w:lang w:val="fr-FR"/>
              </w:rPr>
              <w:t> ;</w:t>
            </w:r>
          </w:p>
        </w:tc>
        <w:tc>
          <w:tcPr>
            <w:tcW w:w="3628" w:type="dxa"/>
            <w:shd w:val="clear" w:color="auto" w:fill="auto"/>
            <w:tcMar>
              <w:left w:w="57" w:type="dxa"/>
              <w:right w:w="57" w:type="dxa"/>
            </w:tcMar>
          </w:tcPr>
          <w:p w:rsidR="009E0B0D" w:rsidRPr="009E0B0D" w:rsidRDefault="009E0B0D" w:rsidP="009E0B0D">
            <w:pPr>
              <w:spacing w:before="40" w:after="120"/>
              <w:ind w:right="113"/>
              <w:rPr>
                <w:szCs w:val="18"/>
              </w:rPr>
            </w:pPr>
          </w:p>
        </w:tc>
      </w:tr>
      <w:tr w:rsidR="00183D6F" w:rsidRPr="009E0B0D" w:rsidTr="00183D6F">
        <w:tc>
          <w:tcPr>
            <w:tcW w:w="4877" w:type="dxa"/>
            <w:shd w:val="clear" w:color="auto" w:fill="auto"/>
            <w:tcMar>
              <w:left w:w="57" w:type="dxa"/>
              <w:right w:w="57" w:type="dxa"/>
            </w:tcMar>
          </w:tcPr>
          <w:p w:rsidR="00183D6F" w:rsidRPr="009E0B0D" w:rsidRDefault="00183D6F" w:rsidP="00183D6F">
            <w:pPr>
              <w:tabs>
                <w:tab w:val="left" w:pos="283"/>
              </w:tabs>
              <w:spacing w:before="40" w:after="120"/>
              <w:ind w:right="113"/>
              <w:rPr>
                <w:szCs w:val="18"/>
              </w:rPr>
            </w:pPr>
            <w:r>
              <w:rPr>
                <w:lang w:val="fr-FR"/>
              </w:rPr>
              <w:t>•</w:t>
            </w:r>
            <w:r>
              <w:rPr>
                <w:lang w:val="fr-FR"/>
              </w:rPr>
              <w:tab/>
            </w:r>
            <w:r w:rsidRPr="009E0B0D">
              <w:rPr>
                <w:lang w:val="fr-FR"/>
              </w:rPr>
              <w:t>Publier des versions mises à jour de l’ATP (versions papier et électronique) et du Manuel ATP (version électronique seulement)</w:t>
            </w:r>
            <w:r w:rsidR="00842D43">
              <w:rPr>
                <w:lang w:val="fr-FR"/>
              </w:rPr>
              <w:t> ;</w:t>
            </w:r>
          </w:p>
        </w:tc>
        <w:tc>
          <w:tcPr>
            <w:tcW w:w="3628" w:type="dxa"/>
            <w:shd w:val="clear" w:color="auto" w:fill="auto"/>
            <w:tcMar>
              <w:left w:w="57" w:type="dxa"/>
              <w:right w:w="57" w:type="dxa"/>
            </w:tcMar>
          </w:tcPr>
          <w:p w:rsidR="00183D6F" w:rsidRPr="009E0B0D" w:rsidRDefault="00183D6F" w:rsidP="009E0B0D">
            <w:pPr>
              <w:spacing w:before="40" w:after="120"/>
              <w:ind w:right="113"/>
              <w:rPr>
                <w:szCs w:val="18"/>
              </w:rPr>
            </w:pPr>
          </w:p>
        </w:tc>
      </w:tr>
      <w:tr w:rsidR="00183D6F" w:rsidRPr="009E0B0D" w:rsidTr="00183D6F">
        <w:tc>
          <w:tcPr>
            <w:tcW w:w="4877" w:type="dxa"/>
            <w:shd w:val="clear" w:color="auto" w:fill="auto"/>
            <w:tcMar>
              <w:left w:w="57" w:type="dxa"/>
              <w:right w:w="57" w:type="dxa"/>
            </w:tcMar>
          </w:tcPr>
          <w:p w:rsidR="00183D6F" w:rsidRPr="00183D6F" w:rsidRDefault="00183D6F" w:rsidP="00183D6F">
            <w:pPr>
              <w:tabs>
                <w:tab w:val="left" w:pos="283"/>
              </w:tabs>
              <w:spacing w:before="40" w:after="120"/>
              <w:ind w:right="113"/>
              <w:rPr>
                <w:szCs w:val="18"/>
                <w:lang w:val="fr-FR"/>
              </w:rPr>
            </w:pPr>
            <w:r>
              <w:t>•</w:t>
            </w:r>
            <w:r>
              <w:tab/>
            </w:r>
            <w:r w:rsidRPr="009E0B0D">
              <w:rPr>
                <w:lang w:val="fr-FR"/>
              </w:rPr>
              <w:t>Organiser des activités, notamment des ateliers, visant à renforcer la mise en œuvre de l’ATP et à promouvoir l’adhésion de nouveaux États</w:t>
            </w:r>
            <w:r w:rsidR="00842D43">
              <w:rPr>
                <w:lang w:val="fr-FR"/>
              </w:rPr>
              <w:t> ;</w:t>
            </w:r>
          </w:p>
        </w:tc>
        <w:tc>
          <w:tcPr>
            <w:tcW w:w="3628" w:type="dxa"/>
            <w:shd w:val="clear" w:color="auto" w:fill="auto"/>
            <w:tcMar>
              <w:left w:w="57" w:type="dxa"/>
              <w:right w:w="57" w:type="dxa"/>
            </w:tcMar>
          </w:tcPr>
          <w:p w:rsidR="00183D6F" w:rsidRPr="009E0B0D" w:rsidRDefault="00183D6F" w:rsidP="009E0B0D">
            <w:pPr>
              <w:spacing w:before="40" w:after="120"/>
              <w:ind w:right="113"/>
              <w:rPr>
                <w:szCs w:val="18"/>
              </w:rPr>
            </w:pPr>
          </w:p>
        </w:tc>
      </w:tr>
      <w:tr w:rsidR="00183D6F" w:rsidRPr="009E0B0D" w:rsidTr="009C20CB">
        <w:tc>
          <w:tcPr>
            <w:tcW w:w="4877" w:type="dxa"/>
            <w:tcBorders>
              <w:bottom w:val="single" w:sz="12" w:space="0" w:color="auto"/>
            </w:tcBorders>
            <w:shd w:val="clear" w:color="auto" w:fill="auto"/>
            <w:tcMar>
              <w:left w:w="57" w:type="dxa"/>
              <w:right w:w="57" w:type="dxa"/>
            </w:tcMar>
          </w:tcPr>
          <w:p w:rsidR="00183D6F" w:rsidRPr="009E0B0D" w:rsidRDefault="00183D6F" w:rsidP="00183D6F">
            <w:pPr>
              <w:tabs>
                <w:tab w:val="left" w:pos="283"/>
              </w:tabs>
              <w:spacing w:before="40" w:after="120"/>
              <w:ind w:right="113"/>
              <w:rPr>
                <w:szCs w:val="18"/>
              </w:rPr>
            </w:pPr>
            <w:r>
              <w:t>•</w:t>
            </w:r>
            <w:r>
              <w:tab/>
            </w:r>
            <w:r w:rsidRPr="009E0B0D">
              <w:rPr>
                <w:lang w:val="fr-FR"/>
              </w:rPr>
              <w:t>Coopérer avec les gouvernements et d’autres intervenants (organisations intergouvernementales et non gouvernementales) dans le domaine du transport réfrigéré.</w:t>
            </w:r>
          </w:p>
        </w:tc>
        <w:tc>
          <w:tcPr>
            <w:tcW w:w="3628" w:type="dxa"/>
            <w:tcBorders>
              <w:bottom w:val="single" w:sz="12" w:space="0" w:color="auto"/>
            </w:tcBorders>
            <w:shd w:val="clear" w:color="auto" w:fill="auto"/>
            <w:tcMar>
              <w:left w:w="57" w:type="dxa"/>
              <w:right w:w="57" w:type="dxa"/>
            </w:tcMar>
          </w:tcPr>
          <w:p w:rsidR="00183D6F" w:rsidRPr="009E0B0D" w:rsidRDefault="00183D6F" w:rsidP="009E0B0D">
            <w:pPr>
              <w:spacing w:before="40" w:after="120"/>
              <w:ind w:right="113"/>
              <w:rPr>
                <w:szCs w:val="18"/>
              </w:rPr>
            </w:pPr>
          </w:p>
        </w:tc>
      </w:tr>
    </w:tbl>
    <w:p w:rsidR="009E0B0D" w:rsidRPr="009E0B0D" w:rsidRDefault="009E0B0D" w:rsidP="009E0B0D">
      <w:pPr>
        <w:pStyle w:val="H23G"/>
      </w:pPr>
      <w:r w:rsidRPr="009E0B0D">
        <w:rPr>
          <w:lang w:val="fr-FR"/>
        </w:rPr>
        <w:tab/>
      </w:r>
      <w:r w:rsidRPr="009E0B0D">
        <w:rPr>
          <w:lang w:val="fr-FR"/>
        </w:rPr>
        <w:tab/>
        <w:t>Produits/activités</w:t>
      </w:r>
    </w:p>
    <w:p w:rsidR="009E0B0D" w:rsidRPr="009E0B0D" w:rsidRDefault="009E0B0D" w:rsidP="009E0B0D">
      <w:pPr>
        <w:pStyle w:val="H4G"/>
      </w:pPr>
      <w:r w:rsidRPr="009E0B0D">
        <w:rPr>
          <w:lang w:val="fr-FR"/>
        </w:rPr>
        <w:tab/>
        <w:t>a)</w:t>
      </w:r>
      <w:r w:rsidRPr="009E0B0D">
        <w:rPr>
          <w:lang w:val="fr-FR"/>
        </w:rPr>
        <w:tab/>
        <w:t>Réunions et documents correspondants</w:t>
      </w:r>
    </w:p>
    <w:p w:rsidR="009E0B0D" w:rsidRPr="009E0B0D" w:rsidRDefault="009E0B0D" w:rsidP="009C20CB">
      <w:pPr>
        <w:pStyle w:val="SingleTxtG"/>
        <w:ind w:left="1701" w:hanging="567"/>
      </w:pPr>
      <w:r w:rsidRPr="009E0B0D">
        <w:rPr>
          <w:lang w:val="fr-FR"/>
        </w:rPr>
        <w:t>12.1</w:t>
      </w:r>
      <w:r w:rsidRPr="009E0B0D">
        <w:rPr>
          <w:lang w:val="fr-FR"/>
        </w:rPr>
        <w:tab/>
        <w:t>Groupe de travail du transport des denrées périssables (WP.11)</w:t>
      </w:r>
      <w:r w:rsidR="00842D43">
        <w:rPr>
          <w:lang w:val="fr-FR"/>
        </w:rPr>
        <w:t> :</w:t>
      </w:r>
      <w:r w:rsidRPr="009E0B0D">
        <w:rPr>
          <w:lang w:val="fr-FR"/>
        </w:rPr>
        <w:t xml:space="preserve"> soixante-quatorzième session (9-12 octobre 2018), soixante-quinzième session (dates à décider en 2018) (16 séances).</w:t>
      </w:r>
    </w:p>
    <w:p w:rsidR="009E0B0D" w:rsidRPr="00842D43" w:rsidRDefault="009E0B0D" w:rsidP="009C20CB">
      <w:pPr>
        <w:pStyle w:val="SingleTxtG"/>
        <w:ind w:left="1701"/>
        <w:rPr>
          <w:spacing w:val="-4"/>
        </w:rPr>
      </w:pPr>
      <w:r w:rsidRPr="009E0B0D">
        <w:rPr>
          <w:lang w:val="fr-FR"/>
        </w:rPr>
        <w:lastRenderedPageBreak/>
        <w:t>Rapports des sessions annuelles du WP.11 (2)</w:t>
      </w:r>
      <w:r w:rsidR="00842D43">
        <w:rPr>
          <w:lang w:val="fr-FR"/>
        </w:rPr>
        <w:t> ;</w:t>
      </w:r>
      <w:r w:rsidRPr="009E0B0D">
        <w:rPr>
          <w:lang w:val="fr-FR"/>
        </w:rPr>
        <w:t xml:space="preserve"> Séries de documents concernant, notamm</w:t>
      </w:r>
      <w:r w:rsidR="00DA15B7">
        <w:rPr>
          <w:lang w:val="fr-FR"/>
        </w:rPr>
        <w:t>ent, les questions suivantes</w:t>
      </w:r>
      <w:r w:rsidR="00842D43">
        <w:rPr>
          <w:lang w:val="fr-FR"/>
        </w:rPr>
        <w:t> :</w:t>
      </w:r>
      <w:r w:rsidRPr="009E0B0D">
        <w:rPr>
          <w:lang w:val="fr-FR"/>
        </w:rPr>
        <w:t xml:space="preserve"> échange d’informations sur l’application de l’ATP</w:t>
      </w:r>
      <w:r w:rsidR="00842D43">
        <w:rPr>
          <w:lang w:val="fr-FR"/>
        </w:rPr>
        <w:t> ;</w:t>
      </w:r>
      <w:r w:rsidRPr="009E0B0D">
        <w:rPr>
          <w:lang w:val="fr-FR"/>
        </w:rPr>
        <w:t xml:space="preserve"> propositions d’amendements à l’ATP et à ses annexes</w:t>
      </w:r>
      <w:r w:rsidR="00842D43">
        <w:rPr>
          <w:lang w:val="fr-FR"/>
        </w:rPr>
        <w:t> ;</w:t>
      </w:r>
      <w:r w:rsidRPr="009E0B0D">
        <w:rPr>
          <w:lang w:val="fr-FR"/>
        </w:rPr>
        <w:t xml:space="preserve"> propositions d’ajouts au Manuel ATP</w:t>
      </w:r>
      <w:r w:rsidR="00842D43">
        <w:rPr>
          <w:lang w:val="fr-FR"/>
        </w:rPr>
        <w:t> ;</w:t>
      </w:r>
      <w:r w:rsidRPr="009E0B0D">
        <w:rPr>
          <w:lang w:val="fr-FR"/>
        </w:rPr>
        <w:t xml:space="preserve"> </w:t>
      </w:r>
      <w:r w:rsidRPr="00842D43">
        <w:rPr>
          <w:spacing w:val="-4"/>
          <w:lang w:val="fr-FR"/>
        </w:rPr>
        <w:t>propositions concernant l’éventuelle extension du champ d’application de l’ATP</w:t>
      </w:r>
      <w:r w:rsidR="00842D43">
        <w:rPr>
          <w:spacing w:val="-4"/>
          <w:lang w:val="fr-FR"/>
        </w:rPr>
        <w:t> ;</w:t>
      </w:r>
      <w:r w:rsidRPr="00842D43">
        <w:rPr>
          <w:spacing w:val="-4"/>
          <w:lang w:val="fr-FR"/>
        </w:rPr>
        <w:t xml:space="preserve"> programme de travail, évaluation biennale et plan de travail (2). </w:t>
      </w:r>
    </w:p>
    <w:p w:rsidR="009E0B0D" w:rsidRPr="009E0B0D" w:rsidRDefault="009E0B0D" w:rsidP="009C20CB">
      <w:pPr>
        <w:pStyle w:val="H4G"/>
        <w:rPr>
          <w:iCs/>
        </w:rPr>
      </w:pPr>
      <w:r w:rsidRPr="009E0B0D">
        <w:rPr>
          <w:lang w:val="fr-FR"/>
        </w:rPr>
        <w:tab/>
        <w:t>b)</w:t>
      </w:r>
      <w:r w:rsidRPr="009E0B0D">
        <w:rPr>
          <w:lang w:val="fr-FR"/>
        </w:rPr>
        <w:tab/>
        <w:t>Publications et autres supports d’information</w:t>
      </w:r>
    </w:p>
    <w:p w:rsidR="009E0B0D" w:rsidRPr="009E0B0D" w:rsidRDefault="009E0B0D" w:rsidP="009C20CB">
      <w:pPr>
        <w:pStyle w:val="SingleTxtG"/>
        <w:ind w:left="1701" w:hanging="567"/>
      </w:pPr>
      <w:r w:rsidRPr="009E0B0D">
        <w:rPr>
          <w:lang w:val="fr-FR"/>
        </w:rPr>
        <w:t>12.2</w:t>
      </w:r>
      <w:r w:rsidRPr="009E0B0D">
        <w:rPr>
          <w:lang w:val="fr-FR"/>
        </w:rPr>
        <w:tab/>
        <w:t>Édition 2018-2019 de la publication de l’ATP (1)</w:t>
      </w:r>
      <w:r w:rsidR="00842D43">
        <w:rPr>
          <w:lang w:val="fr-FR"/>
        </w:rPr>
        <w:t> ;</w:t>
      </w:r>
    </w:p>
    <w:p w:rsidR="009E0B0D" w:rsidRPr="009E0B0D" w:rsidRDefault="009E0B0D" w:rsidP="009C20CB">
      <w:pPr>
        <w:pStyle w:val="SingleTxtG"/>
        <w:ind w:left="1701" w:hanging="567"/>
      </w:pPr>
      <w:r w:rsidRPr="009E0B0D">
        <w:rPr>
          <w:lang w:val="fr-FR"/>
        </w:rPr>
        <w:t>12.3</w:t>
      </w:r>
      <w:r w:rsidRPr="009E0B0D">
        <w:rPr>
          <w:lang w:val="fr-FR"/>
        </w:rPr>
        <w:tab/>
        <w:t>Mises à jour du Manuel ATP sur le site Web de la Division des transports durables.</w:t>
      </w:r>
    </w:p>
    <w:p w:rsidR="009E0B0D" w:rsidRPr="009E0B0D" w:rsidRDefault="009E0B0D" w:rsidP="009C20CB">
      <w:pPr>
        <w:pStyle w:val="H4G"/>
      </w:pPr>
      <w:r w:rsidRPr="009E0B0D">
        <w:rPr>
          <w:lang w:val="fr-FR"/>
        </w:rPr>
        <w:tab/>
        <w:t>c)</w:t>
      </w:r>
      <w:r w:rsidRPr="009E0B0D">
        <w:rPr>
          <w:lang w:val="fr-FR"/>
        </w:rPr>
        <w:tab/>
        <w:t>Coopération technique</w:t>
      </w:r>
    </w:p>
    <w:p w:rsidR="009E0B0D" w:rsidRPr="009E0B0D" w:rsidRDefault="009E0B0D" w:rsidP="009C20CB">
      <w:pPr>
        <w:pStyle w:val="SingleTxtG"/>
        <w:ind w:left="1701" w:hanging="567"/>
      </w:pPr>
      <w:r w:rsidRPr="009E0B0D">
        <w:rPr>
          <w:lang w:val="fr-FR"/>
        </w:rPr>
        <w:t>12.4</w:t>
      </w:r>
      <w:r w:rsidRPr="009E0B0D">
        <w:rPr>
          <w:lang w:val="fr-FR"/>
        </w:rPr>
        <w:tab/>
        <w:t>Activités, notamment d’éventuels ateliers, visant à renforcer l’application de l’ATP, à promouvoir l’adhésion de pays appartenant ou non à la région de la CEE, et à réduire les effets sur l’environnement du transport réfrigéré</w:t>
      </w:r>
      <w:r w:rsidR="00842D43">
        <w:rPr>
          <w:lang w:val="fr-FR"/>
        </w:rPr>
        <w:t> ;</w:t>
      </w:r>
    </w:p>
    <w:p w:rsidR="009E0B0D" w:rsidRDefault="009E0B0D" w:rsidP="009C20CB">
      <w:pPr>
        <w:pStyle w:val="SingleTxtG"/>
        <w:ind w:left="1701" w:hanging="567"/>
        <w:rPr>
          <w:lang w:val="fr-FR"/>
        </w:rPr>
      </w:pPr>
      <w:r w:rsidRPr="009E0B0D">
        <w:rPr>
          <w:lang w:val="fr-FR"/>
        </w:rPr>
        <w:t>12.5</w:t>
      </w:r>
      <w:r w:rsidRPr="009E0B0D">
        <w:rPr>
          <w:lang w:val="fr-FR"/>
        </w:rPr>
        <w:tab/>
        <w:t>Coopération avec d’autres entités actives dans le domaine du transport réfrigéré, notamment l’Association internationale de la construction de carrosseries et de remorques, l’Institut international du froid et Transfrigoroute International.</w:t>
      </w:r>
    </w:p>
    <w:p w:rsidR="009E0B0D" w:rsidRPr="009E0B0D" w:rsidRDefault="009E0B0D" w:rsidP="009E0B0D">
      <w:pPr>
        <w:pStyle w:val="SingleTxtG"/>
        <w:spacing w:before="240" w:after="0"/>
        <w:jc w:val="center"/>
        <w:rPr>
          <w:u w:val="single"/>
        </w:rPr>
      </w:pPr>
      <w:r>
        <w:rPr>
          <w:u w:val="single"/>
        </w:rPr>
        <w:tab/>
      </w:r>
      <w:r>
        <w:rPr>
          <w:u w:val="single"/>
        </w:rPr>
        <w:tab/>
      </w:r>
      <w:r>
        <w:rPr>
          <w:u w:val="single"/>
        </w:rPr>
        <w:tab/>
      </w:r>
    </w:p>
    <w:sectPr w:rsidR="009E0B0D" w:rsidRPr="009E0B0D" w:rsidSect="005971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3A" w:rsidRDefault="00BA5A3A" w:rsidP="00F95C08">
      <w:pPr>
        <w:spacing w:line="240" w:lineRule="auto"/>
      </w:pPr>
    </w:p>
  </w:endnote>
  <w:endnote w:type="continuationSeparator" w:id="0">
    <w:p w:rsidR="00BA5A3A" w:rsidRPr="00AC3823" w:rsidRDefault="00BA5A3A" w:rsidP="00AC3823">
      <w:pPr>
        <w:pStyle w:val="Footer"/>
      </w:pPr>
    </w:p>
  </w:endnote>
  <w:endnote w:type="continuationNotice" w:id="1">
    <w:p w:rsidR="00BA5A3A" w:rsidRDefault="00BA5A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59" w:rsidRPr="00597159" w:rsidRDefault="00597159" w:rsidP="00597159">
    <w:pPr>
      <w:pStyle w:val="Footer"/>
      <w:tabs>
        <w:tab w:val="right" w:pos="9638"/>
      </w:tabs>
    </w:pPr>
    <w:r w:rsidRPr="00597159">
      <w:rPr>
        <w:b/>
        <w:sz w:val="18"/>
      </w:rPr>
      <w:fldChar w:fldCharType="begin"/>
    </w:r>
    <w:r w:rsidRPr="00597159">
      <w:rPr>
        <w:b/>
        <w:sz w:val="18"/>
      </w:rPr>
      <w:instrText xml:space="preserve"> PAGE  \* MERGEFORMAT </w:instrText>
    </w:r>
    <w:r w:rsidRPr="00597159">
      <w:rPr>
        <w:b/>
        <w:sz w:val="18"/>
      </w:rPr>
      <w:fldChar w:fldCharType="separate"/>
    </w:r>
    <w:r w:rsidR="00D20D91">
      <w:rPr>
        <w:b/>
        <w:noProof/>
        <w:sz w:val="18"/>
      </w:rPr>
      <w:t>2</w:t>
    </w:r>
    <w:r w:rsidRPr="00597159">
      <w:rPr>
        <w:b/>
        <w:sz w:val="18"/>
      </w:rPr>
      <w:fldChar w:fldCharType="end"/>
    </w:r>
    <w:r>
      <w:rPr>
        <w:b/>
        <w:sz w:val="18"/>
      </w:rPr>
      <w:tab/>
    </w:r>
    <w:r>
      <w:t>GE.17-12629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59" w:rsidRPr="00597159" w:rsidRDefault="00597159" w:rsidP="00597159">
    <w:pPr>
      <w:pStyle w:val="Footer"/>
      <w:tabs>
        <w:tab w:val="right" w:pos="9638"/>
      </w:tabs>
      <w:rPr>
        <w:b/>
        <w:sz w:val="18"/>
      </w:rPr>
    </w:pPr>
    <w:r>
      <w:t>GE.17-12629</w:t>
    </w:r>
    <w:r>
      <w:tab/>
    </w:r>
    <w:r w:rsidRPr="00597159">
      <w:rPr>
        <w:b/>
        <w:sz w:val="18"/>
      </w:rPr>
      <w:fldChar w:fldCharType="begin"/>
    </w:r>
    <w:r w:rsidRPr="00597159">
      <w:rPr>
        <w:b/>
        <w:sz w:val="18"/>
      </w:rPr>
      <w:instrText xml:space="preserve"> PAGE  \* MERGEFORMAT </w:instrText>
    </w:r>
    <w:r w:rsidRPr="00597159">
      <w:rPr>
        <w:b/>
        <w:sz w:val="18"/>
      </w:rPr>
      <w:fldChar w:fldCharType="separate"/>
    </w:r>
    <w:r w:rsidR="00D20D91">
      <w:rPr>
        <w:b/>
        <w:noProof/>
        <w:sz w:val="18"/>
      </w:rPr>
      <w:t>5</w:t>
    </w:r>
    <w:r w:rsidRPr="005971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597159" w:rsidRDefault="00597159" w:rsidP="00597159">
    <w:pPr>
      <w:pStyle w:val="Footer"/>
      <w:spacing w:before="120"/>
      <w:rPr>
        <w:sz w:val="20"/>
      </w:rPr>
    </w:pPr>
    <w:r>
      <w:rPr>
        <w:sz w:val="20"/>
      </w:rPr>
      <w:t>GE.</w:t>
    </w:r>
    <w:r w:rsidR="000D3EE9">
      <w:rPr>
        <w:noProof/>
        <w:lang w:val="en-GB" w:eastAsia="en-GB"/>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17-12629  (F)</w:t>
    </w:r>
    <w:r w:rsidR="00842D43">
      <w:rPr>
        <w:sz w:val="20"/>
      </w:rPr>
      <w:t xml:space="preserve">    160817    160817</w:t>
    </w:r>
    <w:r>
      <w:rPr>
        <w:sz w:val="20"/>
      </w:rPr>
      <w:br/>
    </w:r>
    <w:r w:rsidRPr="00597159">
      <w:rPr>
        <w:rFonts w:ascii="C39T30Lfz" w:hAnsi="C39T30Lfz"/>
        <w:sz w:val="56"/>
      </w:rPr>
      <w:t></w:t>
    </w:r>
    <w:r w:rsidRPr="00597159">
      <w:rPr>
        <w:rFonts w:ascii="C39T30Lfz" w:hAnsi="C39T30Lfz"/>
        <w:sz w:val="56"/>
      </w:rPr>
      <w:t></w:t>
    </w:r>
    <w:r w:rsidRPr="00597159">
      <w:rPr>
        <w:rFonts w:ascii="C39T30Lfz" w:hAnsi="C39T30Lfz"/>
        <w:sz w:val="56"/>
      </w:rPr>
      <w:t></w:t>
    </w:r>
    <w:r w:rsidRPr="00597159">
      <w:rPr>
        <w:rFonts w:ascii="C39T30Lfz" w:hAnsi="C39T30Lfz"/>
        <w:sz w:val="56"/>
      </w:rPr>
      <w:t></w:t>
    </w:r>
    <w:r w:rsidRPr="00597159">
      <w:rPr>
        <w:rFonts w:ascii="C39T30Lfz" w:hAnsi="C39T30Lfz"/>
        <w:sz w:val="56"/>
      </w:rPr>
      <w:t></w:t>
    </w:r>
    <w:r w:rsidRPr="00597159">
      <w:rPr>
        <w:rFonts w:ascii="C39T30Lfz" w:hAnsi="C39T30Lfz"/>
        <w:sz w:val="56"/>
      </w:rPr>
      <w:t></w:t>
    </w:r>
    <w:r w:rsidRPr="00597159">
      <w:rPr>
        <w:rFonts w:ascii="C39T30Lfz" w:hAnsi="C39T30Lfz"/>
        <w:sz w:val="56"/>
      </w:rPr>
      <w:t></w:t>
    </w:r>
    <w:r w:rsidRPr="00597159">
      <w:rPr>
        <w:rFonts w:ascii="C39T30Lfz" w:hAnsi="C39T30Lfz"/>
        <w:sz w:val="56"/>
      </w:rPr>
      <w:t></w:t>
    </w:r>
    <w:r w:rsidRPr="0059715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11/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3A" w:rsidRPr="00AC3823" w:rsidRDefault="00BA5A3A" w:rsidP="00AC3823">
      <w:pPr>
        <w:pStyle w:val="Footer"/>
        <w:tabs>
          <w:tab w:val="right" w:pos="2155"/>
        </w:tabs>
        <w:spacing w:after="80" w:line="240" w:lineRule="atLeast"/>
        <w:ind w:left="680"/>
        <w:rPr>
          <w:u w:val="single"/>
        </w:rPr>
      </w:pPr>
      <w:r>
        <w:rPr>
          <w:u w:val="single"/>
        </w:rPr>
        <w:tab/>
      </w:r>
    </w:p>
  </w:footnote>
  <w:footnote w:type="continuationSeparator" w:id="0">
    <w:p w:rsidR="00BA5A3A" w:rsidRPr="00AC3823" w:rsidRDefault="00BA5A3A" w:rsidP="00AC3823">
      <w:pPr>
        <w:pStyle w:val="Footer"/>
        <w:tabs>
          <w:tab w:val="right" w:pos="2155"/>
        </w:tabs>
        <w:spacing w:after="80" w:line="240" w:lineRule="atLeast"/>
        <w:ind w:left="680"/>
        <w:rPr>
          <w:u w:val="single"/>
        </w:rPr>
      </w:pPr>
      <w:r>
        <w:rPr>
          <w:u w:val="single"/>
        </w:rPr>
        <w:tab/>
      </w:r>
    </w:p>
  </w:footnote>
  <w:footnote w:type="continuationNotice" w:id="1">
    <w:p w:rsidR="00BA5A3A" w:rsidRPr="00AC3823" w:rsidRDefault="00BA5A3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59" w:rsidRPr="00597159" w:rsidRDefault="003C3213">
    <w:pPr>
      <w:pStyle w:val="Header"/>
    </w:pPr>
    <w:fldSimple w:instr=" TITLE  \* MERGEFORMAT ">
      <w:r w:rsidR="00D20D91">
        <w:t>ECE/TRANS/WP.11/2017/3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59" w:rsidRPr="00597159" w:rsidRDefault="003C3213" w:rsidP="00597159">
    <w:pPr>
      <w:pStyle w:val="Header"/>
      <w:jc w:val="right"/>
    </w:pPr>
    <w:fldSimple w:instr=" TITLE  \* MERGEFORMAT ">
      <w:r w:rsidR="00D20D91">
        <w:t>ECE/TRANS/WP.11/2017/3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3A"/>
    <w:rsid w:val="00017F94"/>
    <w:rsid w:val="00023842"/>
    <w:rsid w:val="0003036D"/>
    <w:rsid w:val="000334F9"/>
    <w:rsid w:val="0007796D"/>
    <w:rsid w:val="000B7790"/>
    <w:rsid w:val="000D3EE9"/>
    <w:rsid w:val="00111F2F"/>
    <w:rsid w:val="001433FD"/>
    <w:rsid w:val="0014365E"/>
    <w:rsid w:val="001541D3"/>
    <w:rsid w:val="00176178"/>
    <w:rsid w:val="00183D6F"/>
    <w:rsid w:val="001F525A"/>
    <w:rsid w:val="00223272"/>
    <w:rsid w:val="0024779E"/>
    <w:rsid w:val="002832AC"/>
    <w:rsid w:val="00292551"/>
    <w:rsid w:val="00295CCA"/>
    <w:rsid w:val="002D1260"/>
    <w:rsid w:val="002D7C93"/>
    <w:rsid w:val="003C3213"/>
    <w:rsid w:val="00441C3B"/>
    <w:rsid w:val="00446B0A"/>
    <w:rsid w:val="00446FE5"/>
    <w:rsid w:val="00452396"/>
    <w:rsid w:val="004E468C"/>
    <w:rsid w:val="00501733"/>
    <w:rsid w:val="00506BE1"/>
    <w:rsid w:val="005316B0"/>
    <w:rsid w:val="005505B7"/>
    <w:rsid w:val="00573BE5"/>
    <w:rsid w:val="00586ED3"/>
    <w:rsid w:val="00596AA9"/>
    <w:rsid w:val="00597159"/>
    <w:rsid w:val="005A6F21"/>
    <w:rsid w:val="005F2353"/>
    <w:rsid w:val="00706363"/>
    <w:rsid w:val="0071601D"/>
    <w:rsid w:val="0074674C"/>
    <w:rsid w:val="007A62E6"/>
    <w:rsid w:val="0080684C"/>
    <w:rsid w:val="00842D43"/>
    <w:rsid w:val="00871C75"/>
    <w:rsid w:val="008776DC"/>
    <w:rsid w:val="009705C8"/>
    <w:rsid w:val="009C1CF4"/>
    <w:rsid w:val="009C20CB"/>
    <w:rsid w:val="009E0B0D"/>
    <w:rsid w:val="00A11B56"/>
    <w:rsid w:val="00A30353"/>
    <w:rsid w:val="00A95572"/>
    <w:rsid w:val="00AA113A"/>
    <w:rsid w:val="00AC3823"/>
    <w:rsid w:val="00AE323C"/>
    <w:rsid w:val="00B00181"/>
    <w:rsid w:val="00B00B0D"/>
    <w:rsid w:val="00B765F7"/>
    <w:rsid w:val="00BA0CA9"/>
    <w:rsid w:val="00BA5A3A"/>
    <w:rsid w:val="00C02897"/>
    <w:rsid w:val="00D20D91"/>
    <w:rsid w:val="00D3439C"/>
    <w:rsid w:val="00DA15B7"/>
    <w:rsid w:val="00DB1831"/>
    <w:rsid w:val="00DD3BFD"/>
    <w:rsid w:val="00DF6678"/>
    <w:rsid w:val="00E86C1C"/>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01DD0C-2FA6-4A5D-B4A9-98FB945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ECE/TRANS/WP.11/2017/3</vt:lpstr>
      <vt:lpstr>ECE/TRANS/WP.11/2017/3</vt:lpstr>
    </vt:vector>
  </TitlesOfParts>
  <Company>DCM</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ECE/TRANS/WP.11/2017/3</dc:title>
  <dc:subject/>
  <dc:creator>Annie BEAUNEE</dc:creator>
  <cp:keywords/>
  <cp:lastModifiedBy>Marie-Claude Collet</cp:lastModifiedBy>
  <cp:revision>3</cp:revision>
  <cp:lastPrinted>2017-08-18T06:07:00Z</cp:lastPrinted>
  <dcterms:created xsi:type="dcterms:W3CDTF">2017-08-18T06:05:00Z</dcterms:created>
  <dcterms:modified xsi:type="dcterms:W3CDTF">2017-08-18T06:08:00Z</dcterms:modified>
</cp:coreProperties>
</file>