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D43D7" w14:paraId="7B37B053" w14:textId="77777777" w:rsidTr="009E6CB7">
        <w:trPr>
          <w:cantSplit/>
          <w:trHeight w:hRule="exact" w:val="851"/>
        </w:trPr>
        <w:tc>
          <w:tcPr>
            <w:tcW w:w="1276" w:type="dxa"/>
            <w:tcBorders>
              <w:bottom w:val="single" w:sz="4" w:space="0" w:color="auto"/>
            </w:tcBorders>
            <w:vAlign w:val="bottom"/>
          </w:tcPr>
          <w:p w14:paraId="439A26E7" w14:textId="77777777" w:rsidR="009E6CB7" w:rsidRPr="007B216F" w:rsidRDefault="009E6CB7" w:rsidP="009E6CB7">
            <w:pPr>
              <w:spacing w:after="80"/>
            </w:pPr>
          </w:p>
        </w:tc>
        <w:tc>
          <w:tcPr>
            <w:tcW w:w="2268" w:type="dxa"/>
            <w:tcBorders>
              <w:bottom w:val="single" w:sz="4" w:space="0" w:color="auto"/>
            </w:tcBorders>
            <w:vAlign w:val="bottom"/>
          </w:tcPr>
          <w:p w14:paraId="0BD333DA" w14:textId="77777777" w:rsidR="009E6CB7" w:rsidRPr="009D43D7" w:rsidRDefault="009E6CB7" w:rsidP="009E6CB7">
            <w:pPr>
              <w:spacing w:after="80" w:line="300" w:lineRule="exact"/>
              <w:rPr>
                <w:b/>
                <w:sz w:val="24"/>
                <w:szCs w:val="24"/>
              </w:rPr>
            </w:pPr>
            <w:r w:rsidRPr="009D43D7">
              <w:rPr>
                <w:sz w:val="28"/>
                <w:szCs w:val="28"/>
              </w:rPr>
              <w:t>United Nations</w:t>
            </w:r>
          </w:p>
        </w:tc>
        <w:tc>
          <w:tcPr>
            <w:tcW w:w="6095" w:type="dxa"/>
            <w:gridSpan w:val="2"/>
            <w:tcBorders>
              <w:bottom w:val="single" w:sz="4" w:space="0" w:color="auto"/>
            </w:tcBorders>
            <w:vAlign w:val="bottom"/>
          </w:tcPr>
          <w:p w14:paraId="4078F40F" w14:textId="6509840C" w:rsidR="009E6CB7" w:rsidRPr="009D43D7" w:rsidRDefault="003A5F98" w:rsidP="003749E5">
            <w:pPr>
              <w:jc w:val="right"/>
            </w:pPr>
            <w:r w:rsidRPr="009D43D7">
              <w:rPr>
                <w:sz w:val="40"/>
              </w:rPr>
              <w:t>ECE</w:t>
            </w:r>
            <w:r w:rsidR="00AD0CC4" w:rsidRPr="009D43D7">
              <w:t>/TRANS/2017</w:t>
            </w:r>
            <w:r w:rsidRPr="009D43D7">
              <w:t>/</w:t>
            </w:r>
            <w:r w:rsidR="003749E5" w:rsidRPr="009D43D7">
              <w:t>6</w:t>
            </w:r>
          </w:p>
        </w:tc>
      </w:tr>
      <w:tr w:rsidR="009E6CB7" w:rsidRPr="009D43D7" w14:paraId="36BAF1B0" w14:textId="77777777" w:rsidTr="009E6CB7">
        <w:trPr>
          <w:cantSplit/>
          <w:trHeight w:hRule="exact" w:val="2835"/>
        </w:trPr>
        <w:tc>
          <w:tcPr>
            <w:tcW w:w="1276" w:type="dxa"/>
            <w:tcBorders>
              <w:top w:val="single" w:sz="4" w:space="0" w:color="auto"/>
              <w:bottom w:val="single" w:sz="12" w:space="0" w:color="auto"/>
            </w:tcBorders>
          </w:tcPr>
          <w:p w14:paraId="227447EE" w14:textId="77777777" w:rsidR="009E6CB7" w:rsidRPr="009D43D7" w:rsidRDefault="00BC7F91" w:rsidP="009E6CB7">
            <w:pPr>
              <w:spacing w:before="120"/>
            </w:pPr>
            <w:r w:rsidRPr="009D43D7">
              <w:rPr>
                <w:noProof/>
                <w:lang w:val="en-US"/>
              </w:rPr>
              <w:drawing>
                <wp:inline distT="0" distB="0" distL="0" distR="0" wp14:anchorId="741547F9" wp14:editId="6F771D2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F83EF7" w14:textId="77777777" w:rsidR="009E6CB7" w:rsidRPr="009D43D7" w:rsidRDefault="009E6CB7" w:rsidP="009E6CB7">
            <w:pPr>
              <w:spacing w:before="120" w:line="420" w:lineRule="exact"/>
              <w:rPr>
                <w:sz w:val="40"/>
                <w:szCs w:val="40"/>
              </w:rPr>
            </w:pPr>
            <w:r w:rsidRPr="009D43D7">
              <w:rPr>
                <w:b/>
                <w:sz w:val="40"/>
                <w:szCs w:val="40"/>
              </w:rPr>
              <w:t>Economic and Social Council</w:t>
            </w:r>
          </w:p>
        </w:tc>
        <w:tc>
          <w:tcPr>
            <w:tcW w:w="2835" w:type="dxa"/>
            <w:tcBorders>
              <w:top w:val="single" w:sz="4" w:space="0" w:color="auto"/>
              <w:bottom w:val="single" w:sz="12" w:space="0" w:color="auto"/>
            </w:tcBorders>
          </w:tcPr>
          <w:p w14:paraId="0B946AD7" w14:textId="77777777" w:rsidR="009E6CB7" w:rsidRPr="009D43D7" w:rsidRDefault="003A5F98" w:rsidP="003A5F98">
            <w:pPr>
              <w:spacing w:before="240" w:line="240" w:lineRule="exact"/>
            </w:pPr>
            <w:r w:rsidRPr="009D43D7">
              <w:t>Distr.: General</w:t>
            </w:r>
          </w:p>
          <w:p w14:paraId="57D37D2A" w14:textId="5D80A109" w:rsidR="003A5F98" w:rsidRPr="009D43D7" w:rsidRDefault="001E1546" w:rsidP="003A5F98">
            <w:pPr>
              <w:spacing w:line="240" w:lineRule="exact"/>
            </w:pPr>
            <w:r>
              <w:t>12</w:t>
            </w:r>
            <w:r w:rsidR="00AD0CC4" w:rsidRPr="009D43D7">
              <w:t xml:space="preserve"> December 2016</w:t>
            </w:r>
          </w:p>
          <w:p w14:paraId="6775A3E6" w14:textId="77777777" w:rsidR="003A5F98" w:rsidRPr="009D43D7" w:rsidRDefault="003A5F98" w:rsidP="003A5F98">
            <w:pPr>
              <w:spacing w:line="240" w:lineRule="exact"/>
            </w:pPr>
          </w:p>
          <w:p w14:paraId="271DA11F" w14:textId="77777777" w:rsidR="003A5F98" w:rsidRPr="009D43D7" w:rsidRDefault="003A5F98" w:rsidP="003A5F98">
            <w:pPr>
              <w:spacing w:line="240" w:lineRule="exact"/>
            </w:pPr>
            <w:r w:rsidRPr="009D43D7">
              <w:t>Original: English</w:t>
            </w:r>
          </w:p>
        </w:tc>
      </w:tr>
    </w:tbl>
    <w:p w14:paraId="3CD6B518" w14:textId="77777777" w:rsidR="003A5F98" w:rsidRPr="009D43D7" w:rsidRDefault="003A5F98" w:rsidP="003A5F98">
      <w:pPr>
        <w:spacing w:before="120"/>
        <w:rPr>
          <w:b/>
          <w:bCs/>
          <w:sz w:val="28"/>
          <w:szCs w:val="28"/>
        </w:rPr>
      </w:pPr>
      <w:r w:rsidRPr="009D43D7">
        <w:rPr>
          <w:b/>
          <w:bCs/>
          <w:sz w:val="28"/>
          <w:szCs w:val="28"/>
        </w:rPr>
        <w:t>Economic Commission for Europe</w:t>
      </w:r>
    </w:p>
    <w:p w14:paraId="13EE307D" w14:textId="77777777" w:rsidR="003A5F98" w:rsidRPr="009D43D7" w:rsidRDefault="003A5F98" w:rsidP="003A5F98">
      <w:pPr>
        <w:spacing w:before="120"/>
        <w:rPr>
          <w:sz w:val="28"/>
          <w:szCs w:val="28"/>
        </w:rPr>
      </w:pPr>
      <w:r w:rsidRPr="009D43D7">
        <w:rPr>
          <w:sz w:val="28"/>
          <w:szCs w:val="28"/>
        </w:rPr>
        <w:t>Inland Transport Committee</w:t>
      </w:r>
    </w:p>
    <w:p w14:paraId="33C6EBED" w14:textId="77777777" w:rsidR="00AD0CC4" w:rsidRPr="009D43D7" w:rsidRDefault="00AD0CC4" w:rsidP="00AD0CC4">
      <w:pPr>
        <w:rPr>
          <w:b/>
          <w:bCs/>
        </w:rPr>
      </w:pPr>
      <w:r w:rsidRPr="009D43D7">
        <w:rPr>
          <w:b/>
          <w:bCs/>
        </w:rPr>
        <w:t>Seventy-ninth session</w:t>
      </w:r>
    </w:p>
    <w:p w14:paraId="7155A5A2" w14:textId="4F8E79DE" w:rsidR="00AD0CC4" w:rsidRPr="009D43D7" w:rsidRDefault="001E1546" w:rsidP="00AD0CC4">
      <w:pPr>
        <w:rPr>
          <w:bCs/>
        </w:rPr>
      </w:pPr>
      <w:r>
        <w:rPr>
          <w:bCs/>
        </w:rPr>
        <w:t>Geneva, 21-</w:t>
      </w:r>
      <w:r w:rsidR="00AD0CC4" w:rsidRPr="009D43D7">
        <w:rPr>
          <w:bCs/>
        </w:rPr>
        <w:t>24 February 2017</w:t>
      </w:r>
    </w:p>
    <w:p w14:paraId="7DC01D14" w14:textId="39306D31" w:rsidR="003A5F98" w:rsidRPr="009D43D7" w:rsidRDefault="008A7D38" w:rsidP="00AD0CC4">
      <w:pPr>
        <w:rPr>
          <w:b/>
          <w:bCs/>
        </w:rPr>
      </w:pPr>
      <w:r w:rsidRPr="009D43D7">
        <w:t xml:space="preserve">Item </w:t>
      </w:r>
      <w:proofErr w:type="gramStart"/>
      <w:r w:rsidRPr="009D43D7">
        <w:t>4</w:t>
      </w:r>
      <w:proofErr w:type="gramEnd"/>
      <w:r w:rsidRPr="009D43D7">
        <w:t xml:space="preserve"> (d) (</w:t>
      </w:r>
      <w:proofErr w:type="spellStart"/>
      <w:r w:rsidRPr="009D43D7">
        <w:t>i</w:t>
      </w:r>
      <w:proofErr w:type="spellEnd"/>
      <w:r w:rsidRPr="009D43D7">
        <w:t>) of the provisional agenda</w:t>
      </w:r>
      <w:r w:rsidRPr="009D43D7">
        <w:br/>
      </w:r>
      <w:r w:rsidRPr="009D43D7">
        <w:rPr>
          <w:b/>
          <w:bCs/>
        </w:rPr>
        <w:t xml:space="preserve">Strategic questions of a horizontal policy nature: </w:t>
      </w:r>
      <w:r w:rsidRPr="009D43D7">
        <w:rPr>
          <w:b/>
          <w:bCs/>
        </w:rPr>
        <w:br/>
        <w:t>Environment</w:t>
      </w:r>
      <w:r w:rsidR="001E1546">
        <w:rPr>
          <w:b/>
          <w:bCs/>
        </w:rPr>
        <w:t>, climate change and transport:</w:t>
      </w:r>
      <w:r w:rsidRPr="009D43D7">
        <w:rPr>
          <w:b/>
          <w:bCs/>
        </w:rPr>
        <w:t xml:space="preserve"> </w:t>
      </w:r>
      <w:r w:rsidRPr="009D43D7">
        <w:rPr>
          <w:b/>
          <w:bCs/>
        </w:rPr>
        <w:br/>
      </w:r>
      <w:r w:rsidR="00492D0C">
        <w:rPr>
          <w:b/>
          <w:bCs/>
        </w:rPr>
        <w:t>Inland Transport Committee (</w:t>
      </w:r>
      <w:r w:rsidRPr="009D43D7">
        <w:rPr>
          <w:b/>
          <w:bCs/>
        </w:rPr>
        <w:t>ITC</w:t>
      </w:r>
      <w:r w:rsidR="00492D0C">
        <w:rPr>
          <w:b/>
          <w:bCs/>
        </w:rPr>
        <w:t>)</w:t>
      </w:r>
      <w:r w:rsidRPr="009D43D7">
        <w:rPr>
          <w:b/>
          <w:bCs/>
        </w:rPr>
        <w:t xml:space="preserve"> follow-up to the 2030 Agenda</w:t>
      </w:r>
    </w:p>
    <w:p w14:paraId="4E287164" w14:textId="77777777" w:rsidR="00CD49C5" w:rsidRPr="009D43D7" w:rsidRDefault="00CD49C5" w:rsidP="00CD49C5">
      <w:pPr>
        <w:pStyle w:val="HChG"/>
      </w:pPr>
      <w:r w:rsidRPr="009D43D7">
        <w:tab/>
      </w:r>
      <w:r w:rsidRPr="009D43D7">
        <w:tab/>
        <w:t>Sustainable Transport in the 2030 Agenda and the Sustainable Development Goals</w:t>
      </w:r>
    </w:p>
    <w:p w14:paraId="0092DD2D" w14:textId="77777777" w:rsidR="00CD49C5" w:rsidRPr="009D43D7" w:rsidRDefault="00CD49C5" w:rsidP="00CD49C5">
      <w:pPr>
        <w:pStyle w:val="H1G"/>
      </w:pPr>
      <w:r w:rsidRPr="009D43D7">
        <w:tab/>
      </w:r>
      <w:r w:rsidRPr="009D43D7">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D49C5" w:rsidRPr="009D43D7" w14:paraId="18F39163" w14:textId="77777777" w:rsidTr="002F4EE0">
        <w:trPr>
          <w:jc w:val="center"/>
        </w:trPr>
        <w:tc>
          <w:tcPr>
            <w:tcW w:w="9637" w:type="dxa"/>
            <w:shd w:val="clear" w:color="auto" w:fill="auto"/>
          </w:tcPr>
          <w:p w14:paraId="1D3BC4A4" w14:textId="77777777" w:rsidR="00CD49C5" w:rsidRPr="009D43D7" w:rsidRDefault="00CD49C5" w:rsidP="002F4EE0">
            <w:pPr>
              <w:spacing w:before="240" w:after="120"/>
              <w:ind w:left="255"/>
              <w:rPr>
                <w:i/>
                <w:sz w:val="24"/>
              </w:rPr>
            </w:pPr>
            <w:r w:rsidRPr="009D43D7">
              <w:rPr>
                <w:i/>
                <w:sz w:val="24"/>
              </w:rPr>
              <w:t>Summary</w:t>
            </w:r>
          </w:p>
        </w:tc>
      </w:tr>
      <w:tr w:rsidR="002B68B2" w:rsidRPr="009D43D7" w14:paraId="23FC006F" w14:textId="77777777" w:rsidTr="002F4EE0">
        <w:trPr>
          <w:jc w:val="center"/>
        </w:trPr>
        <w:tc>
          <w:tcPr>
            <w:tcW w:w="9637" w:type="dxa"/>
            <w:shd w:val="clear" w:color="auto" w:fill="auto"/>
          </w:tcPr>
          <w:p w14:paraId="531D3EB8" w14:textId="7794D30B" w:rsidR="002B68B2" w:rsidRPr="009D43D7" w:rsidRDefault="002B68B2" w:rsidP="00820DC0">
            <w:pPr>
              <w:pStyle w:val="SingleTxtG"/>
            </w:pPr>
            <w:r w:rsidRPr="009D43D7">
              <w:tab/>
              <w:t xml:space="preserve">This document provides information about the main developments on the position of sustainable transport in the recently adopted 2030 Agenda for Sustainable Development and the Sustainable Development Goals. </w:t>
            </w:r>
            <w:bookmarkStart w:id="0" w:name="_GoBack"/>
            <w:bookmarkEnd w:id="0"/>
          </w:p>
        </w:tc>
      </w:tr>
      <w:tr w:rsidR="00CD49C5" w:rsidRPr="009D43D7" w14:paraId="1FDCA227" w14:textId="77777777" w:rsidTr="002F4EE0">
        <w:trPr>
          <w:jc w:val="center"/>
        </w:trPr>
        <w:tc>
          <w:tcPr>
            <w:tcW w:w="9637" w:type="dxa"/>
            <w:shd w:val="clear" w:color="auto" w:fill="auto"/>
          </w:tcPr>
          <w:p w14:paraId="15A96D8E" w14:textId="35FF868E" w:rsidR="00CD49C5" w:rsidRPr="009D43D7" w:rsidRDefault="00CE0B34" w:rsidP="00946BBD">
            <w:pPr>
              <w:pStyle w:val="SingleTxtG"/>
            </w:pPr>
            <w:r w:rsidRPr="009D43D7">
              <w:tab/>
            </w:r>
            <w:r w:rsidR="00436585" w:rsidRPr="009D43D7">
              <w:rPr>
                <w:szCs w:val="24"/>
              </w:rPr>
              <w:t xml:space="preserve">Due to the role of </w:t>
            </w:r>
            <w:r w:rsidR="005851F1" w:rsidRPr="009D43D7">
              <w:rPr>
                <w:szCs w:val="24"/>
              </w:rPr>
              <w:t>the Inland Transport Committee (</w:t>
            </w:r>
            <w:r w:rsidR="00436585" w:rsidRPr="009D43D7">
              <w:rPr>
                <w:szCs w:val="24"/>
              </w:rPr>
              <w:t>ITC</w:t>
            </w:r>
            <w:r w:rsidR="005851F1" w:rsidRPr="009D43D7">
              <w:rPr>
                <w:szCs w:val="24"/>
              </w:rPr>
              <w:t>)</w:t>
            </w:r>
            <w:r w:rsidR="00436585" w:rsidRPr="009D43D7">
              <w:rPr>
                <w:szCs w:val="24"/>
              </w:rPr>
              <w:t xml:space="preserve"> in addressing global transport issues</w:t>
            </w:r>
            <w:r w:rsidR="007C7B94" w:rsidRPr="009D43D7">
              <w:rPr>
                <w:szCs w:val="24"/>
              </w:rPr>
              <w:t>, among others through</w:t>
            </w:r>
            <w:r w:rsidR="001C35E3" w:rsidRPr="009D43D7">
              <w:rPr>
                <w:szCs w:val="24"/>
              </w:rPr>
              <w:t xml:space="preserve"> </w:t>
            </w:r>
            <w:r w:rsidR="00436585" w:rsidRPr="009D43D7">
              <w:rPr>
                <w:szCs w:val="24"/>
              </w:rPr>
              <w:t>the U</w:t>
            </w:r>
            <w:r w:rsidR="001C35E3" w:rsidRPr="009D43D7">
              <w:rPr>
                <w:szCs w:val="24"/>
              </w:rPr>
              <w:t xml:space="preserve">nited </w:t>
            </w:r>
            <w:r w:rsidR="00436585" w:rsidRPr="009D43D7">
              <w:rPr>
                <w:szCs w:val="24"/>
              </w:rPr>
              <w:t>N</w:t>
            </w:r>
            <w:r w:rsidR="001C35E3" w:rsidRPr="009D43D7">
              <w:rPr>
                <w:szCs w:val="24"/>
              </w:rPr>
              <w:t>ations</w:t>
            </w:r>
            <w:r w:rsidR="00436585" w:rsidRPr="009D43D7">
              <w:rPr>
                <w:szCs w:val="24"/>
              </w:rPr>
              <w:t xml:space="preserve"> legal instruments and regulations under its purview </w:t>
            </w:r>
            <w:r w:rsidR="001C35E3" w:rsidRPr="009D43D7">
              <w:rPr>
                <w:szCs w:val="24"/>
              </w:rPr>
              <w:t xml:space="preserve">of </w:t>
            </w:r>
            <w:r w:rsidR="00436585" w:rsidRPr="009D43D7">
              <w:rPr>
                <w:szCs w:val="24"/>
              </w:rPr>
              <w:t xml:space="preserve">global and regional geographical coverage, </w:t>
            </w:r>
            <w:r w:rsidR="007C7B94" w:rsidRPr="009D43D7">
              <w:rPr>
                <w:szCs w:val="24"/>
              </w:rPr>
              <w:t xml:space="preserve">and in light of the relevant analytical and capacity-building activities, as well as its policy dialogue, </w:t>
            </w:r>
            <w:r w:rsidR="00436585" w:rsidRPr="009D43D7">
              <w:rPr>
                <w:szCs w:val="24"/>
              </w:rPr>
              <w:t xml:space="preserve">the Committee </w:t>
            </w:r>
            <w:r w:rsidR="00CD49C5" w:rsidRPr="009D43D7">
              <w:t xml:space="preserve">may wish to </w:t>
            </w:r>
            <w:r w:rsidR="00CD49C5" w:rsidRPr="009D43D7">
              <w:rPr>
                <w:b/>
              </w:rPr>
              <w:t xml:space="preserve">reflect on ways </w:t>
            </w:r>
            <w:r w:rsidR="00436585" w:rsidRPr="009D43D7">
              <w:rPr>
                <w:b/>
              </w:rPr>
              <w:t>to strengthen</w:t>
            </w:r>
            <w:r w:rsidR="00436585" w:rsidRPr="009D43D7">
              <w:t xml:space="preserve"> </w:t>
            </w:r>
            <w:r w:rsidR="00CD49C5" w:rsidRPr="009D43D7">
              <w:t>its role and contribution in</w:t>
            </w:r>
            <w:r w:rsidR="001C35E3" w:rsidRPr="009D43D7">
              <w:t xml:space="preserve"> implementing </w:t>
            </w:r>
            <w:r w:rsidR="00CD49C5" w:rsidRPr="009D43D7">
              <w:t>of the transport-related targets of the 2030 Agenda</w:t>
            </w:r>
            <w:r w:rsidR="00955583" w:rsidRPr="009D43D7">
              <w:t>.</w:t>
            </w:r>
            <w:r w:rsidR="001D0177">
              <w:rPr>
                <w:szCs w:val="24"/>
              </w:rPr>
              <w:t xml:space="preserve"> The Committee may also wish to </w:t>
            </w:r>
            <w:r w:rsidR="001D0177" w:rsidRPr="00B73617">
              <w:rPr>
                <w:b/>
                <w:szCs w:val="24"/>
              </w:rPr>
              <w:t>ask</w:t>
            </w:r>
            <w:r w:rsidR="001D0177">
              <w:rPr>
                <w:szCs w:val="24"/>
              </w:rPr>
              <w:t xml:space="preserve"> WP.6 to strengthen its work and participation in activities relating to the </w:t>
            </w:r>
            <w:r w:rsidR="008A6A30" w:rsidRPr="009D43D7">
              <w:t>Sustainable Development Goals</w:t>
            </w:r>
            <w:r w:rsidR="008A6A30">
              <w:t xml:space="preserve"> (SDGs)</w:t>
            </w:r>
            <w:r w:rsidR="001D0177">
              <w:rPr>
                <w:szCs w:val="24"/>
              </w:rPr>
              <w:t>.</w:t>
            </w:r>
          </w:p>
        </w:tc>
      </w:tr>
      <w:tr w:rsidR="00CD49C5" w:rsidRPr="009D43D7" w14:paraId="76FA60E1" w14:textId="77777777" w:rsidTr="002F4EE0">
        <w:trPr>
          <w:jc w:val="center"/>
        </w:trPr>
        <w:tc>
          <w:tcPr>
            <w:tcW w:w="9637" w:type="dxa"/>
            <w:shd w:val="clear" w:color="auto" w:fill="auto"/>
          </w:tcPr>
          <w:p w14:paraId="6E45632B" w14:textId="77777777" w:rsidR="00CD49C5" w:rsidRPr="009D43D7" w:rsidRDefault="00CD49C5" w:rsidP="002F4EE0"/>
        </w:tc>
      </w:tr>
    </w:tbl>
    <w:p w14:paraId="7E63861B" w14:textId="77777777" w:rsidR="00CD49C5" w:rsidRPr="009D43D7" w:rsidRDefault="00CD49C5" w:rsidP="00CD49C5">
      <w:pPr>
        <w:pStyle w:val="HChG"/>
      </w:pPr>
      <w:r w:rsidRPr="009D43D7">
        <w:tab/>
        <w:t>I.</w:t>
      </w:r>
      <w:r w:rsidRPr="009D43D7">
        <w:tab/>
      </w:r>
      <w:r w:rsidR="00667C01" w:rsidRPr="009D43D7">
        <w:t>T</w:t>
      </w:r>
      <w:r w:rsidRPr="009D43D7">
        <w:t>he 2030 agenda</w:t>
      </w:r>
    </w:p>
    <w:p w14:paraId="4B1CA914" w14:textId="1D37E2AA" w:rsidR="00CD49C5" w:rsidRPr="009D43D7" w:rsidRDefault="00CD49C5" w:rsidP="00CD49C5">
      <w:pPr>
        <w:pStyle w:val="SingleTxtG"/>
        <w:rPr>
          <w:szCs w:val="24"/>
        </w:rPr>
      </w:pPr>
      <w:r w:rsidRPr="009D43D7">
        <w:rPr>
          <w:szCs w:val="24"/>
        </w:rPr>
        <w:t>1.</w:t>
      </w:r>
      <w:r w:rsidRPr="009D43D7">
        <w:rPr>
          <w:szCs w:val="24"/>
        </w:rPr>
        <w:tab/>
        <w:t xml:space="preserve">On 27 September 2015 world leaders united at the United Nations Sustainable Development Summit </w:t>
      </w:r>
      <w:r w:rsidR="00382991" w:rsidRPr="009D43D7">
        <w:rPr>
          <w:szCs w:val="24"/>
        </w:rPr>
        <w:t xml:space="preserve">(New York) </w:t>
      </w:r>
      <w:r w:rsidRPr="009D43D7">
        <w:rPr>
          <w:szCs w:val="24"/>
        </w:rPr>
        <w:t xml:space="preserve">and expressed their determination to take the bold and transformative steps which are urgently needed to shift the world onto a sustainable and resilient path. </w:t>
      </w:r>
    </w:p>
    <w:p w14:paraId="258F3411" w14:textId="77777777" w:rsidR="00CD49C5" w:rsidRPr="009D43D7" w:rsidRDefault="00CD49C5" w:rsidP="00CD49C5">
      <w:pPr>
        <w:pStyle w:val="SingleTxtG"/>
        <w:rPr>
          <w:szCs w:val="24"/>
        </w:rPr>
      </w:pPr>
      <w:r w:rsidRPr="009D43D7">
        <w:rPr>
          <w:szCs w:val="24"/>
        </w:rPr>
        <w:lastRenderedPageBreak/>
        <w:t>2.</w:t>
      </w:r>
      <w:r w:rsidRPr="009D43D7">
        <w:rPr>
          <w:szCs w:val="24"/>
        </w:rPr>
        <w:tab/>
        <w:t xml:space="preserve">To achieve this objective, they adopted a set of 17 Sustainable Development Goals and 169 targets </w:t>
      </w:r>
      <w:r w:rsidR="00F4763F" w:rsidRPr="009D43D7">
        <w:rPr>
          <w:szCs w:val="24"/>
        </w:rPr>
        <w:t>for</w:t>
      </w:r>
      <w:r w:rsidR="001C35E3" w:rsidRPr="009D43D7">
        <w:rPr>
          <w:szCs w:val="24"/>
        </w:rPr>
        <w:t xml:space="preserve"> </w:t>
      </w:r>
      <w:r w:rsidRPr="009D43D7">
        <w:rPr>
          <w:szCs w:val="24"/>
        </w:rPr>
        <w:t xml:space="preserve">2030 that aspire to help humanity revert to a virtuous path of sustainability. </w:t>
      </w:r>
    </w:p>
    <w:p w14:paraId="01CD34D0" w14:textId="2EC11C1F" w:rsidR="00CD49C5" w:rsidRPr="009D43D7" w:rsidRDefault="00CD49C5" w:rsidP="00CD49C5">
      <w:pPr>
        <w:pStyle w:val="SingleTxtG"/>
        <w:rPr>
          <w:szCs w:val="24"/>
        </w:rPr>
      </w:pPr>
      <w:r w:rsidRPr="009D43D7">
        <w:rPr>
          <w:szCs w:val="24"/>
        </w:rPr>
        <w:t>3.</w:t>
      </w:r>
      <w:r w:rsidRPr="009D43D7">
        <w:rPr>
          <w:szCs w:val="24"/>
        </w:rPr>
        <w:tab/>
        <w:t xml:space="preserve">The scale and ambition of this new universal </w:t>
      </w:r>
      <w:r w:rsidR="001C35E3" w:rsidRPr="009D43D7">
        <w:rPr>
          <w:szCs w:val="24"/>
        </w:rPr>
        <w:t>a</w:t>
      </w:r>
      <w:r w:rsidRPr="009D43D7">
        <w:rPr>
          <w:szCs w:val="24"/>
        </w:rPr>
        <w:t xml:space="preserve">genda is such that its success </w:t>
      </w:r>
      <w:proofErr w:type="gramStart"/>
      <w:r w:rsidRPr="009D43D7">
        <w:rPr>
          <w:szCs w:val="24"/>
        </w:rPr>
        <w:t>will largely be determined</w:t>
      </w:r>
      <w:proofErr w:type="gramEnd"/>
      <w:r w:rsidRPr="009D43D7">
        <w:rPr>
          <w:szCs w:val="24"/>
        </w:rPr>
        <w:t xml:space="preserve"> by its operationalization</w:t>
      </w:r>
      <w:r w:rsidR="00667C01" w:rsidRPr="009D43D7">
        <w:rPr>
          <w:szCs w:val="24"/>
        </w:rPr>
        <w:t xml:space="preserve"> through the creation</w:t>
      </w:r>
      <w:r w:rsidRPr="009D43D7">
        <w:rPr>
          <w:szCs w:val="24"/>
        </w:rPr>
        <w:t xml:space="preserve"> of the indicators for measuring the </w:t>
      </w:r>
      <w:r w:rsidR="00BF0154">
        <w:t>SDGs</w:t>
      </w:r>
      <w:r w:rsidRPr="009D43D7">
        <w:rPr>
          <w:szCs w:val="24"/>
        </w:rPr>
        <w:t>.</w:t>
      </w:r>
      <w:r w:rsidR="00BF0154">
        <w:rPr>
          <w:szCs w:val="24"/>
        </w:rPr>
        <w:t xml:space="preserve"> As discussed previously, the work of ITC and its subsidiary bodies relates directly to fourteen of the seventeen SDGs.</w:t>
      </w:r>
    </w:p>
    <w:p w14:paraId="386FD1BA" w14:textId="60D789B3" w:rsidR="00CD49C5" w:rsidRPr="009D43D7" w:rsidRDefault="00CD49C5" w:rsidP="00CD49C5">
      <w:pPr>
        <w:pStyle w:val="SingleTxtG"/>
        <w:rPr>
          <w:szCs w:val="24"/>
        </w:rPr>
      </w:pPr>
      <w:r w:rsidRPr="009D43D7">
        <w:rPr>
          <w:szCs w:val="24"/>
        </w:rPr>
        <w:t>4.</w:t>
      </w:r>
      <w:r w:rsidRPr="009D43D7">
        <w:rPr>
          <w:szCs w:val="24"/>
        </w:rPr>
        <w:tab/>
      </w:r>
      <w:r w:rsidR="00667C01" w:rsidRPr="009D43D7">
        <w:rPr>
          <w:szCs w:val="24"/>
        </w:rPr>
        <w:t>I</w:t>
      </w:r>
      <w:r w:rsidRPr="009D43D7">
        <w:rPr>
          <w:szCs w:val="24"/>
        </w:rPr>
        <w:t>n March 2016</w:t>
      </w:r>
      <w:r w:rsidR="00667C01" w:rsidRPr="009D43D7">
        <w:rPr>
          <w:szCs w:val="24"/>
        </w:rPr>
        <w:t>,</w:t>
      </w:r>
      <w:r w:rsidRPr="009D43D7">
        <w:rPr>
          <w:szCs w:val="24"/>
        </w:rPr>
        <w:t xml:space="preserve"> </w:t>
      </w:r>
      <w:r w:rsidR="00967FDA" w:rsidRPr="009D43D7">
        <w:rPr>
          <w:szCs w:val="24"/>
        </w:rPr>
        <w:t>23</w:t>
      </w:r>
      <w:r w:rsidRPr="009D43D7">
        <w:rPr>
          <w:szCs w:val="24"/>
        </w:rPr>
        <w:t>0 indicators</w:t>
      </w:r>
      <w:r w:rsidR="00667C01" w:rsidRPr="009D43D7">
        <w:rPr>
          <w:szCs w:val="24"/>
        </w:rPr>
        <w:t xml:space="preserve"> </w:t>
      </w:r>
      <w:proofErr w:type="gramStart"/>
      <w:r w:rsidR="00667C01" w:rsidRPr="009D43D7">
        <w:rPr>
          <w:szCs w:val="24"/>
        </w:rPr>
        <w:t>were created</w:t>
      </w:r>
      <w:proofErr w:type="gramEnd"/>
      <w:r w:rsidR="00667C01" w:rsidRPr="009D43D7">
        <w:rPr>
          <w:szCs w:val="24"/>
        </w:rPr>
        <w:t xml:space="preserve"> to measure the achievement of the </w:t>
      </w:r>
      <w:r w:rsidR="00BF0154">
        <w:t>SDGs</w:t>
      </w:r>
      <w:r w:rsidRPr="009D43D7">
        <w:rPr>
          <w:szCs w:val="24"/>
        </w:rPr>
        <w:t>.</w:t>
      </w:r>
      <w:r w:rsidR="006405E0" w:rsidRPr="009D43D7">
        <w:rPr>
          <w:szCs w:val="24"/>
        </w:rPr>
        <w:t xml:space="preserve"> Subsequently, the indicators were </w:t>
      </w:r>
      <w:r w:rsidR="00820DC0" w:rsidRPr="009D43D7">
        <w:rPr>
          <w:szCs w:val="24"/>
        </w:rPr>
        <w:t xml:space="preserve">categorized on the </w:t>
      </w:r>
      <w:r w:rsidR="006405E0" w:rsidRPr="009D43D7">
        <w:rPr>
          <w:szCs w:val="24"/>
        </w:rPr>
        <w:t>bas</w:t>
      </w:r>
      <w:r w:rsidR="00820DC0" w:rsidRPr="009D43D7">
        <w:rPr>
          <w:szCs w:val="24"/>
        </w:rPr>
        <w:t>is</w:t>
      </w:r>
      <w:r w:rsidR="006405E0" w:rsidRPr="009D43D7">
        <w:rPr>
          <w:szCs w:val="24"/>
        </w:rPr>
        <w:t xml:space="preserve"> </w:t>
      </w:r>
      <w:r w:rsidR="00820DC0" w:rsidRPr="009D43D7">
        <w:rPr>
          <w:szCs w:val="24"/>
        </w:rPr>
        <w:t xml:space="preserve">of </w:t>
      </w:r>
      <w:r w:rsidR="006405E0" w:rsidRPr="009D43D7">
        <w:rPr>
          <w:szCs w:val="24"/>
        </w:rPr>
        <w:t xml:space="preserve">the availability of the source data </w:t>
      </w:r>
      <w:r w:rsidR="00BE5CDB" w:rsidRPr="009D43D7">
        <w:rPr>
          <w:szCs w:val="24"/>
        </w:rPr>
        <w:t xml:space="preserve">in three </w:t>
      </w:r>
      <w:r w:rsidR="006405E0" w:rsidRPr="009D43D7">
        <w:rPr>
          <w:szCs w:val="24"/>
        </w:rPr>
        <w:t>categories:</w:t>
      </w:r>
    </w:p>
    <w:p w14:paraId="34CD8EF6" w14:textId="3475031F" w:rsidR="006405E0" w:rsidRPr="009D43D7" w:rsidRDefault="006405E0" w:rsidP="006405E0">
      <w:pPr>
        <w:pStyle w:val="SingleTxtG"/>
        <w:numPr>
          <w:ilvl w:val="0"/>
          <w:numId w:val="20"/>
        </w:numPr>
        <w:jc w:val="left"/>
        <w:rPr>
          <w:szCs w:val="24"/>
        </w:rPr>
      </w:pPr>
      <w:r w:rsidRPr="009D43D7">
        <w:rPr>
          <w:szCs w:val="24"/>
        </w:rPr>
        <w:t xml:space="preserve">Tier </w:t>
      </w:r>
      <w:r w:rsidR="00FD11B2" w:rsidRPr="009D43D7">
        <w:rPr>
          <w:szCs w:val="24"/>
        </w:rPr>
        <w:t>I</w:t>
      </w:r>
      <w:r w:rsidRPr="009D43D7">
        <w:rPr>
          <w:szCs w:val="24"/>
        </w:rPr>
        <w:t>: Indicator conceptually clear, established methodology and standards available and data regularly produced by countries.</w:t>
      </w:r>
    </w:p>
    <w:p w14:paraId="4CF23B4C" w14:textId="08058253" w:rsidR="006405E0" w:rsidRPr="009D43D7" w:rsidRDefault="006405E0" w:rsidP="006405E0">
      <w:pPr>
        <w:pStyle w:val="SingleTxtG"/>
        <w:numPr>
          <w:ilvl w:val="0"/>
          <w:numId w:val="20"/>
        </w:numPr>
        <w:jc w:val="left"/>
        <w:rPr>
          <w:szCs w:val="24"/>
        </w:rPr>
      </w:pPr>
      <w:r w:rsidRPr="009D43D7">
        <w:rPr>
          <w:szCs w:val="24"/>
        </w:rPr>
        <w:t xml:space="preserve">Tier </w:t>
      </w:r>
      <w:r w:rsidR="00FD11B2" w:rsidRPr="009D43D7">
        <w:rPr>
          <w:szCs w:val="24"/>
        </w:rPr>
        <w:t>II</w:t>
      </w:r>
      <w:r w:rsidRPr="009D43D7">
        <w:rPr>
          <w:szCs w:val="24"/>
        </w:rPr>
        <w:t>: Indicator conceptually clear, established methodology and standards available but data are not regularly produced by countries</w:t>
      </w:r>
    </w:p>
    <w:p w14:paraId="03D9BAD7" w14:textId="56655742" w:rsidR="006405E0" w:rsidRPr="009D43D7" w:rsidRDefault="006405E0" w:rsidP="006405E0">
      <w:pPr>
        <w:pStyle w:val="SingleTxtG"/>
        <w:numPr>
          <w:ilvl w:val="0"/>
          <w:numId w:val="20"/>
        </w:numPr>
        <w:jc w:val="left"/>
        <w:rPr>
          <w:szCs w:val="24"/>
        </w:rPr>
      </w:pPr>
      <w:r w:rsidRPr="009D43D7">
        <w:rPr>
          <w:szCs w:val="24"/>
        </w:rPr>
        <w:t xml:space="preserve">Tier </w:t>
      </w:r>
      <w:r w:rsidR="00FD11B2" w:rsidRPr="009D43D7">
        <w:rPr>
          <w:szCs w:val="24"/>
        </w:rPr>
        <w:t>III</w:t>
      </w:r>
      <w:r w:rsidRPr="009D43D7">
        <w:rPr>
          <w:szCs w:val="24"/>
        </w:rPr>
        <w:t>: Indicator for which there are no established methodology and standards or methodology/standards are being developed/tested</w:t>
      </w:r>
      <w:r w:rsidR="00BE5CDB" w:rsidRPr="009D43D7">
        <w:rPr>
          <w:szCs w:val="24"/>
        </w:rPr>
        <w:t>.</w:t>
      </w:r>
    </w:p>
    <w:p w14:paraId="52E1709E" w14:textId="7DFD4E7F" w:rsidR="00667C01" w:rsidRPr="009D43D7" w:rsidRDefault="00667C01" w:rsidP="00CD49C5">
      <w:pPr>
        <w:pStyle w:val="SingleTxtG"/>
        <w:rPr>
          <w:szCs w:val="24"/>
        </w:rPr>
      </w:pPr>
      <w:r w:rsidRPr="009D43D7">
        <w:rPr>
          <w:szCs w:val="24"/>
        </w:rPr>
        <w:t xml:space="preserve">5. </w:t>
      </w:r>
      <w:r w:rsidRPr="009D43D7">
        <w:rPr>
          <w:szCs w:val="24"/>
        </w:rPr>
        <w:tab/>
        <w:t xml:space="preserve">Of these indicators, </w:t>
      </w:r>
      <w:r w:rsidR="00BF0154">
        <w:rPr>
          <w:szCs w:val="24"/>
        </w:rPr>
        <w:t xml:space="preserve">although, as mentioned above, the ITC work covers fourteen of the seventeen SDGs, only a subset of those indicators relating to three of the seventeen goals </w:t>
      </w:r>
      <w:r w:rsidR="00CC6EE9">
        <w:rPr>
          <w:szCs w:val="24"/>
        </w:rPr>
        <w:t xml:space="preserve">Seem to have a monitoring mechanism that is relevant for the ITC. </w:t>
      </w:r>
      <w:r w:rsidR="00BF0154">
        <w:rPr>
          <w:szCs w:val="24"/>
        </w:rPr>
        <w:t>T</w:t>
      </w:r>
      <w:r w:rsidRPr="009D43D7">
        <w:rPr>
          <w:szCs w:val="24"/>
        </w:rPr>
        <w:t xml:space="preserve">he table below identifies </w:t>
      </w:r>
      <w:proofErr w:type="gramStart"/>
      <w:r w:rsidRPr="009D43D7">
        <w:rPr>
          <w:szCs w:val="24"/>
        </w:rPr>
        <w:t xml:space="preserve">those </w:t>
      </w:r>
      <w:r w:rsidR="00793F96" w:rsidRPr="009D43D7">
        <w:rPr>
          <w:szCs w:val="24"/>
        </w:rPr>
        <w:t>which</w:t>
      </w:r>
      <w:proofErr w:type="gramEnd"/>
      <w:r w:rsidR="00793F96" w:rsidRPr="009D43D7">
        <w:rPr>
          <w:szCs w:val="24"/>
        </w:rPr>
        <w:t xml:space="preserve"> </w:t>
      </w:r>
      <w:r w:rsidRPr="009D43D7">
        <w:rPr>
          <w:szCs w:val="24"/>
        </w:rPr>
        <w:t xml:space="preserve">are of </w:t>
      </w:r>
      <w:r w:rsidR="00793F96" w:rsidRPr="009D43D7">
        <w:rPr>
          <w:szCs w:val="24"/>
        </w:rPr>
        <w:t xml:space="preserve">the </w:t>
      </w:r>
      <w:r w:rsidRPr="009D43D7">
        <w:rPr>
          <w:szCs w:val="24"/>
        </w:rPr>
        <w:t xml:space="preserve">most relevance to transport. The table also </w:t>
      </w:r>
      <w:r w:rsidR="00793F96" w:rsidRPr="009D43D7">
        <w:rPr>
          <w:szCs w:val="24"/>
        </w:rPr>
        <w:t xml:space="preserve">lists </w:t>
      </w:r>
      <w:r w:rsidRPr="009D43D7">
        <w:rPr>
          <w:szCs w:val="24"/>
        </w:rPr>
        <w:t xml:space="preserve">the agencies </w:t>
      </w:r>
      <w:r w:rsidR="00793F96" w:rsidRPr="009D43D7">
        <w:rPr>
          <w:szCs w:val="24"/>
        </w:rPr>
        <w:t xml:space="preserve">which </w:t>
      </w:r>
      <w:r w:rsidRPr="009D43D7">
        <w:rPr>
          <w:szCs w:val="24"/>
        </w:rPr>
        <w:t>have been identified as key players in data</w:t>
      </w:r>
      <w:r w:rsidR="00793F96" w:rsidRPr="009D43D7">
        <w:rPr>
          <w:szCs w:val="24"/>
        </w:rPr>
        <w:t xml:space="preserve"> collection and calculation</w:t>
      </w:r>
      <w:r w:rsidR="00DB1CFB" w:rsidRPr="009D43D7">
        <w:rPr>
          <w:szCs w:val="24"/>
        </w:rPr>
        <w:t xml:space="preserve">, the </w:t>
      </w:r>
      <w:r w:rsidR="00793F96" w:rsidRPr="009D43D7">
        <w:rPr>
          <w:szCs w:val="24"/>
        </w:rPr>
        <w:t>t</w:t>
      </w:r>
      <w:r w:rsidR="00DB1CFB" w:rsidRPr="009D43D7">
        <w:rPr>
          <w:szCs w:val="24"/>
        </w:rPr>
        <w:t xml:space="preserve">ier classification </w:t>
      </w:r>
      <w:r w:rsidR="00793F96" w:rsidRPr="009D43D7">
        <w:rPr>
          <w:szCs w:val="24"/>
        </w:rPr>
        <w:t xml:space="preserve">as indicated in para. 4 </w:t>
      </w:r>
      <w:r w:rsidR="00DB1CFB" w:rsidRPr="009D43D7">
        <w:rPr>
          <w:szCs w:val="24"/>
        </w:rPr>
        <w:t>and the reasons why ITC involvement in the monitoring is of great importance</w:t>
      </w:r>
      <w:r w:rsidRPr="009D43D7">
        <w:rPr>
          <w:szCs w:val="24"/>
        </w:rPr>
        <w:t>.</w:t>
      </w:r>
    </w:p>
    <w:p w14:paraId="2DAA452D" w14:textId="77777777" w:rsidR="00667C01" w:rsidRPr="009D43D7" w:rsidRDefault="00667C01" w:rsidP="00667C01">
      <w:pPr>
        <w:pStyle w:val="Heading1"/>
      </w:pPr>
      <w:r w:rsidRPr="009D43D7">
        <w:t>Table</w:t>
      </w:r>
    </w:p>
    <w:p w14:paraId="782C98C6" w14:textId="77777777" w:rsidR="00667C01" w:rsidRPr="009D43D7" w:rsidRDefault="00667C01" w:rsidP="00667C01">
      <w:pPr>
        <w:pStyle w:val="SingleTxtG"/>
        <w:rPr>
          <w:b/>
        </w:rPr>
      </w:pPr>
      <w:r w:rsidRPr="009D43D7">
        <w:rPr>
          <w:b/>
        </w:rPr>
        <w:t>Transport-related Sustainable Development Goals, targets and indicators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667C01" w:rsidRPr="009D43D7" w14:paraId="7E613D94" w14:textId="77777777" w:rsidTr="00B23EFB">
        <w:tc>
          <w:tcPr>
            <w:tcW w:w="7370" w:type="dxa"/>
            <w:tcBorders>
              <w:top w:val="single" w:sz="4" w:space="0" w:color="auto"/>
              <w:bottom w:val="single" w:sz="12" w:space="0" w:color="auto"/>
            </w:tcBorders>
            <w:shd w:val="clear" w:color="auto" w:fill="auto"/>
            <w:vAlign w:val="bottom"/>
          </w:tcPr>
          <w:p w14:paraId="61EDE46E" w14:textId="77777777" w:rsidR="00667C01" w:rsidRPr="009D43D7" w:rsidRDefault="00667C01" w:rsidP="00B23EFB">
            <w:pPr>
              <w:spacing w:before="80" w:after="80" w:line="200" w:lineRule="exact"/>
              <w:ind w:right="113"/>
              <w:rPr>
                <w:i/>
                <w:sz w:val="16"/>
              </w:rPr>
            </w:pPr>
            <w:r w:rsidRPr="009D43D7">
              <w:rPr>
                <w:i/>
                <w:sz w:val="16"/>
              </w:rPr>
              <w:t>Transport-related goals</w:t>
            </w:r>
          </w:p>
        </w:tc>
      </w:tr>
      <w:tr w:rsidR="00667C01" w:rsidRPr="009D43D7" w14:paraId="358AEB1E" w14:textId="77777777" w:rsidTr="00B23EFB">
        <w:tc>
          <w:tcPr>
            <w:tcW w:w="7370" w:type="dxa"/>
            <w:tcBorders>
              <w:top w:val="single" w:sz="12" w:space="0" w:color="auto"/>
              <w:bottom w:val="single" w:sz="4" w:space="0" w:color="auto"/>
            </w:tcBorders>
            <w:shd w:val="clear" w:color="auto" w:fill="auto"/>
          </w:tcPr>
          <w:p w14:paraId="73844D00" w14:textId="77777777" w:rsidR="00667C01" w:rsidRPr="009D43D7" w:rsidRDefault="002D3413" w:rsidP="00B23EFB">
            <w:pPr>
              <w:spacing w:before="40" w:after="120"/>
              <w:ind w:right="113"/>
            </w:pPr>
            <w:r w:rsidRPr="009D43D7">
              <w:rPr>
                <w:b/>
              </w:rPr>
              <w:t>Goal 3.</w:t>
            </w:r>
            <w:r w:rsidRPr="009D43D7">
              <w:rPr>
                <w:b/>
              </w:rPr>
              <w:tab/>
            </w:r>
            <w:r w:rsidR="00667C01" w:rsidRPr="009D43D7">
              <w:rPr>
                <w:b/>
              </w:rPr>
              <w:t>Ensure healthy lives and promote well-being for all at all ages</w:t>
            </w:r>
          </w:p>
        </w:tc>
      </w:tr>
      <w:tr w:rsidR="00667C01" w:rsidRPr="009D43D7" w14:paraId="7006B720" w14:textId="77777777" w:rsidTr="00B23EFB">
        <w:tc>
          <w:tcPr>
            <w:tcW w:w="7370" w:type="dxa"/>
            <w:tcBorders>
              <w:top w:val="single" w:sz="4" w:space="0" w:color="auto"/>
            </w:tcBorders>
            <w:shd w:val="clear" w:color="auto" w:fill="auto"/>
          </w:tcPr>
          <w:p w14:paraId="2D6AA9F4" w14:textId="77777777" w:rsidR="00667C01" w:rsidRPr="009D43D7" w:rsidRDefault="00667C01" w:rsidP="00B23EFB">
            <w:pPr>
              <w:spacing w:before="40" w:after="120"/>
              <w:ind w:right="113"/>
            </w:pPr>
            <w:r w:rsidRPr="009D43D7">
              <w:rPr>
                <w:b/>
                <w:i/>
              </w:rPr>
              <w:t>3.6</w:t>
            </w:r>
            <w:r w:rsidRPr="009D43D7">
              <w:rPr>
                <w:b/>
                <w:i/>
              </w:rPr>
              <w:tab/>
              <w:t>By 2020, halve the number of global deaths and injuries from road traffic accidents.</w:t>
            </w:r>
          </w:p>
        </w:tc>
      </w:tr>
      <w:tr w:rsidR="00667C01" w:rsidRPr="009D43D7" w14:paraId="6E1BBD8F" w14:textId="77777777" w:rsidTr="00B23EFB">
        <w:tc>
          <w:tcPr>
            <w:tcW w:w="7370" w:type="dxa"/>
            <w:shd w:val="clear" w:color="auto" w:fill="auto"/>
          </w:tcPr>
          <w:p w14:paraId="4CAC3D63" w14:textId="77777777" w:rsidR="00667C01" w:rsidRPr="009D43D7" w:rsidRDefault="00667C01" w:rsidP="00B23EFB">
            <w:pPr>
              <w:spacing w:before="40" w:after="120"/>
              <w:ind w:right="113"/>
            </w:pPr>
            <w:r w:rsidRPr="009D43D7">
              <w:rPr>
                <w:i/>
              </w:rPr>
              <w:t>Indicator</w:t>
            </w:r>
            <w:r w:rsidR="004531BB" w:rsidRPr="009D43D7">
              <w:rPr>
                <w:i/>
              </w:rPr>
              <w:t xml:space="preserve"> 3.6.1</w:t>
            </w:r>
            <w:r w:rsidRPr="009D43D7">
              <w:t xml:space="preserve">: </w:t>
            </w:r>
            <w:r w:rsidR="004531BB" w:rsidRPr="009D43D7">
              <w:t>Death rate due to road traffic injuries</w:t>
            </w:r>
          </w:p>
          <w:p w14:paraId="06BBD510" w14:textId="77777777" w:rsidR="00967FDA" w:rsidRPr="009D43D7" w:rsidRDefault="00967FDA" w:rsidP="00B23EFB">
            <w:pPr>
              <w:spacing w:before="40" w:after="120"/>
              <w:ind w:right="113"/>
              <w:rPr>
                <w:u w:val="single"/>
              </w:rPr>
            </w:pPr>
            <w:r w:rsidRPr="009D43D7">
              <w:rPr>
                <w:i/>
              </w:rPr>
              <w:t>Possible Custodian Agency:</w:t>
            </w:r>
            <w:r w:rsidR="004531BB" w:rsidRPr="009D43D7">
              <w:t xml:space="preserve"> </w:t>
            </w:r>
            <w:r w:rsidR="00664A95" w:rsidRPr="009D43D7">
              <w:t>World Health Organization (</w:t>
            </w:r>
            <w:r w:rsidR="004531BB" w:rsidRPr="009D43D7">
              <w:t>WHO</w:t>
            </w:r>
            <w:r w:rsidR="00664A95" w:rsidRPr="009D43D7">
              <w:t>)</w:t>
            </w:r>
          </w:p>
          <w:p w14:paraId="6EE96EF9" w14:textId="77777777" w:rsidR="00967FDA" w:rsidRPr="009D43D7" w:rsidRDefault="00967FDA" w:rsidP="00B23EFB">
            <w:pPr>
              <w:spacing w:before="40" w:after="120"/>
              <w:ind w:right="113"/>
            </w:pPr>
            <w:r w:rsidRPr="009D43D7">
              <w:rPr>
                <w:i/>
              </w:rPr>
              <w:t>Other Involved Agencies:</w:t>
            </w:r>
            <w:r w:rsidR="004531BB" w:rsidRPr="009D43D7">
              <w:t xml:space="preserve"> None provided</w:t>
            </w:r>
          </w:p>
          <w:p w14:paraId="0C532E16" w14:textId="169AFEA8" w:rsidR="00DE0CF1" w:rsidRPr="009D43D7" w:rsidRDefault="009F6E74" w:rsidP="00FD11B2">
            <w:pPr>
              <w:spacing w:before="40" w:after="120"/>
              <w:ind w:right="113"/>
              <w:rPr>
                <w:u w:val="single"/>
              </w:rPr>
            </w:pPr>
            <w:r w:rsidRPr="009D43D7">
              <w:rPr>
                <w:i/>
              </w:rPr>
              <w:t>Tier</w:t>
            </w:r>
            <w:r w:rsidR="00DE0CF1" w:rsidRPr="009D43D7">
              <w:t xml:space="preserve"> </w:t>
            </w:r>
            <w:r w:rsidR="00FD11B2" w:rsidRPr="009D43D7">
              <w:rPr>
                <w:i/>
              </w:rPr>
              <w:t>I</w:t>
            </w:r>
          </w:p>
        </w:tc>
      </w:tr>
      <w:tr w:rsidR="00667C01" w:rsidRPr="009D43D7" w14:paraId="00CC4C70" w14:textId="77777777" w:rsidTr="00B23EFB">
        <w:tc>
          <w:tcPr>
            <w:tcW w:w="7370" w:type="dxa"/>
            <w:shd w:val="clear" w:color="auto" w:fill="auto"/>
          </w:tcPr>
          <w:p w14:paraId="3944004D" w14:textId="15AEE97C" w:rsidR="00667C01" w:rsidRPr="009D43D7" w:rsidRDefault="004531BB" w:rsidP="00382991">
            <w:pPr>
              <w:spacing w:before="40" w:after="120"/>
              <w:ind w:right="113"/>
            </w:pPr>
            <w:r w:rsidRPr="009D43D7">
              <w:rPr>
                <w:i/>
              </w:rPr>
              <w:t>Justification for ITC involvement:</w:t>
            </w:r>
            <w:r w:rsidRPr="009D43D7">
              <w:t xml:space="preserve"> </w:t>
            </w:r>
            <w:r w:rsidR="00BC6029" w:rsidRPr="009D43D7">
              <w:t xml:space="preserve">ITC </w:t>
            </w:r>
            <w:r w:rsidR="00667C01" w:rsidRPr="009D43D7">
              <w:t xml:space="preserve">is the only United Nations forum offering a 360° approach to </w:t>
            </w:r>
            <w:r w:rsidR="00BC6029" w:rsidRPr="009D43D7">
              <w:t>r</w:t>
            </w:r>
            <w:r w:rsidR="00667C01" w:rsidRPr="009D43D7">
              <w:t xml:space="preserve">oad </w:t>
            </w:r>
            <w:r w:rsidR="00BC6029" w:rsidRPr="009D43D7">
              <w:t>s</w:t>
            </w:r>
            <w:r w:rsidR="00667C01" w:rsidRPr="009D43D7">
              <w:t xml:space="preserve">afety on </w:t>
            </w:r>
            <w:r w:rsidR="00BC6029" w:rsidRPr="009D43D7">
              <w:t xml:space="preserve">the basis of </w:t>
            </w:r>
            <w:r w:rsidR="00667C01" w:rsidRPr="009D43D7">
              <w:t>its regulatory work, capacity-building and technical assistance, analytical work and policy dialogue</w:t>
            </w:r>
            <w:r w:rsidR="00BC6029" w:rsidRPr="009D43D7">
              <w:t>.</w:t>
            </w:r>
            <w:r w:rsidR="00667C01" w:rsidRPr="009D43D7">
              <w:t xml:space="preserve"> </w:t>
            </w:r>
            <w:r w:rsidR="00BC6029" w:rsidRPr="009D43D7">
              <w:t>T</w:t>
            </w:r>
            <w:r w:rsidR="00667C01" w:rsidRPr="009D43D7">
              <w:t>he</w:t>
            </w:r>
            <w:r w:rsidR="00382991" w:rsidRPr="009D43D7">
              <w:t>se</w:t>
            </w:r>
            <w:r w:rsidR="00667C01" w:rsidRPr="009D43D7">
              <w:t xml:space="preserve"> </w:t>
            </w:r>
            <w:r w:rsidR="00BC6029" w:rsidRPr="009D43D7">
              <w:t>cover</w:t>
            </w:r>
            <w:r w:rsidR="00667C01" w:rsidRPr="009D43D7">
              <w:t>:</w:t>
            </w:r>
          </w:p>
        </w:tc>
      </w:tr>
      <w:tr w:rsidR="00667C01" w:rsidRPr="009D43D7" w14:paraId="7E5E6D4C" w14:textId="77777777" w:rsidTr="00B23EFB">
        <w:tc>
          <w:tcPr>
            <w:tcW w:w="7370" w:type="dxa"/>
            <w:shd w:val="clear" w:color="auto" w:fill="auto"/>
          </w:tcPr>
          <w:p w14:paraId="389D1C96" w14:textId="77777777" w:rsidR="00667C01" w:rsidRPr="009D43D7" w:rsidRDefault="00667C01" w:rsidP="009D43D7">
            <w:pPr>
              <w:pStyle w:val="Bullet1G"/>
            </w:pPr>
            <w:r w:rsidRPr="009D43D7">
              <w:t>Traffic rules;</w:t>
            </w:r>
          </w:p>
        </w:tc>
      </w:tr>
      <w:tr w:rsidR="00667C01" w:rsidRPr="009D43D7" w14:paraId="530BCCAC" w14:textId="77777777" w:rsidTr="00B23EFB">
        <w:tc>
          <w:tcPr>
            <w:tcW w:w="7370" w:type="dxa"/>
            <w:shd w:val="clear" w:color="auto" w:fill="auto"/>
          </w:tcPr>
          <w:p w14:paraId="0793FADE" w14:textId="77777777" w:rsidR="00667C01" w:rsidRPr="009D43D7" w:rsidRDefault="00667C01" w:rsidP="009D43D7">
            <w:pPr>
              <w:pStyle w:val="Bullet1G"/>
            </w:pPr>
            <w:r w:rsidRPr="009D43D7">
              <w:t>Signs and signals;</w:t>
            </w:r>
          </w:p>
        </w:tc>
      </w:tr>
      <w:tr w:rsidR="00667C01" w:rsidRPr="009D43D7" w14:paraId="5189F048" w14:textId="77777777" w:rsidTr="00B23EFB">
        <w:tc>
          <w:tcPr>
            <w:tcW w:w="7370" w:type="dxa"/>
            <w:shd w:val="clear" w:color="auto" w:fill="auto"/>
          </w:tcPr>
          <w:p w14:paraId="06B7BAE7" w14:textId="77777777" w:rsidR="00667C01" w:rsidRPr="009D43D7" w:rsidRDefault="00667C01" w:rsidP="009D43D7">
            <w:pPr>
              <w:pStyle w:val="Bullet1G"/>
            </w:pPr>
            <w:r w:rsidRPr="009D43D7">
              <w:t>Road infrastructure;</w:t>
            </w:r>
          </w:p>
        </w:tc>
      </w:tr>
      <w:tr w:rsidR="00667C01" w:rsidRPr="009D43D7" w14:paraId="60A3CD5E" w14:textId="77777777" w:rsidTr="00B23EFB">
        <w:tc>
          <w:tcPr>
            <w:tcW w:w="7370" w:type="dxa"/>
            <w:shd w:val="clear" w:color="auto" w:fill="auto"/>
          </w:tcPr>
          <w:p w14:paraId="33D3D51F" w14:textId="77777777" w:rsidR="00667C01" w:rsidRPr="009D43D7" w:rsidRDefault="00667C01" w:rsidP="009D43D7">
            <w:pPr>
              <w:pStyle w:val="Bullet1G"/>
            </w:pPr>
            <w:r w:rsidRPr="009D43D7">
              <w:t>Construction and periodic inspection of vehicles;</w:t>
            </w:r>
          </w:p>
        </w:tc>
      </w:tr>
      <w:tr w:rsidR="00667C01" w:rsidRPr="009D43D7" w14:paraId="37954A9F" w14:textId="77777777" w:rsidTr="00B23EFB">
        <w:tc>
          <w:tcPr>
            <w:tcW w:w="7370" w:type="dxa"/>
            <w:shd w:val="clear" w:color="auto" w:fill="auto"/>
          </w:tcPr>
          <w:p w14:paraId="070A7774" w14:textId="77777777" w:rsidR="00667C01" w:rsidRPr="009D43D7" w:rsidRDefault="00667C01" w:rsidP="009D43D7">
            <w:pPr>
              <w:pStyle w:val="Bullet1G"/>
            </w:pPr>
            <w:r w:rsidRPr="009D43D7">
              <w:t>Driving times and rest periods for professional drivers;</w:t>
            </w:r>
          </w:p>
        </w:tc>
      </w:tr>
      <w:tr w:rsidR="00667C01" w:rsidRPr="009D43D7" w14:paraId="7C7667AC" w14:textId="77777777" w:rsidTr="00B23EFB">
        <w:tc>
          <w:tcPr>
            <w:tcW w:w="7370" w:type="dxa"/>
            <w:shd w:val="clear" w:color="auto" w:fill="auto"/>
          </w:tcPr>
          <w:p w14:paraId="755C996A" w14:textId="77777777" w:rsidR="00667C01" w:rsidRPr="009D43D7" w:rsidRDefault="00667C01" w:rsidP="009D43D7">
            <w:pPr>
              <w:pStyle w:val="Bullet1G"/>
            </w:pPr>
            <w:r w:rsidRPr="009D43D7">
              <w:lastRenderedPageBreak/>
              <w:t>Dangerous goods;</w:t>
            </w:r>
          </w:p>
        </w:tc>
      </w:tr>
      <w:tr w:rsidR="002029B3" w:rsidRPr="009D43D7" w14:paraId="352A441E" w14:textId="77777777" w:rsidTr="00B23EFB">
        <w:tc>
          <w:tcPr>
            <w:tcW w:w="7370" w:type="dxa"/>
            <w:shd w:val="clear" w:color="auto" w:fill="auto"/>
          </w:tcPr>
          <w:p w14:paraId="65742E8A" w14:textId="77777777" w:rsidR="002029B3" w:rsidRPr="009D43D7" w:rsidRDefault="002029B3" w:rsidP="009D43D7">
            <w:pPr>
              <w:pStyle w:val="Bullet1G"/>
            </w:pPr>
            <w:r w:rsidRPr="009D43D7">
              <w:t>Mobilizing political will and resources, including support for the work of the United Nations Secretary-General’s Special Envoy for Road Safety.</w:t>
            </w:r>
          </w:p>
        </w:tc>
      </w:tr>
      <w:tr w:rsidR="00667C01" w:rsidRPr="009D43D7" w14:paraId="3014F56A" w14:textId="77777777" w:rsidTr="00B23EFB">
        <w:tc>
          <w:tcPr>
            <w:tcW w:w="7370" w:type="dxa"/>
            <w:shd w:val="clear" w:color="auto" w:fill="auto"/>
          </w:tcPr>
          <w:p w14:paraId="31840086" w14:textId="2E28A478" w:rsidR="004531BB" w:rsidRPr="009D43D7" w:rsidRDefault="00740D30" w:rsidP="00FD11B2">
            <w:pPr>
              <w:spacing w:before="40" w:after="120"/>
              <w:ind w:right="113"/>
            </w:pPr>
            <w:proofErr w:type="gramStart"/>
            <w:r w:rsidRPr="009D43D7">
              <w:t xml:space="preserve">The </w:t>
            </w:r>
            <w:r w:rsidR="004531BB" w:rsidRPr="009D43D7">
              <w:t xml:space="preserve">ITC </w:t>
            </w:r>
            <w:r w:rsidR="000D620A" w:rsidRPr="009D43D7">
              <w:t>Working Party on Transport Statistics (</w:t>
            </w:r>
            <w:bookmarkStart w:id="1" w:name="hit17"/>
            <w:bookmarkEnd w:id="1"/>
            <w:r w:rsidR="000D620A" w:rsidRPr="009D43D7">
              <w:t>WP.</w:t>
            </w:r>
            <w:bookmarkStart w:id="2" w:name="hit18"/>
            <w:bookmarkEnd w:id="2"/>
            <w:r w:rsidR="000D620A" w:rsidRPr="009D43D7">
              <w:t>6)</w:t>
            </w:r>
            <w:r w:rsidR="004531BB" w:rsidRPr="009D43D7">
              <w:t xml:space="preserve"> </w:t>
            </w:r>
            <w:r w:rsidR="00BE5CDB" w:rsidRPr="009D43D7">
              <w:t xml:space="preserve">collects </w:t>
            </w:r>
            <w:r w:rsidR="004531BB" w:rsidRPr="009D43D7">
              <w:t xml:space="preserve">and disseminates significant amounts of statistics on road safety for </w:t>
            </w:r>
            <w:r w:rsidR="00B709C4">
              <w:t>the United Nations Economic Commission for Europe (</w:t>
            </w:r>
            <w:r w:rsidR="004531BB" w:rsidRPr="009D43D7">
              <w:t>UNECE</w:t>
            </w:r>
            <w:r w:rsidR="00B709C4">
              <w:t>)</w:t>
            </w:r>
            <w:r w:rsidR="004531BB" w:rsidRPr="009D43D7">
              <w:t xml:space="preserve"> member States</w:t>
            </w:r>
            <w:r w:rsidR="00BE5CDB" w:rsidRPr="009D43D7">
              <w:t>,</w:t>
            </w:r>
            <w:r w:rsidR="004531BB" w:rsidRPr="009D43D7">
              <w:t xml:space="preserve"> </w:t>
            </w:r>
            <w:r w:rsidR="00BE5CDB" w:rsidRPr="009D43D7">
              <w:t xml:space="preserve">such as </w:t>
            </w:r>
            <w:r w:rsidR="004531BB" w:rsidRPr="009D43D7">
              <w:t>in the online statistical database, and the number of statistics publications that we prepare including</w:t>
            </w:r>
            <w:r w:rsidR="007A2B33" w:rsidRPr="009D43D7">
              <w:t>, but not limited to</w:t>
            </w:r>
            <w:r w:rsidR="004531BB" w:rsidRPr="009D43D7">
              <w:t xml:space="preserve">: </w:t>
            </w:r>
            <w:r w:rsidR="00BC6029" w:rsidRPr="009D43D7">
              <w:t>‘</w:t>
            </w:r>
            <w:r w:rsidR="004531BB" w:rsidRPr="009D43D7">
              <w:t>Statistics of Road Traffic Accidents in Europe and North America</w:t>
            </w:r>
            <w:r w:rsidR="002D3413" w:rsidRPr="009D43D7">
              <w:t xml:space="preserve"> </w:t>
            </w:r>
            <w:r w:rsidR="00546F13">
              <w:t>-</w:t>
            </w:r>
            <w:r w:rsidR="007A2B33" w:rsidRPr="009D43D7">
              <w:t xml:space="preserve"> 2015</w:t>
            </w:r>
            <w:r w:rsidR="00BC6029" w:rsidRPr="009D43D7">
              <w:t>’</w:t>
            </w:r>
            <w:r w:rsidR="007A2B33" w:rsidRPr="009D43D7">
              <w:t xml:space="preserve">, </w:t>
            </w:r>
            <w:r w:rsidR="00BC6029" w:rsidRPr="009D43D7">
              <w:t>‘</w:t>
            </w:r>
            <w:r w:rsidR="007A2B33" w:rsidRPr="009D43D7">
              <w:t xml:space="preserve">Transport Statistics </w:t>
            </w:r>
            <w:proofErr w:type="spellStart"/>
            <w:r w:rsidR="007A2B33" w:rsidRPr="009D43D7">
              <w:t>Infocards</w:t>
            </w:r>
            <w:proofErr w:type="spellEnd"/>
            <w:r w:rsidR="00BC6029" w:rsidRPr="009D43D7">
              <w:t>’</w:t>
            </w:r>
            <w:r w:rsidR="007A2B33" w:rsidRPr="009D43D7">
              <w:t xml:space="preserve"> (ECE/TRANS/2017/2</w:t>
            </w:r>
            <w:r w:rsidR="00FD11B2" w:rsidRPr="009D43D7">
              <w:t>3</w:t>
            </w:r>
            <w:r w:rsidR="007A2B33" w:rsidRPr="009D43D7">
              <w:t>).</w:t>
            </w:r>
            <w:proofErr w:type="gramEnd"/>
            <w:r w:rsidR="007A2B33" w:rsidRPr="009D43D7">
              <w:t xml:space="preserve"> Data specifically related to fatalities as set out in this indicator have been measured and </w:t>
            </w:r>
            <w:r w:rsidR="00BC6029" w:rsidRPr="009D43D7">
              <w:t xml:space="preserve">collected </w:t>
            </w:r>
            <w:r w:rsidR="007A2B33" w:rsidRPr="009D43D7">
              <w:t>by UNECE for decades.</w:t>
            </w:r>
            <w:r w:rsidR="00DE0CF1" w:rsidRPr="009D43D7">
              <w:t xml:space="preserve"> Furthermore, this data is already in the possession of ITC and research</w:t>
            </w:r>
            <w:r w:rsidR="00BE5CDB" w:rsidRPr="009D43D7">
              <w:t xml:space="preserve"> is not required</w:t>
            </w:r>
            <w:r w:rsidR="00DE0CF1" w:rsidRPr="009D43D7">
              <w:t>.</w:t>
            </w:r>
          </w:p>
        </w:tc>
      </w:tr>
      <w:tr w:rsidR="00667C01" w:rsidRPr="009D43D7" w14:paraId="39E5123E" w14:textId="77777777" w:rsidTr="00B23EFB">
        <w:tc>
          <w:tcPr>
            <w:tcW w:w="7370" w:type="dxa"/>
            <w:tcBorders>
              <w:bottom w:val="single" w:sz="12" w:space="0" w:color="auto"/>
            </w:tcBorders>
            <w:shd w:val="clear" w:color="auto" w:fill="auto"/>
          </w:tcPr>
          <w:p w14:paraId="2F17AA17" w14:textId="77777777" w:rsidR="00667C01" w:rsidRPr="009D43D7" w:rsidRDefault="00667C01" w:rsidP="00B23EFB">
            <w:pPr>
              <w:spacing w:before="40" w:after="120"/>
              <w:ind w:right="113"/>
            </w:pPr>
          </w:p>
        </w:tc>
      </w:tr>
      <w:tr w:rsidR="00667C01" w:rsidRPr="009D43D7" w14:paraId="3A4FF23A" w14:textId="77777777" w:rsidTr="00B23EFB">
        <w:tc>
          <w:tcPr>
            <w:tcW w:w="7370" w:type="dxa"/>
            <w:tcBorders>
              <w:top w:val="single" w:sz="12" w:space="0" w:color="auto"/>
              <w:bottom w:val="single" w:sz="4" w:space="0" w:color="auto"/>
            </w:tcBorders>
            <w:shd w:val="clear" w:color="auto" w:fill="auto"/>
          </w:tcPr>
          <w:p w14:paraId="23F99EDB" w14:textId="77777777" w:rsidR="00667C01" w:rsidRPr="009D43D7" w:rsidRDefault="00667C01" w:rsidP="00B23EFB">
            <w:pPr>
              <w:spacing w:before="40" w:after="120"/>
              <w:ind w:right="113"/>
            </w:pPr>
            <w:r w:rsidRPr="009D43D7">
              <w:rPr>
                <w:b/>
              </w:rPr>
              <w:t xml:space="preserve">Goal 9. </w:t>
            </w:r>
            <w:r w:rsidRPr="009D43D7">
              <w:rPr>
                <w:b/>
              </w:rPr>
              <w:tab/>
              <w:t>Build resilient infrastructure, promote inclusive and sustainable industrialization and foster innovation</w:t>
            </w:r>
          </w:p>
        </w:tc>
      </w:tr>
      <w:tr w:rsidR="00667C01" w:rsidRPr="009D43D7" w14:paraId="02387173" w14:textId="77777777" w:rsidTr="00B23EFB">
        <w:tc>
          <w:tcPr>
            <w:tcW w:w="7370" w:type="dxa"/>
            <w:tcBorders>
              <w:top w:val="single" w:sz="4" w:space="0" w:color="auto"/>
            </w:tcBorders>
            <w:shd w:val="clear" w:color="auto" w:fill="auto"/>
          </w:tcPr>
          <w:p w14:paraId="280C7D87" w14:textId="77777777" w:rsidR="00667C01" w:rsidRPr="009D43D7" w:rsidRDefault="00667C01" w:rsidP="00B23EFB">
            <w:pPr>
              <w:spacing w:before="40" w:after="120"/>
              <w:ind w:right="113"/>
            </w:pPr>
            <w:r w:rsidRPr="009D43D7">
              <w:rPr>
                <w:b/>
                <w:i/>
              </w:rPr>
              <w:t>9.1</w:t>
            </w:r>
            <w:r w:rsidRPr="009D43D7">
              <w:rPr>
                <w:b/>
                <w:i/>
              </w:rPr>
              <w:tab/>
              <w:t xml:space="preserve">Develop quality, reliable, sustainable and resilient infrastructure, including regional and </w:t>
            </w:r>
            <w:proofErr w:type="spellStart"/>
            <w:r w:rsidRPr="009D43D7">
              <w:rPr>
                <w:b/>
                <w:i/>
              </w:rPr>
              <w:t>transborder</w:t>
            </w:r>
            <w:proofErr w:type="spellEnd"/>
            <w:r w:rsidRPr="009D43D7">
              <w:rPr>
                <w:b/>
                <w:i/>
              </w:rPr>
              <w:t xml:space="preserve"> infrastructure, to support economic development and human well-being, with a focus on affordable and equitable access for all</w:t>
            </w:r>
          </w:p>
        </w:tc>
      </w:tr>
      <w:tr w:rsidR="00667C01" w:rsidRPr="009D43D7" w14:paraId="25D81133" w14:textId="77777777" w:rsidTr="00B23EFB">
        <w:tc>
          <w:tcPr>
            <w:tcW w:w="7370" w:type="dxa"/>
            <w:shd w:val="clear" w:color="auto" w:fill="auto"/>
          </w:tcPr>
          <w:p w14:paraId="4A64EE3E" w14:textId="77777777" w:rsidR="00667C01" w:rsidRPr="009D43D7" w:rsidRDefault="00667C01" w:rsidP="00B23EFB">
            <w:pPr>
              <w:spacing w:before="40" w:after="120"/>
              <w:ind w:right="113"/>
            </w:pPr>
            <w:r w:rsidRPr="009D43D7">
              <w:rPr>
                <w:i/>
              </w:rPr>
              <w:t xml:space="preserve">Indicator </w:t>
            </w:r>
            <w:r w:rsidR="00DE0CF1" w:rsidRPr="009D43D7">
              <w:rPr>
                <w:i/>
              </w:rPr>
              <w:t>9.1.</w:t>
            </w:r>
            <w:r w:rsidRPr="009D43D7">
              <w:rPr>
                <w:i/>
              </w:rPr>
              <w:t>1</w:t>
            </w:r>
            <w:r w:rsidRPr="009D43D7">
              <w:t xml:space="preserve">: </w:t>
            </w:r>
            <w:r w:rsidR="00DE0CF1" w:rsidRPr="009D43D7">
              <w:t>Proportion</w:t>
            </w:r>
            <w:r w:rsidRPr="009D43D7">
              <w:t xml:space="preserve"> of the rural population who live within 2</w:t>
            </w:r>
            <w:r w:rsidR="00566800" w:rsidRPr="009D43D7">
              <w:t xml:space="preserve"> </w:t>
            </w:r>
            <w:r w:rsidRPr="009D43D7">
              <w:t>km of an all season road</w:t>
            </w:r>
          </w:p>
          <w:p w14:paraId="1D149379" w14:textId="77777777" w:rsidR="006405E0" w:rsidRPr="009D43D7" w:rsidRDefault="006405E0" w:rsidP="006405E0">
            <w:pPr>
              <w:spacing w:before="40" w:after="120"/>
              <w:ind w:right="113"/>
              <w:rPr>
                <w:u w:val="single"/>
              </w:rPr>
            </w:pPr>
            <w:r w:rsidRPr="009D43D7">
              <w:rPr>
                <w:i/>
              </w:rPr>
              <w:t>Possible Custodian Agency:</w:t>
            </w:r>
            <w:r w:rsidR="00DE0CF1" w:rsidRPr="009D43D7">
              <w:t xml:space="preserve"> World Bank</w:t>
            </w:r>
          </w:p>
          <w:p w14:paraId="396A565C" w14:textId="77777777" w:rsidR="006405E0" w:rsidRPr="009D43D7" w:rsidRDefault="006405E0" w:rsidP="006405E0">
            <w:pPr>
              <w:spacing w:before="40" w:after="120"/>
              <w:ind w:right="113"/>
            </w:pPr>
            <w:r w:rsidRPr="009D43D7">
              <w:rPr>
                <w:i/>
              </w:rPr>
              <w:t>Other Involved Agencies:</w:t>
            </w:r>
            <w:r w:rsidR="00DE0CF1" w:rsidRPr="009D43D7">
              <w:t xml:space="preserve"> </w:t>
            </w:r>
            <w:r w:rsidR="00566800" w:rsidRPr="009D43D7">
              <w:t>United Nations Environment Programme (</w:t>
            </w:r>
            <w:bookmarkStart w:id="3" w:name="hit1"/>
            <w:bookmarkEnd w:id="3"/>
            <w:r w:rsidR="00566800" w:rsidRPr="009D43D7">
              <w:t xml:space="preserve">UNEP) </w:t>
            </w:r>
          </w:p>
          <w:p w14:paraId="3F7FD340" w14:textId="77777777" w:rsidR="00DE0CF1" w:rsidRPr="009D43D7" w:rsidRDefault="009F6E74" w:rsidP="006405E0">
            <w:pPr>
              <w:spacing w:before="40" w:after="120"/>
              <w:ind w:right="113"/>
            </w:pPr>
            <w:r w:rsidRPr="009D43D7">
              <w:rPr>
                <w:i/>
              </w:rPr>
              <w:t>Tier</w:t>
            </w:r>
            <w:r w:rsidR="00DE0CF1" w:rsidRPr="009D43D7">
              <w:rPr>
                <w:i/>
              </w:rPr>
              <w:t>:</w:t>
            </w:r>
            <w:r w:rsidR="00DE0CF1" w:rsidRPr="009D43D7">
              <w:t xml:space="preserve"> III</w:t>
            </w:r>
          </w:p>
        </w:tc>
      </w:tr>
      <w:tr w:rsidR="00667C01" w:rsidRPr="009D43D7" w14:paraId="384384CC" w14:textId="77777777" w:rsidTr="00B23EFB">
        <w:tc>
          <w:tcPr>
            <w:tcW w:w="7370" w:type="dxa"/>
            <w:shd w:val="clear" w:color="auto" w:fill="auto"/>
          </w:tcPr>
          <w:p w14:paraId="6D1887EC" w14:textId="77777777" w:rsidR="00667C01" w:rsidRPr="009D43D7" w:rsidRDefault="00667C01" w:rsidP="00B23EFB">
            <w:pPr>
              <w:spacing w:before="40" w:after="120"/>
              <w:ind w:right="113"/>
            </w:pPr>
            <w:r w:rsidRPr="009D43D7">
              <w:rPr>
                <w:i/>
              </w:rPr>
              <w:t xml:space="preserve">Indicator </w:t>
            </w:r>
            <w:r w:rsidR="00DE0CF1" w:rsidRPr="009D43D7">
              <w:rPr>
                <w:i/>
              </w:rPr>
              <w:t>9.1.</w:t>
            </w:r>
            <w:r w:rsidRPr="009D43D7">
              <w:rPr>
                <w:i/>
              </w:rPr>
              <w:t>2</w:t>
            </w:r>
            <w:r w:rsidRPr="009D43D7">
              <w:t>: Passenger and freight volumes</w:t>
            </w:r>
          </w:p>
          <w:p w14:paraId="612363FD" w14:textId="77777777" w:rsidR="006405E0" w:rsidRPr="009D43D7" w:rsidRDefault="006405E0" w:rsidP="006405E0">
            <w:pPr>
              <w:spacing w:before="40" w:after="120"/>
              <w:ind w:right="113"/>
            </w:pPr>
            <w:r w:rsidRPr="009D43D7">
              <w:rPr>
                <w:i/>
              </w:rPr>
              <w:t>Possible Custodian Agency:</w:t>
            </w:r>
            <w:r w:rsidR="00DE0CF1" w:rsidRPr="009D43D7">
              <w:t xml:space="preserve"> </w:t>
            </w:r>
            <w:r w:rsidR="000B2602" w:rsidRPr="009D43D7">
              <w:t>International Civil Aviation Organization (ICAO)</w:t>
            </w:r>
          </w:p>
          <w:p w14:paraId="25BFD979" w14:textId="77777777" w:rsidR="006405E0" w:rsidRPr="009D43D7" w:rsidRDefault="006405E0" w:rsidP="006405E0">
            <w:pPr>
              <w:spacing w:before="40" w:after="120"/>
              <w:ind w:right="113"/>
              <w:rPr>
                <w:u w:val="single"/>
              </w:rPr>
            </w:pPr>
            <w:r w:rsidRPr="009D43D7">
              <w:rPr>
                <w:i/>
              </w:rPr>
              <w:t>Other Involved Agencies:</w:t>
            </w:r>
            <w:r w:rsidR="00DE0CF1" w:rsidRPr="009D43D7">
              <w:t xml:space="preserve"> </w:t>
            </w:r>
            <w:r w:rsidR="00A36DD4" w:rsidRPr="009D43D7">
              <w:t xml:space="preserve">UNECE (added in November 2016, see paragraph 9 below), </w:t>
            </w:r>
            <w:r w:rsidR="009D2082" w:rsidRPr="009D43D7">
              <w:t>Universal Postal Union (UPU)</w:t>
            </w:r>
            <w:r w:rsidR="00DE0CF1" w:rsidRPr="009D43D7">
              <w:t xml:space="preserve">, </w:t>
            </w:r>
            <w:r w:rsidR="00A36DD4" w:rsidRPr="009D43D7">
              <w:t>World Bank</w:t>
            </w:r>
          </w:p>
          <w:p w14:paraId="4C06B466" w14:textId="77777777" w:rsidR="00DE0CF1" w:rsidRPr="009D43D7" w:rsidRDefault="009F6E74" w:rsidP="006405E0">
            <w:pPr>
              <w:spacing w:before="40" w:after="120"/>
              <w:ind w:right="113"/>
            </w:pPr>
            <w:r w:rsidRPr="009D43D7">
              <w:rPr>
                <w:i/>
              </w:rPr>
              <w:t>Tier</w:t>
            </w:r>
            <w:r w:rsidR="00DE0CF1" w:rsidRPr="009D43D7">
              <w:rPr>
                <w:i/>
              </w:rPr>
              <w:t>:</w:t>
            </w:r>
            <w:r w:rsidR="00DE0CF1" w:rsidRPr="009D43D7">
              <w:t xml:space="preserve"> I</w:t>
            </w:r>
          </w:p>
        </w:tc>
      </w:tr>
      <w:tr w:rsidR="00667C01" w:rsidRPr="009D43D7" w14:paraId="3F480065" w14:textId="77777777" w:rsidTr="00B23EFB">
        <w:tc>
          <w:tcPr>
            <w:tcW w:w="7370" w:type="dxa"/>
            <w:shd w:val="clear" w:color="auto" w:fill="auto"/>
          </w:tcPr>
          <w:p w14:paraId="114A547D" w14:textId="597319A7" w:rsidR="00DE0CF1" w:rsidRPr="009D43D7" w:rsidRDefault="00DE0CF1" w:rsidP="00DE0CF1">
            <w:pPr>
              <w:spacing w:before="40" w:after="120"/>
              <w:ind w:right="113"/>
            </w:pPr>
            <w:proofErr w:type="gramStart"/>
            <w:r w:rsidRPr="009D43D7">
              <w:t>ITC through its work in WP.6 gathers significant transport related statistics with particular reference to passenger and freight volumes for UNECE member States as set out in the online statistical database, and the number of statistics publications that we prepare including, but not limited to: “Bulletin of Transport Statistic</w:t>
            </w:r>
            <w:r w:rsidR="00C065B3" w:rsidRPr="009D43D7">
              <w:t xml:space="preserve">s for Europe and North America </w:t>
            </w:r>
            <w:r w:rsidR="00546F13">
              <w:t>-</w:t>
            </w:r>
            <w:r w:rsidRPr="009D43D7">
              <w:t xml:space="preserve"> 2015”, “Transport Statistics </w:t>
            </w:r>
            <w:proofErr w:type="spellStart"/>
            <w:r w:rsidRPr="009D43D7">
              <w:t>Infocards</w:t>
            </w:r>
            <w:proofErr w:type="spellEnd"/>
            <w:r w:rsidRPr="009D43D7">
              <w:t>” (ECE/TRANS/2017/2</w:t>
            </w:r>
            <w:r w:rsidR="00FD11B2" w:rsidRPr="009D43D7">
              <w:t>3</w:t>
            </w:r>
            <w:r w:rsidR="009D5878">
              <w:t xml:space="preserve"> and the corresponding informal document</w:t>
            </w:r>
            <w:r w:rsidRPr="009D43D7">
              <w:t>).</w:t>
            </w:r>
            <w:proofErr w:type="gramEnd"/>
            <w:r w:rsidRPr="009D43D7">
              <w:t xml:space="preserve"> Data specifically related to passenger and freight volumes as set out in this indicator have been measured and gathered by UNECE for decades. Furthermore, this data is already in the possession of ITC and does not need to be researched.</w:t>
            </w:r>
          </w:p>
          <w:p w14:paraId="6B97F2BC" w14:textId="79B9496E" w:rsidR="00667C01" w:rsidRPr="009D43D7" w:rsidRDefault="00DE0CF1" w:rsidP="00DA266A">
            <w:pPr>
              <w:spacing w:before="40" w:after="120"/>
              <w:ind w:right="113"/>
            </w:pPr>
            <w:proofErr w:type="gramStart"/>
            <w:r w:rsidRPr="009D43D7">
              <w:t xml:space="preserve">Furthermore, </w:t>
            </w:r>
            <w:r w:rsidR="00667C01" w:rsidRPr="009D43D7">
              <w:t>ITC through the work of the Working Party on Transport Trends and Economics (WP.5) on climate change adaptation, prepared policy-oriented recommendations that aim to improve the long-term sustainability of international transport systems and set best examples of national policies, addressing the issues of transport networks vulnerability among member Governments, including developing and landlocked countries, as well as small island States.</w:t>
            </w:r>
            <w:proofErr w:type="gramEnd"/>
          </w:p>
        </w:tc>
      </w:tr>
      <w:tr w:rsidR="00667C01" w:rsidRPr="009D43D7" w14:paraId="7466B1A0" w14:textId="77777777" w:rsidTr="00B23EFB">
        <w:tc>
          <w:tcPr>
            <w:tcW w:w="7370" w:type="dxa"/>
            <w:tcBorders>
              <w:bottom w:val="single" w:sz="12" w:space="0" w:color="auto"/>
            </w:tcBorders>
            <w:shd w:val="clear" w:color="auto" w:fill="auto"/>
          </w:tcPr>
          <w:p w14:paraId="48440453" w14:textId="77777777" w:rsidR="00667C01" w:rsidRPr="009D43D7" w:rsidRDefault="00667C01" w:rsidP="00B23EFB">
            <w:pPr>
              <w:spacing w:before="40" w:after="120"/>
              <w:ind w:right="113"/>
            </w:pPr>
          </w:p>
        </w:tc>
      </w:tr>
      <w:tr w:rsidR="00667C01" w:rsidRPr="009D43D7" w14:paraId="37E3FF6B" w14:textId="77777777" w:rsidTr="00B23EFB">
        <w:tc>
          <w:tcPr>
            <w:tcW w:w="7370" w:type="dxa"/>
            <w:tcBorders>
              <w:top w:val="single" w:sz="12" w:space="0" w:color="auto"/>
              <w:bottom w:val="single" w:sz="4" w:space="0" w:color="auto"/>
            </w:tcBorders>
            <w:shd w:val="clear" w:color="auto" w:fill="auto"/>
          </w:tcPr>
          <w:p w14:paraId="22B94049" w14:textId="77777777" w:rsidR="00667C01" w:rsidRPr="009D43D7" w:rsidRDefault="00667C01" w:rsidP="00B23EFB">
            <w:pPr>
              <w:keepNext/>
              <w:keepLines/>
              <w:spacing w:before="40" w:after="120"/>
              <w:ind w:right="113"/>
            </w:pPr>
            <w:r w:rsidRPr="009D43D7">
              <w:rPr>
                <w:b/>
              </w:rPr>
              <w:t>Goal 11.</w:t>
            </w:r>
            <w:r w:rsidRPr="009D43D7">
              <w:rPr>
                <w:b/>
              </w:rPr>
              <w:tab/>
              <w:t>Make cities and human settlements inclusive, safe, resilient and sustainable</w:t>
            </w:r>
          </w:p>
        </w:tc>
      </w:tr>
      <w:tr w:rsidR="00667C01" w:rsidRPr="009D43D7" w14:paraId="36023713" w14:textId="77777777" w:rsidTr="00B23EFB">
        <w:tc>
          <w:tcPr>
            <w:tcW w:w="7370" w:type="dxa"/>
            <w:tcBorders>
              <w:top w:val="single" w:sz="4" w:space="0" w:color="auto"/>
            </w:tcBorders>
            <w:shd w:val="clear" w:color="auto" w:fill="auto"/>
          </w:tcPr>
          <w:p w14:paraId="40CA8FFA" w14:textId="77777777" w:rsidR="00667C01" w:rsidRPr="009D43D7" w:rsidRDefault="00667C01" w:rsidP="00B23EFB">
            <w:pPr>
              <w:keepNext/>
              <w:keepLines/>
              <w:spacing w:before="40" w:after="120"/>
              <w:ind w:right="113"/>
            </w:pPr>
            <w:r w:rsidRPr="009D43D7">
              <w:rPr>
                <w:b/>
                <w:i/>
              </w:rPr>
              <w:t>11.2</w:t>
            </w:r>
            <w:r w:rsidRPr="009D43D7">
              <w:rPr>
                <w:b/>
                <w:i/>
              </w:rPr>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667C01" w:rsidRPr="009D43D7" w14:paraId="697934AD" w14:textId="77777777" w:rsidTr="00B23EFB">
        <w:tc>
          <w:tcPr>
            <w:tcW w:w="7370" w:type="dxa"/>
            <w:shd w:val="clear" w:color="auto" w:fill="auto"/>
          </w:tcPr>
          <w:p w14:paraId="0E0791CC" w14:textId="77777777" w:rsidR="00667C01" w:rsidRPr="009D43D7" w:rsidRDefault="00DE0CF1" w:rsidP="00B23EFB">
            <w:pPr>
              <w:spacing w:before="40" w:after="120"/>
              <w:ind w:right="113"/>
            </w:pPr>
            <w:r w:rsidRPr="009D43D7">
              <w:rPr>
                <w:i/>
              </w:rPr>
              <w:t>I</w:t>
            </w:r>
            <w:r w:rsidR="00667C01" w:rsidRPr="009D43D7">
              <w:rPr>
                <w:i/>
              </w:rPr>
              <w:t>ndicator</w:t>
            </w:r>
            <w:r w:rsidRPr="009D43D7">
              <w:rPr>
                <w:i/>
              </w:rPr>
              <w:t xml:space="preserve"> 11.2.1</w:t>
            </w:r>
            <w:r w:rsidR="00667C01" w:rsidRPr="009D43D7">
              <w:t xml:space="preserve">: Proportion of population that has </w:t>
            </w:r>
            <w:r w:rsidRPr="009D43D7">
              <w:t>convenient access to public transport, by sex, age and persons with disabilities</w:t>
            </w:r>
          </w:p>
          <w:p w14:paraId="5370F3EF" w14:textId="77777777" w:rsidR="006405E0" w:rsidRPr="009D43D7" w:rsidRDefault="006405E0" w:rsidP="006405E0">
            <w:pPr>
              <w:spacing w:before="40" w:after="120"/>
              <w:ind w:right="113"/>
              <w:rPr>
                <w:u w:val="single"/>
              </w:rPr>
            </w:pPr>
            <w:r w:rsidRPr="009D43D7">
              <w:rPr>
                <w:i/>
              </w:rPr>
              <w:t>Possible Custodian Agency:</w:t>
            </w:r>
            <w:r w:rsidR="00DE0CF1" w:rsidRPr="009D43D7">
              <w:rPr>
                <w:i/>
              </w:rPr>
              <w:t xml:space="preserve"> </w:t>
            </w:r>
            <w:r w:rsidR="00C065B3" w:rsidRPr="009D43D7">
              <w:t>United Nations Human Settlements Programme (UN-</w:t>
            </w:r>
            <w:bookmarkStart w:id="4" w:name="hit_last"/>
            <w:bookmarkEnd w:id="4"/>
            <w:r w:rsidR="00C065B3" w:rsidRPr="009D43D7">
              <w:t>HABITAT)</w:t>
            </w:r>
          </w:p>
          <w:p w14:paraId="2F4AF3D6" w14:textId="77777777" w:rsidR="006405E0" w:rsidRPr="009D43D7" w:rsidRDefault="006405E0" w:rsidP="006405E0">
            <w:pPr>
              <w:spacing w:before="40" w:after="120"/>
              <w:ind w:right="113"/>
            </w:pPr>
            <w:r w:rsidRPr="009D43D7">
              <w:rPr>
                <w:i/>
              </w:rPr>
              <w:t>Other Involved Agencies:</w:t>
            </w:r>
            <w:r w:rsidR="00DE0CF1" w:rsidRPr="009D43D7">
              <w:t xml:space="preserve"> UNEP</w:t>
            </w:r>
          </w:p>
        </w:tc>
      </w:tr>
      <w:tr w:rsidR="00667C01" w:rsidRPr="009D43D7" w14:paraId="5633D9CD" w14:textId="77777777" w:rsidTr="00B23EFB">
        <w:tc>
          <w:tcPr>
            <w:tcW w:w="7370" w:type="dxa"/>
            <w:shd w:val="clear" w:color="auto" w:fill="auto"/>
          </w:tcPr>
          <w:p w14:paraId="69E6CC2D" w14:textId="77777777" w:rsidR="00667C01" w:rsidRPr="009D43D7" w:rsidRDefault="009F6E74" w:rsidP="00DE0CF1">
            <w:pPr>
              <w:spacing w:before="40" w:after="120"/>
              <w:ind w:right="113"/>
            </w:pPr>
            <w:r w:rsidRPr="009D43D7">
              <w:rPr>
                <w:i/>
              </w:rPr>
              <w:t>Tier</w:t>
            </w:r>
            <w:r w:rsidR="00DE0CF1" w:rsidRPr="009D43D7">
              <w:rPr>
                <w:i/>
              </w:rPr>
              <w:t>:</w:t>
            </w:r>
            <w:r w:rsidR="00DE0CF1" w:rsidRPr="009D43D7">
              <w:t xml:space="preserve"> II</w:t>
            </w:r>
          </w:p>
        </w:tc>
      </w:tr>
      <w:tr w:rsidR="00667C01" w:rsidRPr="009D43D7" w14:paraId="252A8654" w14:textId="77777777" w:rsidTr="00B23EFB">
        <w:tc>
          <w:tcPr>
            <w:tcW w:w="7370" w:type="dxa"/>
            <w:shd w:val="clear" w:color="auto" w:fill="auto"/>
          </w:tcPr>
          <w:p w14:paraId="1E376631" w14:textId="77777777" w:rsidR="00667C01" w:rsidRPr="009D43D7" w:rsidRDefault="00667C01" w:rsidP="00B23EFB">
            <w:pPr>
              <w:spacing w:before="40" w:after="120"/>
              <w:ind w:right="113"/>
            </w:pPr>
            <w:r w:rsidRPr="009D43D7">
              <w:t>The ITC provides best practices and policies for the development of sustainable urban transport systems, i.e. systems that are efficient, interconnected, affordable, safe and environmentally friendly allowing greater wider mobility and access for all within dense urban environments.</w:t>
            </w:r>
          </w:p>
          <w:p w14:paraId="4E581BAC" w14:textId="2CC6E4D1" w:rsidR="00287238" w:rsidRPr="009D43D7" w:rsidRDefault="00287238">
            <w:pPr>
              <w:spacing w:before="40" w:after="120"/>
              <w:ind w:right="113"/>
            </w:pPr>
            <w:r w:rsidRPr="009D43D7">
              <w:t>The statistic</w:t>
            </w:r>
            <w:r w:rsidR="00A260BD" w:rsidRPr="009D43D7">
              <w:t>al</w:t>
            </w:r>
            <w:r w:rsidRPr="009D43D7">
              <w:t xml:space="preserve"> information that is available </w:t>
            </w:r>
            <w:r w:rsidR="00A260BD" w:rsidRPr="009D43D7">
              <w:t xml:space="preserve">from </w:t>
            </w:r>
            <w:r w:rsidRPr="009D43D7">
              <w:t>ITC WP.6</w:t>
            </w:r>
            <w:r w:rsidR="00D34C52" w:rsidRPr="009D43D7">
              <w:t>,</w:t>
            </w:r>
            <w:r w:rsidRPr="009D43D7">
              <w:t xml:space="preserve"> as mentioned in relation to previous goals</w:t>
            </w:r>
            <w:r w:rsidR="00D34C52" w:rsidRPr="009D43D7">
              <w:t>,</w:t>
            </w:r>
            <w:r w:rsidRPr="009D43D7">
              <w:t xml:space="preserve"> could be an input </w:t>
            </w:r>
            <w:r w:rsidR="00A260BD" w:rsidRPr="009D43D7">
              <w:t xml:space="preserve">for </w:t>
            </w:r>
            <w:r w:rsidRPr="009D43D7">
              <w:t>monitoring this indicator.</w:t>
            </w:r>
          </w:p>
        </w:tc>
      </w:tr>
      <w:tr w:rsidR="00667C01" w:rsidRPr="009D43D7" w14:paraId="44B4387A" w14:textId="77777777" w:rsidTr="00B23EFB">
        <w:tc>
          <w:tcPr>
            <w:tcW w:w="7370" w:type="dxa"/>
            <w:tcBorders>
              <w:bottom w:val="single" w:sz="12" w:space="0" w:color="auto"/>
            </w:tcBorders>
            <w:shd w:val="clear" w:color="auto" w:fill="auto"/>
          </w:tcPr>
          <w:p w14:paraId="6B700D1E" w14:textId="77777777" w:rsidR="00667C01" w:rsidRPr="009D43D7" w:rsidRDefault="00667C01" w:rsidP="00B23EFB">
            <w:pPr>
              <w:spacing w:before="40" w:after="120"/>
              <w:ind w:right="113"/>
            </w:pPr>
          </w:p>
        </w:tc>
      </w:tr>
    </w:tbl>
    <w:p w14:paraId="72942A13" w14:textId="2A3172C4" w:rsidR="007B13C2" w:rsidRDefault="00DA266A" w:rsidP="005C0C06">
      <w:pPr>
        <w:pStyle w:val="SingleTxtG"/>
        <w:spacing w:before="240"/>
        <w:rPr>
          <w:szCs w:val="24"/>
        </w:rPr>
      </w:pPr>
      <w:proofErr w:type="gramStart"/>
      <w:r>
        <w:rPr>
          <w:szCs w:val="24"/>
        </w:rPr>
        <w:t>6</w:t>
      </w:r>
      <w:r w:rsidR="00CD49C5" w:rsidRPr="009D43D7">
        <w:rPr>
          <w:szCs w:val="24"/>
        </w:rPr>
        <w:t>.</w:t>
      </w:r>
      <w:r w:rsidR="00CD49C5" w:rsidRPr="009D43D7">
        <w:rPr>
          <w:szCs w:val="24"/>
        </w:rPr>
        <w:tab/>
      </w:r>
      <w:r w:rsidR="007B13C2">
        <w:rPr>
          <w:szCs w:val="24"/>
        </w:rPr>
        <w:t>The tracking and monitoring of the progress towards achieving the SDGs is coordinated by UN DESA acting as secretariat to the Inter-Agency Expert Group on the Sustainable Development Goals (</w:t>
      </w:r>
      <w:r w:rsidR="007B13C2" w:rsidRPr="009D43D7">
        <w:rPr>
          <w:szCs w:val="24"/>
        </w:rPr>
        <w:t>IAEG-SDG</w:t>
      </w:r>
      <w:r w:rsidR="007B13C2">
        <w:rPr>
          <w:szCs w:val="24"/>
        </w:rPr>
        <w:t>)</w:t>
      </w:r>
      <w:proofErr w:type="gramEnd"/>
      <w:r w:rsidR="007B13C2">
        <w:rPr>
          <w:szCs w:val="24"/>
        </w:rPr>
        <w:t>. In addition to this there are also a number of other initiatives that are being carried out in parallel to this Expert Group, including a project initiated by the World Health Organisation on the monitoring of road safety related indicators and one being pursued by the World Bank through their Global Tracking Framework.</w:t>
      </w:r>
    </w:p>
    <w:p w14:paraId="50E76E78" w14:textId="481A8A05" w:rsidR="00CD49C5" w:rsidRPr="009D43D7" w:rsidRDefault="00DA266A" w:rsidP="005C0C06">
      <w:pPr>
        <w:pStyle w:val="SingleTxtG"/>
        <w:spacing w:before="240"/>
        <w:rPr>
          <w:szCs w:val="24"/>
        </w:rPr>
      </w:pPr>
      <w:r>
        <w:rPr>
          <w:szCs w:val="24"/>
        </w:rPr>
        <w:t>7</w:t>
      </w:r>
      <w:r w:rsidR="00117CDC">
        <w:rPr>
          <w:szCs w:val="24"/>
        </w:rPr>
        <w:t>.</w:t>
      </w:r>
      <w:r w:rsidR="007B13C2">
        <w:rPr>
          <w:szCs w:val="24"/>
        </w:rPr>
        <w:tab/>
      </w:r>
      <w:r w:rsidR="00CD49C5" w:rsidRPr="009D43D7">
        <w:rPr>
          <w:szCs w:val="24"/>
        </w:rPr>
        <w:t xml:space="preserve">From a statistics angle, UNECE </w:t>
      </w:r>
      <w:r w:rsidR="007C7B94" w:rsidRPr="009D43D7">
        <w:rPr>
          <w:szCs w:val="24"/>
        </w:rPr>
        <w:t xml:space="preserve">through its statistics </w:t>
      </w:r>
      <w:proofErr w:type="spellStart"/>
      <w:r w:rsidR="007C7B94" w:rsidRPr="009D43D7">
        <w:rPr>
          <w:szCs w:val="24"/>
        </w:rPr>
        <w:t>subprogramme</w:t>
      </w:r>
      <w:proofErr w:type="spellEnd"/>
      <w:r w:rsidR="007C7B94" w:rsidRPr="009D43D7">
        <w:rPr>
          <w:szCs w:val="24"/>
        </w:rPr>
        <w:t xml:space="preserve"> </w:t>
      </w:r>
      <w:r w:rsidR="00CD49C5" w:rsidRPr="009D43D7">
        <w:rPr>
          <w:szCs w:val="24"/>
        </w:rPr>
        <w:t xml:space="preserve">continues to be actively involved in the process of developing the statistical monitoring framework for </w:t>
      </w:r>
      <w:r w:rsidR="00FD11B2" w:rsidRPr="009D43D7">
        <w:t xml:space="preserve">Sustainable Development Goals </w:t>
      </w:r>
      <w:r w:rsidR="00CD49C5" w:rsidRPr="009D43D7">
        <w:rPr>
          <w:szCs w:val="24"/>
        </w:rPr>
        <w:t xml:space="preserve">as a member of </w:t>
      </w:r>
      <w:r w:rsidR="004E143A">
        <w:rPr>
          <w:szCs w:val="24"/>
        </w:rPr>
        <w:t>the</w:t>
      </w:r>
      <w:r w:rsidR="004E143A" w:rsidRPr="009D43D7">
        <w:rPr>
          <w:szCs w:val="24"/>
        </w:rPr>
        <w:t xml:space="preserve"> IAEG-SDG </w:t>
      </w:r>
      <w:r w:rsidR="00CD49C5" w:rsidRPr="009D43D7">
        <w:rPr>
          <w:szCs w:val="24"/>
        </w:rPr>
        <w:t xml:space="preserve">and the </w:t>
      </w:r>
      <w:r w:rsidR="00BF718D" w:rsidRPr="009D43D7">
        <w:t xml:space="preserve">United Nations Statistical Commission (UNSC) </w:t>
      </w:r>
      <w:r w:rsidR="00CD49C5" w:rsidRPr="009D43D7">
        <w:t>Friends of</w:t>
      </w:r>
      <w:r w:rsidR="00CD49C5" w:rsidRPr="009D43D7">
        <w:rPr>
          <w:szCs w:val="24"/>
        </w:rPr>
        <w:t xml:space="preserve"> the Chair group on broader measures of progress.</w:t>
      </w:r>
      <w:r w:rsidR="0053503F" w:rsidRPr="009D43D7">
        <w:rPr>
          <w:szCs w:val="24"/>
        </w:rPr>
        <w:t xml:space="preserve"> </w:t>
      </w:r>
    </w:p>
    <w:p w14:paraId="7F72351E" w14:textId="6F2D56A6" w:rsidR="00A36DD4" w:rsidRPr="009D43D7" w:rsidRDefault="00CD49C5" w:rsidP="00DB1CFB">
      <w:pPr>
        <w:pStyle w:val="SingleTxtG"/>
        <w:rPr>
          <w:szCs w:val="24"/>
        </w:rPr>
      </w:pPr>
      <w:r w:rsidRPr="009D43D7">
        <w:rPr>
          <w:spacing w:val="-2"/>
          <w:szCs w:val="24"/>
        </w:rPr>
        <w:t>8.</w:t>
      </w:r>
      <w:r w:rsidRPr="009D43D7">
        <w:rPr>
          <w:spacing w:val="-2"/>
          <w:szCs w:val="24"/>
        </w:rPr>
        <w:tab/>
        <w:t xml:space="preserve">Additionally, the ITC </w:t>
      </w:r>
      <w:r w:rsidR="00740D30" w:rsidRPr="009D43D7">
        <w:rPr>
          <w:spacing w:val="-2"/>
          <w:szCs w:val="24"/>
        </w:rPr>
        <w:t>WP.6</w:t>
      </w:r>
      <w:r w:rsidRPr="009D43D7">
        <w:rPr>
          <w:spacing w:val="-2"/>
          <w:szCs w:val="24"/>
        </w:rPr>
        <w:t xml:space="preserve"> is an intergovernmental body dealing with the development of appropriate methodologies and terminology for the harmonization of </w:t>
      </w:r>
      <w:r w:rsidR="007C7B94" w:rsidRPr="009D43D7">
        <w:rPr>
          <w:spacing w:val="-2"/>
          <w:szCs w:val="24"/>
        </w:rPr>
        <w:t xml:space="preserve">transport </w:t>
      </w:r>
      <w:r w:rsidRPr="009D43D7">
        <w:rPr>
          <w:spacing w:val="-2"/>
          <w:szCs w:val="24"/>
        </w:rPr>
        <w:t xml:space="preserve">statistics as well as the collection of </w:t>
      </w:r>
      <w:r w:rsidR="007C7B94" w:rsidRPr="009D43D7">
        <w:rPr>
          <w:spacing w:val="-2"/>
          <w:szCs w:val="24"/>
        </w:rPr>
        <w:t xml:space="preserve">transport, including road safety, </w:t>
      </w:r>
      <w:r w:rsidRPr="009D43D7">
        <w:rPr>
          <w:spacing w:val="-2"/>
          <w:szCs w:val="24"/>
        </w:rPr>
        <w:t xml:space="preserve">data from member States and the dissemination of these data. </w:t>
      </w:r>
      <w:r w:rsidR="007C7B94" w:rsidRPr="009D43D7">
        <w:rPr>
          <w:spacing w:val="-2"/>
          <w:szCs w:val="24"/>
        </w:rPr>
        <w:t>For example, in 2015 the UNECE Transport Statistics and the UNECE Road Safety Statistics papers were published electronically in the three UNECE languages</w:t>
      </w:r>
      <w:r w:rsidR="00667C01" w:rsidRPr="009D43D7">
        <w:rPr>
          <w:spacing w:val="-2"/>
          <w:szCs w:val="24"/>
        </w:rPr>
        <w:t xml:space="preserve"> and the Country </w:t>
      </w:r>
      <w:proofErr w:type="spellStart"/>
      <w:r w:rsidR="00667C01" w:rsidRPr="009D43D7">
        <w:rPr>
          <w:spacing w:val="-2"/>
          <w:szCs w:val="24"/>
        </w:rPr>
        <w:t>Infocards</w:t>
      </w:r>
      <w:proofErr w:type="spellEnd"/>
      <w:r w:rsidR="00667C01" w:rsidRPr="009D43D7">
        <w:rPr>
          <w:spacing w:val="-2"/>
          <w:szCs w:val="24"/>
        </w:rPr>
        <w:t xml:space="preserve"> are </w:t>
      </w:r>
      <w:r w:rsidR="00D34C52" w:rsidRPr="009D43D7">
        <w:rPr>
          <w:spacing w:val="-2"/>
          <w:szCs w:val="24"/>
        </w:rPr>
        <w:t xml:space="preserve">presented </w:t>
      </w:r>
      <w:r w:rsidR="00667C01" w:rsidRPr="009D43D7">
        <w:rPr>
          <w:spacing w:val="-2"/>
          <w:szCs w:val="24"/>
        </w:rPr>
        <w:t>in document ECE/TRANS/2017/2</w:t>
      </w:r>
      <w:r w:rsidR="00FD11B2" w:rsidRPr="009D43D7">
        <w:rPr>
          <w:spacing w:val="-2"/>
          <w:szCs w:val="24"/>
        </w:rPr>
        <w:t>3</w:t>
      </w:r>
      <w:r w:rsidR="007C7B94" w:rsidRPr="009D43D7">
        <w:rPr>
          <w:spacing w:val="-2"/>
          <w:szCs w:val="24"/>
        </w:rPr>
        <w:t xml:space="preserve">. </w:t>
      </w:r>
      <w:r w:rsidR="00DB1CFB" w:rsidRPr="009D43D7">
        <w:rPr>
          <w:spacing w:val="-2"/>
          <w:szCs w:val="24"/>
        </w:rPr>
        <w:t xml:space="preserve">In addition, the secretariat has mapped the activities of ITC to the </w:t>
      </w:r>
      <w:r w:rsidR="00FD11B2" w:rsidRPr="009D43D7">
        <w:t>Sustainable Development Goals</w:t>
      </w:r>
      <w:r w:rsidR="00DB1CFB" w:rsidRPr="009D43D7">
        <w:rPr>
          <w:spacing w:val="-2"/>
          <w:szCs w:val="24"/>
        </w:rPr>
        <w:t xml:space="preserve"> as well as prepared a document on the interaction between the U</w:t>
      </w:r>
      <w:r w:rsidR="00D34C52" w:rsidRPr="009D43D7">
        <w:rPr>
          <w:spacing w:val="-2"/>
          <w:szCs w:val="24"/>
        </w:rPr>
        <w:t xml:space="preserve">nited </w:t>
      </w:r>
      <w:r w:rsidR="00DB1CFB" w:rsidRPr="009D43D7">
        <w:rPr>
          <w:spacing w:val="-2"/>
          <w:szCs w:val="24"/>
        </w:rPr>
        <w:t>N</w:t>
      </w:r>
      <w:r w:rsidR="00D34C52" w:rsidRPr="009D43D7">
        <w:rPr>
          <w:spacing w:val="-2"/>
          <w:szCs w:val="24"/>
        </w:rPr>
        <w:t>ations</w:t>
      </w:r>
      <w:r w:rsidR="00DB1CFB" w:rsidRPr="009D43D7">
        <w:rPr>
          <w:spacing w:val="-2"/>
          <w:szCs w:val="24"/>
        </w:rPr>
        <w:t xml:space="preserve"> Transport Conventions and the S</w:t>
      </w:r>
      <w:r w:rsidR="00D34C52" w:rsidRPr="009D43D7">
        <w:rPr>
          <w:spacing w:val="-2"/>
          <w:szCs w:val="24"/>
        </w:rPr>
        <w:t xml:space="preserve">ustainable </w:t>
      </w:r>
      <w:r w:rsidR="00DB1CFB" w:rsidRPr="009D43D7">
        <w:rPr>
          <w:spacing w:val="-2"/>
          <w:szCs w:val="24"/>
        </w:rPr>
        <w:t>D</w:t>
      </w:r>
      <w:r w:rsidR="00D34C52" w:rsidRPr="009D43D7">
        <w:rPr>
          <w:spacing w:val="-2"/>
          <w:szCs w:val="24"/>
        </w:rPr>
        <w:t xml:space="preserve">evelopment </w:t>
      </w:r>
      <w:r w:rsidR="00DB1CFB" w:rsidRPr="009D43D7">
        <w:rPr>
          <w:spacing w:val="-2"/>
          <w:szCs w:val="24"/>
        </w:rPr>
        <w:t>G</w:t>
      </w:r>
      <w:r w:rsidR="00D34C52" w:rsidRPr="009D43D7">
        <w:rPr>
          <w:spacing w:val="-2"/>
          <w:szCs w:val="24"/>
        </w:rPr>
        <w:t>oals (</w:t>
      </w:r>
      <w:hyperlink r:id="rId10" w:history="1">
        <w:r w:rsidR="00D34C52" w:rsidRPr="009D43D7">
          <w:rPr>
            <w:rStyle w:val="Hyperlink"/>
            <w:spacing w:val="-2"/>
            <w:szCs w:val="24"/>
          </w:rPr>
          <w:t>www.unece.org/fileadmin/DAM/trans/conventn/UN_Transport_Agreements_and_Conventions.pdf</w:t>
        </w:r>
      </w:hyperlink>
      <w:r w:rsidR="00DB1CFB" w:rsidRPr="009D43D7">
        <w:rPr>
          <w:spacing w:val="-2"/>
          <w:szCs w:val="24"/>
        </w:rPr>
        <w:t>)</w:t>
      </w:r>
      <w:r w:rsidR="006241B3" w:rsidRPr="009D43D7">
        <w:rPr>
          <w:spacing w:val="-2"/>
          <w:szCs w:val="24"/>
        </w:rPr>
        <w:t>.</w:t>
      </w:r>
    </w:p>
    <w:p w14:paraId="5B6CC6C5" w14:textId="3F62150E" w:rsidR="00CD49C5" w:rsidRPr="009D43D7" w:rsidRDefault="00DB1CFB" w:rsidP="00CD49C5">
      <w:pPr>
        <w:pStyle w:val="HChG"/>
      </w:pPr>
      <w:r w:rsidRPr="009D43D7">
        <w:lastRenderedPageBreak/>
        <w:tab/>
        <w:t>II</w:t>
      </w:r>
      <w:r w:rsidR="00CD49C5" w:rsidRPr="009D43D7">
        <w:t>.</w:t>
      </w:r>
      <w:r w:rsidR="00CD49C5" w:rsidRPr="009D43D7">
        <w:tab/>
      </w:r>
      <w:r w:rsidR="007B13C2">
        <w:t>Monitoring the</w:t>
      </w:r>
      <w:r w:rsidR="00CD49C5" w:rsidRPr="009D43D7">
        <w:t xml:space="preserve"> S</w:t>
      </w:r>
      <w:r w:rsidR="00D34C52" w:rsidRPr="009D43D7">
        <w:t xml:space="preserve">ustainable </w:t>
      </w:r>
      <w:r w:rsidR="00CD49C5" w:rsidRPr="009D43D7">
        <w:t>D</w:t>
      </w:r>
      <w:r w:rsidR="00D34C52" w:rsidRPr="009D43D7">
        <w:t xml:space="preserve">evelopment </w:t>
      </w:r>
      <w:r w:rsidR="00CD49C5" w:rsidRPr="009D43D7">
        <w:t>G</w:t>
      </w:r>
      <w:r w:rsidR="00D34C52" w:rsidRPr="009D43D7">
        <w:t>oals</w:t>
      </w:r>
      <w:r w:rsidR="00CD49C5" w:rsidRPr="009D43D7">
        <w:t xml:space="preserve"> and the role of ITC and its subsidiary bodies </w:t>
      </w:r>
    </w:p>
    <w:p w14:paraId="3E7A407F" w14:textId="3DC30A0D" w:rsidR="007B13C2" w:rsidRDefault="007B13C2" w:rsidP="00CD49C5">
      <w:pPr>
        <w:pStyle w:val="SingleTxtG"/>
        <w:rPr>
          <w:szCs w:val="24"/>
        </w:rPr>
      </w:pPr>
      <w:r w:rsidRPr="009D43D7">
        <w:rPr>
          <w:szCs w:val="24"/>
        </w:rPr>
        <w:t>9.</w:t>
      </w:r>
      <w:r w:rsidRPr="009D43D7">
        <w:rPr>
          <w:szCs w:val="24"/>
        </w:rPr>
        <w:tab/>
        <w:t xml:space="preserve">The tables above show </w:t>
      </w:r>
      <w:proofErr w:type="gramStart"/>
      <w:r w:rsidRPr="009D43D7">
        <w:rPr>
          <w:szCs w:val="24"/>
        </w:rPr>
        <w:t xml:space="preserve">that there is a </w:t>
      </w:r>
      <w:r w:rsidR="00117CDC">
        <w:rPr>
          <w:szCs w:val="24"/>
        </w:rPr>
        <w:t xml:space="preserve">potential </w:t>
      </w:r>
      <w:r w:rsidRPr="009D43D7">
        <w:rPr>
          <w:szCs w:val="24"/>
        </w:rPr>
        <w:t xml:space="preserve">role that ITC can play in the monitoring of the </w:t>
      </w:r>
      <w:r w:rsidRPr="009D43D7">
        <w:t>Sustainable Development Goals</w:t>
      </w:r>
      <w:proofErr w:type="gramEnd"/>
      <w:r w:rsidRPr="009D43D7">
        <w:rPr>
          <w:szCs w:val="24"/>
        </w:rPr>
        <w:t xml:space="preserve">. At the fourth meeting of the IAEG-SDG (17-18 November 2016, Geneva) the secretariat </w:t>
      </w:r>
      <w:r>
        <w:rPr>
          <w:szCs w:val="24"/>
        </w:rPr>
        <w:t xml:space="preserve">of ITC WP.6 </w:t>
      </w:r>
      <w:r w:rsidRPr="009D43D7">
        <w:rPr>
          <w:szCs w:val="24"/>
        </w:rPr>
        <w:t xml:space="preserve">was able to secure a role for UNECE in Goal 9 in relation to Indicator 9.1.2 because of the extensive data and methodological background that we have in this area. </w:t>
      </w:r>
    </w:p>
    <w:p w14:paraId="3E654FEF" w14:textId="065AF639" w:rsidR="007B13C2" w:rsidRDefault="007B13C2" w:rsidP="00CD49C5">
      <w:pPr>
        <w:pStyle w:val="SingleTxtG"/>
        <w:rPr>
          <w:szCs w:val="24"/>
        </w:rPr>
      </w:pPr>
      <w:r>
        <w:rPr>
          <w:szCs w:val="24"/>
        </w:rPr>
        <w:t>10.</w:t>
      </w:r>
      <w:r>
        <w:rPr>
          <w:szCs w:val="24"/>
        </w:rPr>
        <w:tab/>
        <w:t xml:space="preserve">The secretariat is also contributing to the development of the WHO and World Bank initiatives. </w:t>
      </w:r>
      <w:r w:rsidR="002E294C">
        <w:rPr>
          <w:szCs w:val="24"/>
        </w:rPr>
        <w:t xml:space="preserve">This </w:t>
      </w:r>
      <w:proofErr w:type="gramStart"/>
      <w:r w:rsidR="002E294C">
        <w:rPr>
          <w:szCs w:val="24"/>
        </w:rPr>
        <w:t>is being accompanied</w:t>
      </w:r>
      <w:proofErr w:type="gramEnd"/>
      <w:r w:rsidR="002E294C">
        <w:rPr>
          <w:szCs w:val="24"/>
        </w:rPr>
        <w:t xml:space="preserve"> by ongoing d</w:t>
      </w:r>
      <w:r w:rsidRPr="009D43D7">
        <w:rPr>
          <w:szCs w:val="24"/>
        </w:rPr>
        <w:t xml:space="preserve">iscussions </w:t>
      </w:r>
      <w:r w:rsidR="002E294C">
        <w:rPr>
          <w:szCs w:val="24"/>
        </w:rPr>
        <w:t xml:space="preserve">with other entities coordinating the development of the indicators for </w:t>
      </w:r>
      <w:r w:rsidRPr="009D43D7">
        <w:rPr>
          <w:szCs w:val="24"/>
        </w:rPr>
        <w:t>Goal 3 and Goal 11</w:t>
      </w:r>
      <w:r w:rsidR="002E294C">
        <w:rPr>
          <w:szCs w:val="24"/>
        </w:rPr>
        <w:t xml:space="preserve"> with the aim of becoming close partners.</w:t>
      </w:r>
    </w:p>
    <w:p w14:paraId="15ECC20E" w14:textId="5692625C" w:rsidR="002E294C" w:rsidRDefault="002E294C" w:rsidP="00CD49C5">
      <w:pPr>
        <w:pStyle w:val="SingleTxtG"/>
        <w:rPr>
          <w:szCs w:val="24"/>
        </w:rPr>
      </w:pPr>
      <w:r>
        <w:rPr>
          <w:szCs w:val="24"/>
        </w:rPr>
        <w:t>11.</w:t>
      </w:r>
      <w:r>
        <w:rPr>
          <w:szCs w:val="24"/>
        </w:rPr>
        <w:tab/>
        <w:t xml:space="preserve">These activities are clearly best coordinated for ITC by the Working Party on Transport Statistics that has been following the monitoring of the SDGs to date and whose secretariat has been involved in the discussions mentioned above. WP.6 has already addressed an agenda item of its annual session to the SDGs. </w:t>
      </w:r>
      <w:r w:rsidR="0068442B">
        <w:rPr>
          <w:szCs w:val="24"/>
        </w:rPr>
        <w:t>Greater involvement of WP.6 in all relevant activities relating to SDGs may have implications on its resource</w:t>
      </w:r>
      <w:r w:rsidR="00117CDC">
        <w:rPr>
          <w:szCs w:val="24"/>
        </w:rPr>
        <w:t>s</w:t>
      </w:r>
      <w:r w:rsidR="0068442B">
        <w:rPr>
          <w:szCs w:val="24"/>
        </w:rPr>
        <w:t xml:space="preserve">, either through the need of additional resources or through the adaptation of some of its current activities. </w:t>
      </w:r>
      <w:r w:rsidR="001D0177">
        <w:rPr>
          <w:szCs w:val="24"/>
        </w:rPr>
        <w:t>Given the importance of the Sustainable Development Agenda, the Committee</w:t>
      </w:r>
      <w:r>
        <w:rPr>
          <w:szCs w:val="24"/>
        </w:rPr>
        <w:t xml:space="preserve"> may wish to </w:t>
      </w:r>
      <w:r w:rsidRPr="00117D0F">
        <w:rPr>
          <w:b/>
          <w:szCs w:val="24"/>
        </w:rPr>
        <w:t>ask</w:t>
      </w:r>
      <w:r>
        <w:rPr>
          <w:szCs w:val="24"/>
        </w:rPr>
        <w:t xml:space="preserve"> WP.6 to strengthen its work and participation in activities relating to the SDGs.</w:t>
      </w:r>
    </w:p>
    <w:p w14:paraId="77124B9B" w14:textId="12A17502" w:rsidR="00CD49C5" w:rsidRPr="00793F96" w:rsidRDefault="00B57971" w:rsidP="00CD49C5">
      <w:pPr>
        <w:pStyle w:val="SingleTxtG"/>
        <w:rPr>
          <w:szCs w:val="24"/>
        </w:rPr>
      </w:pPr>
      <w:proofErr w:type="gramStart"/>
      <w:r w:rsidRPr="009D43D7">
        <w:rPr>
          <w:szCs w:val="24"/>
        </w:rPr>
        <w:t>1</w:t>
      </w:r>
      <w:r w:rsidR="0068442B">
        <w:rPr>
          <w:szCs w:val="24"/>
        </w:rPr>
        <w:t>2</w:t>
      </w:r>
      <w:r w:rsidR="00CD49C5" w:rsidRPr="009D43D7">
        <w:rPr>
          <w:szCs w:val="24"/>
        </w:rPr>
        <w:t>.</w:t>
      </w:r>
      <w:r w:rsidR="00CD49C5" w:rsidRPr="009D43D7">
        <w:rPr>
          <w:szCs w:val="24"/>
        </w:rPr>
        <w:tab/>
      </w:r>
      <w:r w:rsidR="00DB1CFB" w:rsidRPr="009D43D7">
        <w:rPr>
          <w:szCs w:val="24"/>
        </w:rPr>
        <w:t xml:space="preserve">Based on the information included in this document and the information provided by the secretariat for the sixty-eighth session of the ITC (ECE/TRANS/2016/6) the ITC may wish to </w:t>
      </w:r>
      <w:r w:rsidR="00DB1CFB" w:rsidRPr="00117D0F">
        <w:rPr>
          <w:b/>
          <w:szCs w:val="24"/>
        </w:rPr>
        <w:t>encourage</w:t>
      </w:r>
      <w:r w:rsidR="00DB1CFB" w:rsidRPr="009D43D7">
        <w:rPr>
          <w:szCs w:val="24"/>
        </w:rPr>
        <w:t xml:space="preserve"> member States to speak to their </w:t>
      </w:r>
      <w:r w:rsidR="00FD11B2" w:rsidRPr="009D43D7">
        <w:t xml:space="preserve">Sustainable Development Goals </w:t>
      </w:r>
      <w:r w:rsidR="00DB1CFB" w:rsidRPr="009D43D7">
        <w:rPr>
          <w:szCs w:val="24"/>
        </w:rPr>
        <w:t>coordinating bodies to ensure a strong role for the ITC, its subsidiary bodies, and the UNECE</w:t>
      </w:r>
      <w:r w:rsidR="0079792C" w:rsidRPr="009D43D7">
        <w:rPr>
          <w:szCs w:val="24"/>
        </w:rPr>
        <w:t>/</w:t>
      </w:r>
      <w:r w:rsidR="00DB1CFB" w:rsidRPr="009D43D7">
        <w:rPr>
          <w:szCs w:val="24"/>
        </w:rPr>
        <w:t xml:space="preserve">ITC secretariat, in the monitoring of the </w:t>
      </w:r>
      <w:r w:rsidR="00FD11B2" w:rsidRPr="009D43D7">
        <w:t xml:space="preserve">Sustainable Development Goals </w:t>
      </w:r>
      <w:r w:rsidR="00DB1CFB" w:rsidRPr="009D43D7">
        <w:rPr>
          <w:szCs w:val="24"/>
        </w:rPr>
        <w:t xml:space="preserve">through a role as </w:t>
      </w:r>
      <w:r w:rsidR="00C82AE8" w:rsidRPr="009D43D7">
        <w:rPr>
          <w:szCs w:val="24"/>
        </w:rPr>
        <w:t xml:space="preserve">possible custodian agency, or other involved agency, for one or more of the indicators </w:t>
      </w:r>
      <w:r w:rsidR="00DB1CFB" w:rsidRPr="009D43D7">
        <w:rPr>
          <w:szCs w:val="24"/>
        </w:rPr>
        <w:t>mentioned above.</w:t>
      </w:r>
      <w:proofErr w:type="gramEnd"/>
      <w:r w:rsidR="00CD49C5" w:rsidRPr="00793F96">
        <w:rPr>
          <w:szCs w:val="24"/>
        </w:rPr>
        <w:t xml:space="preserve"> </w:t>
      </w:r>
    </w:p>
    <w:p w14:paraId="13EB638F" w14:textId="77777777" w:rsidR="005C0C1C" w:rsidRPr="00793F96" w:rsidRDefault="000A5479" w:rsidP="000A5479">
      <w:pPr>
        <w:pStyle w:val="SingleTxtG"/>
        <w:spacing w:before="240" w:after="0"/>
        <w:jc w:val="center"/>
      </w:pPr>
      <w:r w:rsidRPr="00793F96">
        <w:rPr>
          <w:u w:val="single"/>
        </w:rPr>
        <w:tab/>
      </w:r>
      <w:r w:rsidRPr="00793F96">
        <w:rPr>
          <w:u w:val="single"/>
        </w:rPr>
        <w:tab/>
      </w:r>
      <w:r w:rsidRPr="00793F96">
        <w:rPr>
          <w:u w:val="single"/>
        </w:rPr>
        <w:tab/>
      </w:r>
    </w:p>
    <w:sectPr w:rsidR="005C0C1C" w:rsidRPr="00793F96" w:rsidSect="003A5F9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B4350" w14:textId="77777777" w:rsidR="00427267" w:rsidRDefault="00427267"/>
  </w:endnote>
  <w:endnote w:type="continuationSeparator" w:id="0">
    <w:p w14:paraId="3C772D01" w14:textId="77777777" w:rsidR="00427267" w:rsidRDefault="00427267"/>
  </w:endnote>
  <w:endnote w:type="continuationNotice" w:id="1">
    <w:p w14:paraId="6487DDD9" w14:textId="77777777" w:rsidR="00427267" w:rsidRDefault="00427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6FBF" w14:textId="472C281D"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E51C3">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5722" w14:textId="50758C7F"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E51C3">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A1F5" w14:textId="77777777" w:rsidR="003749E5" w:rsidRDefault="0037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AF76" w14:textId="77777777" w:rsidR="00427267" w:rsidRPr="000B175B" w:rsidRDefault="00427267" w:rsidP="000B175B">
      <w:pPr>
        <w:tabs>
          <w:tab w:val="right" w:pos="2155"/>
        </w:tabs>
        <w:spacing w:after="80"/>
        <w:ind w:left="680"/>
        <w:rPr>
          <w:u w:val="single"/>
        </w:rPr>
      </w:pPr>
      <w:r>
        <w:rPr>
          <w:u w:val="single"/>
        </w:rPr>
        <w:tab/>
      </w:r>
    </w:p>
  </w:footnote>
  <w:footnote w:type="continuationSeparator" w:id="0">
    <w:p w14:paraId="76895390" w14:textId="77777777" w:rsidR="00427267" w:rsidRPr="00FC68B7" w:rsidRDefault="00427267" w:rsidP="00FC68B7">
      <w:pPr>
        <w:tabs>
          <w:tab w:val="left" w:pos="2155"/>
        </w:tabs>
        <w:spacing w:after="80"/>
        <w:ind w:left="680"/>
        <w:rPr>
          <w:u w:val="single"/>
        </w:rPr>
      </w:pPr>
      <w:r>
        <w:rPr>
          <w:u w:val="single"/>
        </w:rPr>
        <w:tab/>
      </w:r>
    </w:p>
  </w:footnote>
  <w:footnote w:type="continuationNotice" w:id="1">
    <w:p w14:paraId="791AD033" w14:textId="77777777" w:rsidR="00427267" w:rsidRDefault="004272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FEFF" w14:textId="76D1A0C4" w:rsidR="003A5F98" w:rsidRPr="003A5F98" w:rsidRDefault="00AD0CC4">
    <w:pPr>
      <w:pStyle w:val="Header"/>
    </w:pPr>
    <w:r>
      <w:t>ECE/TRANS/2017</w:t>
    </w:r>
    <w:r w:rsidR="003A5F98">
      <w:t>/</w:t>
    </w:r>
    <w:r w:rsidR="003749E5">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889F" w14:textId="63116FD2" w:rsidR="003A5F98" w:rsidRPr="003A5F98" w:rsidRDefault="00AD0CC4" w:rsidP="003A5F98">
    <w:pPr>
      <w:pStyle w:val="Header"/>
      <w:jc w:val="right"/>
    </w:pPr>
    <w:r>
      <w:t>ECE/TRANS/2017</w:t>
    </w:r>
    <w:r w:rsidR="003A5F98">
      <w:t>/</w:t>
    </w:r>
    <w:r w:rsidR="003749E5">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F4D0" w14:textId="77777777" w:rsidR="003749E5" w:rsidRDefault="00374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EE4754"/>
    <w:multiLevelType w:val="hybridMultilevel"/>
    <w:tmpl w:val="6568A1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B3E1B79"/>
    <w:multiLevelType w:val="hybridMultilevel"/>
    <w:tmpl w:val="80328FE8"/>
    <w:lvl w:ilvl="0" w:tplc="BB16C6AE">
      <w:start w:val="1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7"/>
  </w:num>
  <w:num w:numId="20">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o Dionori">
    <w15:presenceInfo w15:providerId="None" w15:userId="Francesco Dionori"/>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06CAE"/>
    <w:rsid w:val="00027624"/>
    <w:rsid w:val="00036E15"/>
    <w:rsid w:val="000401B9"/>
    <w:rsid w:val="00045BA0"/>
    <w:rsid w:val="0004638C"/>
    <w:rsid w:val="00050F6B"/>
    <w:rsid w:val="000678CD"/>
    <w:rsid w:val="00072C8C"/>
    <w:rsid w:val="00081CE0"/>
    <w:rsid w:val="00084D30"/>
    <w:rsid w:val="00090320"/>
    <w:rsid w:val="000931C0"/>
    <w:rsid w:val="000A29D6"/>
    <w:rsid w:val="000A2E09"/>
    <w:rsid w:val="000A5479"/>
    <w:rsid w:val="000B175B"/>
    <w:rsid w:val="000B2602"/>
    <w:rsid w:val="000B3A0F"/>
    <w:rsid w:val="000C426F"/>
    <w:rsid w:val="000D620A"/>
    <w:rsid w:val="000E0415"/>
    <w:rsid w:val="000F7715"/>
    <w:rsid w:val="00117CDC"/>
    <w:rsid w:val="00117D0F"/>
    <w:rsid w:val="00156B99"/>
    <w:rsid w:val="00166124"/>
    <w:rsid w:val="00184DDA"/>
    <w:rsid w:val="001900CD"/>
    <w:rsid w:val="001A0452"/>
    <w:rsid w:val="001B4B04"/>
    <w:rsid w:val="001B5875"/>
    <w:rsid w:val="001C35E3"/>
    <w:rsid w:val="001C4B9C"/>
    <w:rsid w:val="001C6663"/>
    <w:rsid w:val="001C7895"/>
    <w:rsid w:val="001D0177"/>
    <w:rsid w:val="001D26DF"/>
    <w:rsid w:val="001E1546"/>
    <w:rsid w:val="001F1599"/>
    <w:rsid w:val="001F19C4"/>
    <w:rsid w:val="002029B3"/>
    <w:rsid w:val="002043F0"/>
    <w:rsid w:val="00211E0B"/>
    <w:rsid w:val="00232575"/>
    <w:rsid w:val="00242C3D"/>
    <w:rsid w:val="00247258"/>
    <w:rsid w:val="00257CAC"/>
    <w:rsid w:val="0027237A"/>
    <w:rsid w:val="00287238"/>
    <w:rsid w:val="002974E9"/>
    <w:rsid w:val="002A7F94"/>
    <w:rsid w:val="002B109A"/>
    <w:rsid w:val="002B68B2"/>
    <w:rsid w:val="002C6D45"/>
    <w:rsid w:val="002D3413"/>
    <w:rsid w:val="002D6E53"/>
    <w:rsid w:val="002E294C"/>
    <w:rsid w:val="002F046D"/>
    <w:rsid w:val="002F50C2"/>
    <w:rsid w:val="00301764"/>
    <w:rsid w:val="003229D8"/>
    <w:rsid w:val="00336C97"/>
    <w:rsid w:val="00337F88"/>
    <w:rsid w:val="00342432"/>
    <w:rsid w:val="0035223F"/>
    <w:rsid w:val="00352D4B"/>
    <w:rsid w:val="0035638C"/>
    <w:rsid w:val="003672C4"/>
    <w:rsid w:val="003749E5"/>
    <w:rsid w:val="00382991"/>
    <w:rsid w:val="003829F6"/>
    <w:rsid w:val="003A46BB"/>
    <w:rsid w:val="003A4EC7"/>
    <w:rsid w:val="003A5F98"/>
    <w:rsid w:val="003A7295"/>
    <w:rsid w:val="003B1F60"/>
    <w:rsid w:val="003C2CC4"/>
    <w:rsid w:val="003D4B23"/>
    <w:rsid w:val="003E278A"/>
    <w:rsid w:val="003E5468"/>
    <w:rsid w:val="00402319"/>
    <w:rsid w:val="00413520"/>
    <w:rsid w:val="00427267"/>
    <w:rsid w:val="004325CB"/>
    <w:rsid w:val="004343CD"/>
    <w:rsid w:val="00436585"/>
    <w:rsid w:val="00440A07"/>
    <w:rsid w:val="004531BB"/>
    <w:rsid w:val="00462880"/>
    <w:rsid w:val="00465DCE"/>
    <w:rsid w:val="004666A2"/>
    <w:rsid w:val="00476F24"/>
    <w:rsid w:val="00492D0C"/>
    <w:rsid w:val="004C55B0"/>
    <w:rsid w:val="004E143A"/>
    <w:rsid w:val="004E51C3"/>
    <w:rsid w:val="004E7814"/>
    <w:rsid w:val="004F6BA0"/>
    <w:rsid w:val="00503BEA"/>
    <w:rsid w:val="00511975"/>
    <w:rsid w:val="00533616"/>
    <w:rsid w:val="0053503F"/>
    <w:rsid w:val="00535ABA"/>
    <w:rsid w:val="005360D6"/>
    <w:rsid w:val="0053768B"/>
    <w:rsid w:val="005420F2"/>
    <w:rsid w:val="0054285C"/>
    <w:rsid w:val="00546F13"/>
    <w:rsid w:val="00566800"/>
    <w:rsid w:val="00584173"/>
    <w:rsid w:val="005851F1"/>
    <w:rsid w:val="00595520"/>
    <w:rsid w:val="005A44B9"/>
    <w:rsid w:val="005B1BA0"/>
    <w:rsid w:val="005B3DB3"/>
    <w:rsid w:val="005C0C06"/>
    <w:rsid w:val="005C0C1C"/>
    <w:rsid w:val="005D15CA"/>
    <w:rsid w:val="005F0C9A"/>
    <w:rsid w:val="005F3066"/>
    <w:rsid w:val="005F3E61"/>
    <w:rsid w:val="00604DDD"/>
    <w:rsid w:val="006115CC"/>
    <w:rsid w:val="00611FC4"/>
    <w:rsid w:val="006176FB"/>
    <w:rsid w:val="006241B3"/>
    <w:rsid w:val="00630FCB"/>
    <w:rsid w:val="00636865"/>
    <w:rsid w:val="006405E0"/>
    <w:rsid w:val="00640B26"/>
    <w:rsid w:val="00664A95"/>
    <w:rsid w:val="00667C01"/>
    <w:rsid w:val="006770B2"/>
    <w:rsid w:val="0068442B"/>
    <w:rsid w:val="006940E1"/>
    <w:rsid w:val="006A3C72"/>
    <w:rsid w:val="006A7392"/>
    <w:rsid w:val="006B03A1"/>
    <w:rsid w:val="006B67D9"/>
    <w:rsid w:val="006C5535"/>
    <w:rsid w:val="006D0589"/>
    <w:rsid w:val="006E564B"/>
    <w:rsid w:val="006E7154"/>
    <w:rsid w:val="006F1259"/>
    <w:rsid w:val="007003CD"/>
    <w:rsid w:val="00700F74"/>
    <w:rsid w:val="0070701E"/>
    <w:rsid w:val="00712749"/>
    <w:rsid w:val="007255BE"/>
    <w:rsid w:val="0072632A"/>
    <w:rsid w:val="00733C01"/>
    <w:rsid w:val="007349BA"/>
    <w:rsid w:val="007358E8"/>
    <w:rsid w:val="00736ECE"/>
    <w:rsid w:val="00740D30"/>
    <w:rsid w:val="0074533B"/>
    <w:rsid w:val="007643BC"/>
    <w:rsid w:val="007731FA"/>
    <w:rsid w:val="00793F96"/>
    <w:rsid w:val="007959FE"/>
    <w:rsid w:val="0079792C"/>
    <w:rsid w:val="007A0CF1"/>
    <w:rsid w:val="007A2B33"/>
    <w:rsid w:val="007B0726"/>
    <w:rsid w:val="007B13C2"/>
    <w:rsid w:val="007B216F"/>
    <w:rsid w:val="007B63EE"/>
    <w:rsid w:val="007B6BA5"/>
    <w:rsid w:val="007C3110"/>
    <w:rsid w:val="007C3390"/>
    <w:rsid w:val="007C42D8"/>
    <w:rsid w:val="007C4F4B"/>
    <w:rsid w:val="007C7B94"/>
    <w:rsid w:val="007D7362"/>
    <w:rsid w:val="007E0A12"/>
    <w:rsid w:val="007E6A9B"/>
    <w:rsid w:val="007F33C7"/>
    <w:rsid w:val="007F5CE2"/>
    <w:rsid w:val="007F6611"/>
    <w:rsid w:val="00810BAC"/>
    <w:rsid w:val="008175E9"/>
    <w:rsid w:val="00820DC0"/>
    <w:rsid w:val="008242D7"/>
    <w:rsid w:val="0082577B"/>
    <w:rsid w:val="008472FC"/>
    <w:rsid w:val="00866893"/>
    <w:rsid w:val="00866F02"/>
    <w:rsid w:val="00867D18"/>
    <w:rsid w:val="00871F9A"/>
    <w:rsid w:val="00871FD5"/>
    <w:rsid w:val="0088172E"/>
    <w:rsid w:val="00881EFA"/>
    <w:rsid w:val="008879CB"/>
    <w:rsid w:val="008936BA"/>
    <w:rsid w:val="008979B1"/>
    <w:rsid w:val="008A6A30"/>
    <w:rsid w:val="008A6B25"/>
    <w:rsid w:val="008A6C4F"/>
    <w:rsid w:val="008A7D38"/>
    <w:rsid w:val="008B389E"/>
    <w:rsid w:val="008C5B70"/>
    <w:rsid w:val="008D045E"/>
    <w:rsid w:val="008D3F25"/>
    <w:rsid w:val="008D4D82"/>
    <w:rsid w:val="008E0E46"/>
    <w:rsid w:val="008E7116"/>
    <w:rsid w:val="008F143B"/>
    <w:rsid w:val="008F3882"/>
    <w:rsid w:val="008F4B7C"/>
    <w:rsid w:val="00926E47"/>
    <w:rsid w:val="00946BBD"/>
    <w:rsid w:val="00947162"/>
    <w:rsid w:val="00955583"/>
    <w:rsid w:val="009610D0"/>
    <w:rsid w:val="00962482"/>
    <w:rsid w:val="0096375C"/>
    <w:rsid w:val="009662E6"/>
    <w:rsid w:val="00967FDA"/>
    <w:rsid w:val="0097095E"/>
    <w:rsid w:val="0098592B"/>
    <w:rsid w:val="00985FC4"/>
    <w:rsid w:val="00990766"/>
    <w:rsid w:val="00991261"/>
    <w:rsid w:val="009964C4"/>
    <w:rsid w:val="009A431C"/>
    <w:rsid w:val="009A7B81"/>
    <w:rsid w:val="009D01C0"/>
    <w:rsid w:val="009D2082"/>
    <w:rsid w:val="009D43D7"/>
    <w:rsid w:val="009D5878"/>
    <w:rsid w:val="009D6A08"/>
    <w:rsid w:val="009E0A16"/>
    <w:rsid w:val="009E6CB7"/>
    <w:rsid w:val="009E7970"/>
    <w:rsid w:val="009F2EAC"/>
    <w:rsid w:val="009F57E3"/>
    <w:rsid w:val="009F6E74"/>
    <w:rsid w:val="00A10F4F"/>
    <w:rsid w:val="00A11067"/>
    <w:rsid w:val="00A11C60"/>
    <w:rsid w:val="00A1704A"/>
    <w:rsid w:val="00A260BD"/>
    <w:rsid w:val="00A36DD4"/>
    <w:rsid w:val="00A425EB"/>
    <w:rsid w:val="00A50C42"/>
    <w:rsid w:val="00A72F22"/>
    <w:rsid w:val="00A733BC"/>
    <w:rsid w:val="00A748A6"/>
    <w:rsid w:val="00A76A69"/>
    <w:rsid w:val="00A80CA7"/>
    <w:rsid w:val="00A879A4"/>
    <w:rsid w:val="00A94204"/>
    <w:rsid w:val="00A94BB5"/>
    <w:rsid w:val="00AA0FF8"/>
    <w:rsid w:val="00AC0F2C"/>
    <w:rsid w:val="00AC502A"/>
    <w:rsid w:val="00AD0CC4"/>
    <w:rsid w:val="00AD735C"/>
    <w:rsid w:val="00AE644B"/>
    <w:rsid w:val="00AF58C1"/>
    <w:rsid w:val="00B04A3F"/>
    <w:rsid w:val="00B06643"/>
    <w:rsid w:val="00B115D1"/>
    <w:rsid w:val="00B15055"/>
    <w:rsid w:val="00B2499F"/>
    <w:rsid w:val="00B30179"/>
    <w:rsid w:val="00B36C7B"/>
    <w:rsid w:val="00B37B15"/>
    <w:rsid w:val="00B45C02"/>
    <w:rsid w:val="00B57971"/>
    <w:rsid w:val="00B709C4"/>
    <w:rsid w:val="00B72A1E"/>
    <w:rsid w:val="00B74E70"/>
    <w:rsid w:val="00B81E12"/>
    <w:rsid w:val="00BA339B"/>
    <w:rsid w:val="00BA4B02"/>
    <w:rsid w:val="00BB06C6"/>
    <w:rsid w:val="00BC1E7E"/>
    <w:rsid w:val="00BC6029"/>
    <w:rsid w:val="00BC74E9"/>
    <w:rsid w:val="00BC7735"/>
    <w:rsid w:val="00BC7F91"/>
    <w:rsid w:val="00BE36A9"/>
    <w:rsid w:val="00BE5CDB"/>
    <w:rsid w:val="00BE618E"/>
    <w:rsid w:val="00BE7BEC"/>
    <w:rsid w:val="00BF0154"/>
    <w:rsid w:val="00BF0A5A"/>
    <w:rsid w:val="00BF0E63"/>
    <w:rsid w:val="00BF12A3"/>
    <w:rsid w:val="00BF16D7"/>
    <w:rsid w:val="00BF1F7B"/>
    <w:rsid w:val="00BF2373"/>
    <w:rsid w:val="00BF718D"/>
    <w:rsid w:val="00C044E2"/>
    <w:rsid w:val="00C048CB"/>
    <w:rsid w:val="00C065B3"/>
    <w:rsid w:val="00C066F3"/>
    <w:rsid w:val="00C211BA"/>
    <w:rsid w:val="00C22F0E"/>
    <w:rsid w:val="00C415E2"/>
    <w:rsid w:val="00C463DD"/>
    <w:rsid w:val="00C745C3"/>
    <w:rsid w:val="00C82AE8"/>
    <w:rsid w:val="00C97FE6"/>
    <w:rsid w:val="00CA24A4"/>
    <w:rsid w:val="00CB348D"/>
    <w:rsid w:val="00CC6EE9"/>
    <w:rsid w:val="00CD46F5"/>
    <w:rsid w:val="00CD49C5"/>
    <w:rsid w:val="00CE0B34"/>
    <w:rsid w:val="00CE4A8F"/>
    <w:rsid w:val="00CF071D"/>
    <w:rsid w:val="00D10650"/>
    <w:rsid w:val="00D15B04"/>
    <w:rsid w:val="00D2031B"/>
    <w:rsid w:val="00D25FE2"/>
    <w:rsid w:val="00D34C52"/>
    <w:rsid w:val="00D3685B"/>
    <w:rsid w:val="00D37DA9"/>
    <w:rsid w:val="00D37E2E"/>
    <w:rsid w:val="00D406A7"/>
    <w:rsid w:val="00D43252"/>
    <w:rsid w:val="00D44D86"/>
    <w:rsid w:val="00D50B7D"/>
    <w:rsid w:val="00D52012"/>
    <w:rsid w:val="00D704E5"/>
    <w:rsid w:val="00D72727"/>
    <w:rsid w:val="00D978C6"/>
    <w:rsid w:val="00DA0956"/>
    <w:rsid w:val="00DA266A"/>
    <w:rsid w:val="00DA357F"/>
    <w:rsid w:val="00DA3E12"/>
    <w:rsid w:val="00DB1CFB"/>
    <w:rsid w:val="00DC18AD"/>
    <w:rsid w:val="00DD3760"/>
    <w:rsid w:val="00DE0CF1"/>
    <w:rsid w:val="00DF7CAE"/>
    <w:rsid w:val="00E038EF"/>
    <w:rsid w:val="00E31313"/>
    <w:rsid w:val="00E40CF8"/>
    <w:rsid w:val="00E423C0"/>
    <w:rsid w:val="00E618BF"/>
    <w:rsid w:val="00E6414C"/>
    <w:rsid w:val="00E7260F"/>
    <w:rsid w:val="00E8702D"/>
    <w:rsid w:val="00E916A9"/>
    <w:rsid w:val="00E916DE"/>
    <w:rsid w:val="00E925AD"/>
    <w:rsid w:val="00E96630"/>
    <w:rsid w:val="00EB503B"/>
    <w:rsid w:val="00ED18DC"/>
    <w:rsid w:val="00ED6201"/>
    <w:rsid w:val="00ED7A2A"/>
    <w:rsid w:val="00EF1D7F"/>
    <w:rsid w:val="00EF6955"/>
    <w:rsid w:val="00F0137E"/>
    <w:rsid w:val="00F21786"/>
    <w:rsid w:val="00F3742B"/>
    <w:rsid w:val="00F41FDB"/>
    <w:rsid w:val="00F4763F"/>
    <w:rsid w:val="00F507EC"/>
    <w:rsid w:val="00F56D63"/>
    <w:rsid w:val="00F609A9"/>
    <w:rsid w:val="00F80C99"/>
    <w:rsid w:val="00F867EC"/>
    <w:rsid w:val="00F91B2B"/>
    <w:rsid w:val="00FA3F15"/>
    <w:rsid w:val="00FC03CD"/>
    <w:rsid w:val="00FC0646"/>
    <w:rsid w:val="00FC68B7"/>
    <w:rsid w:val="00FD11B2"/>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A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ce.org/fileadmin/DAM/trans/conventn/UN_Transport_Agreements_and_Conventions.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650A-595F-48E7-82E1-1F4371A5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9</TotalTime>
  <Pages>5</Pages>
  <Words>1742</Words>
  <Characters>10055</Characters>
  <Application>Microsoft Office Word</Application>
  <DocSecurity>0</DocSecurity>
  <Lines>194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13</cp:revision>
  <cp:lastPrinted>2015-11-26T16:38:00Z</cp:lastPrinted>
  <dcterms:created xsi:type="dcterms:W3CDTF">2016-12-12T09:52:00Z</dcterms:created>
  <dcterms:modified xsi:type="dcterms:W3CDTF">2016-12-12T10:02:00Z</dcterms:modified>
</cp:coreProperties>
</file>