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41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4146" w:rsidP="00504146">
            <w:pPr>
              <w:jc w:val="right"/>
            </w:pPr>
            <w:r w:rsidRPr="00504146">
              <w:rPr>
                <w:sz w:val="40"/>
              </w:rPr>
              <w:t>ECE</w:t>
            </w:r>
            <w:r>
              <w:t>/TRANS/WP.15/AC.2/2017/37</w:t>
            </w:r>
          </w:p>
        </w:tc>
      </w:tr>
      <w:tr w:rsidR="002D5AAC" w:rsidRPr="003D60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041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04146" w:rsidRDefault="00504146" w:rsidP="005041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June 2017</w:t>
            </w:r>
          </w:p>
          <w:p w:rsidR="00504146" w:rsidRDefault="00504146" w:rsidP="005041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04146" w:rsidRPr="008D53B6" w:rsidRDefault="00504146" w:rsidP="005041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04146" w:rsidRDefault="00504146" w:rsidP="0050414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504146" w:rsidRDefault="00504146" w:rsidP="0050414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 опасных грузов</w:t>
      </w:r>
    </w:p>
    <w:p w:rsidR="00504146" w:rsidRDefault="00504146" w:rsidP="00504146">
      <w:pPr>
        <w:spacing w:before="120"/>
        <w:rPr>
          <w:b/>
        </w:rPr>
      </w:pPr>
      <w:r>
        <w:rPr>
          <w:b/>
        </w:rPr>
        <w:t>Совместное совещание экспертов по Правилам,</w:t>
      </w:r>
      <w:r>
        <w:rPr>
          <w:b/>
        </w:rPr>
        <w:br/>
        <w:t xml:space="preserve">прилагаемым к Европейскому соглашению </w:t>
      </w:r>
      <w:r>
        <w:rPr>
          <w:b/>
        </w:rPr>
        <w:br/>
        <w:t xml:space="preserve">о международной перевозке опасных грузов </w:t>
      </w:r>
      <w:r>
        <w:rPr>
          <w:b/>
        </w:rPr>
        <w:br/>
        <w:t>по внутренним водным путям (ВОПОГ)</w:t>
      </w:r>
    </w:p>
    <w:p w:rsidR="00504146" w:rsidRDefault="00504146" w:rsidP="00504146">
      <w:pPr>
        <w:rPr>
          <w:b/>
        </w:rPr>
      </w:pPr>
      <w:r>
        <w:rPr>
          <w:b/>
        </w:rPr>
        <w:t>(Комитет по вопросам безопасности ВОПОГ)</w:t>
      </w:r>
    </w:p>
    <w:p w:rsidR="00504146" w:rsidRDefault="00504146" w:rsidP="00504146">
      <w:pPr>
        <w:spacing w:before="120"/>
        <w:rPr>
          <w:b/>
        </w:rPr>
      </w:pPr>
      <w:r>
        <w:rPr>
          <w:b/>
        </w:rPr>
        <w:t>Тридцать первая сессия</w:t>
      </w:r>
    </w:p>
    <w:p w:rsidR="00504146" w:rsidRDefault="00504146" w:rsidP="00504146">
      <w:r>
        <w:t>Женева, 28–31 августа 2017 года</w:t>
      </w:r>
    </w:p>
    <w:p w:rsidR="00504146" w:rsidRDefault="00504146" w:rsidP="00504146">
      <w:r>
        <w:t>Пункт 4 b) предварительной повестки дня</w:t>
      </w:r>
    </w:p>
    <w:p w:rsidR="00504146" w:rsidRDefault="00504146" w:rsidP="00504146">
      <w:pPr>
        <w:rPr>
          <w:b/>
        </w:rPr>
      </w:pPr>
      <w:r>
        <w:rPr>
          <w:b/>
        </w:rPr>
        <w:t xml:space="preserve">Предложения о внесении поправок в Правила, </w:t>
      </w:r>
      <w:r>
        <w:rPr>
          <w:b/>
        </w:rPr>
        <w:br/>
        <w:t>прилагаемые к ВОПОГ: другие предложения</w:t>
      </w:r>
    </w:p>
    <w:p w:rsidR="00504146" w:rsidRDefault="00504146" w:rsidP="00504146">
      <w:pPr>
        <w:pStyle w:val="HChGR"/>
        <w:spacing w:before="300" w:after="200"/>
      </w:pPr>
      <w:r>
        <w:tab/>
      </w:r>
      <w:r>
        <w:tab/>
        <w:t xml:space="preserve">Бортовые стойки – пункт </w:t>
      </w:r>
      <w:r>
        <w:rPr>
          <w:rFonts w:eastAsia="TimesNewRomanPSMT"/>
        </w:rPr>
        <w:t>9.3.x.11.2 d)</w:t>
      </w:r>
    </w:p>
    <w:p w:rsidR="00504146" w:rsidRDefault="00504146" w:rsidP="00504146">
      <w:pPr>
        <w:pStyle w:val="H1GR"/>
        <w:spacing w:before="300" w:after="200"/>
        <w:rPr>
          <w:b w:val="0"/>
          <w:sz w:val="20"/>
        </w:rPr>
      </w:pPr>
      <w:r>
        <w:tab/>
      </w:r>
      <w:r>
        <w:tab/>
        <w:t>Передано Рекомендованными классификационными обществами ВОПОГ</w:t>
      </w:r>
      <w:r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  <w:vertAlign w:val="superscript"/>
        </w:rPr>
        <w:t>,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footnoteReference w:customMarkFollows="1" w:id="2"/>
        <w:t>**</w:t>
      </w:r>
    </w:p>
    <w:p w:rsidR="00504146" w:rsidRDefault="00504146" w:rsidP="009B0C30">
      <w:pPr>
        <w:pStyle w:val="H1GR"/>
      </w:pPr>
      <w:r>
        <w:tab/>
        <w:t>А.</w:t>
      </w:r>
      <w:r>
        <w:tab/>
        <w:t>ВОПОГ 2017 года</w:t>
      </w:r>
    </w:p>
    <w:p w:rsidR="00504146" w:rsidRPr="003D60DD" w:rsidRDefault="00504146" w:rsidP="003D60DD">
      <w:pPr>
        <w:pStyle w:val="SingleTxtGR"/>
      </w:pPr>
      <w:r w:rsidRPr="003D60DD">
        <w:t>1.</w:t>
      </w:r>
      <w:r w:rsidRPr="003D60DD">
        <w:tab/>
        <w:t xml:space="preserve">Пункты </w:t>
      </w:r>
      <w:r w:rsidRPr="003D60DD">
        <w:rPr>
          <w:rFonts w:eastAsia="TimesNewRomanPSMT"/>
        </w:rPr>
        <w:t>9.3.1.11.2 d) и 9.3.2.11.2 d) гласят:</w:t>
      </w:r>
    </w:p>
    <w:p w:rsidR="00504146" w:rsidRPr="003D60DD" w:rsidRDefault="00504146" w:rsidP="003D60DD">
      <w:pPr>
        <w:pStyle w:val="SingleTxtGR"/>
      </w:pPr>
      <w:r w:rsidRPr="003D60DD">
        <w:t>9.3.1.11.2 d)</w:t>
      </w:r>
    </w:p>
    <w:p w:rsidR="00504146" w:rsidRPr="003D60DD" w:rsidRDefault="00504146" w:rsidP="003D60DD">
      <w:pPr>
        <w:pStyle w:val="SingleTxtGR"/>
      </w:pPr>
      <w:r w:rsidRPr="003D60DD">
        <w:t>Запрещаются бортовые стойки, соединяющие или поддерживающие несущие компоненты боковых стенок судна с несущими компонентами продольной перегородки грузовых танков, а также бортовые стойки, соединяющие несущие компоненты днища судна с днищем танков.</w:t>
      </w:r>
    </w:p>
    <w:p w:rsidR="00504146" w:rsidRPr="003D60DD" w:rsidRDefault="00504146" w:rsidP="003D60DD">
      <w:pPr>
        <w:pStyle w:val="SingleTxtGR"/>
      </w:pPr>
      <w:r w:rsidRPr="003D60DD">
        <w:t>2.</w:t>
      </w:r>
      <w:r w:rsidRPr="003D60DD">
        <w:tab/>
        <w:t xml:space="preserve">Однако эквивалентного пункта </w:t>
      </w:r>
      <w:r w:rsidRPr="003D60DD">
        <w:rPr>
          <w:rFonts w:eastAsia="TimesNewRomanPSMT"/>
        </w:rPr>
        <w:t>9.3.3.11.2 d) не существует.</w:t>
      </w:r>
    </w:p>
    <w:p w:rsidR="00504146" w:rsidRPr="003D60DD" w:rsidRDefault="00504146" w:rsidP="003D60DD">
      <w:pPr>
        <w:pStyle w:val="SingleTxtGR"/>
      </w:pPr>
      <w:r w:rsidRPr="003D60DD">
        <w:t>3.</w:t>
      </w:r>
      <w:r w:rsidRPr="003D60DD">
        <w:tab/>
        <w:t>Таблица общих переходных положений для танкеров, приведенная в пункте 1.6.7.2.2.2, содержит следующие положения, касающиеся пунктов 9.3.1.11.2 d) и 9.3.2.11.2 d):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1444"/>
        <w:gridCol w:w="2126"/>
        <w:gridCol w:w="3969"/>
      </w:tblGrid>
      <w:tr w:rsidR="00504146" w:rsidTr="0050414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9.3.1.11.2 d)</w:t>
            </w:r>
            <w:r>
              <w:rPr>
                <w:szCs w:val="20"/>
              </w:rPr>
              <w:br/>
              <w:t>9.3.2.11.2 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Бортовые стойки между корпусом и грузовыми танками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 w:rsidP="009B0C30">
            <w:pPr>
              <w:spacing w:before="40" w:after="80" w:line="240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Н.З.М. с 1 января 2001 года</w:t>
            </w:r>
          </w:p>
          <w:p w:rsidR="00504146" w:rsidRDefault="00504146" w:rsidP="009B0C30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Возобновление свидетельства о допу</w:t>
            </w:r>
            <w:r>
              <w:rPr>
                <w:szCs w:val="20"/>
              </w:rPr>
              <w:lastRenderedPageBreak/>
              <w:t>щении после 31 декабря 2044 года</w:t>
            </w:r>
          </w:p>
        </w:tc>
      </w:tr>
    </w:tbl>
    <w:p w:rsidR="00504146" w:rsidRDefault="00504146" w:rsidP="009B0C30">
      <w:pPr>
        <w:pStyle w:val="H1GR"/>
      </w:pPr>
      <w:r>
        <w:lastRenderedPageBreak/>
        <w:tab/>
      </w:r>
      <w:r>
        <w:rPr>
          <w:lang w:val="en-US"/>
        </w:rPr>
        <w:t>B</w:t>
      </w:r>
      <w:r>
        <w:t>.</w:t>
      </w:r>
      <w:r>
        <w:tab/>
        <w:t>Разъяснения</w:t>
      </w:r>
    </w:p>
    <w:p w:rsidR="00504146" w:rsidRPr="003D60DD" w:rsidRDefault="00504146" w:rsidP="003D60DD">
      <w:pPr>
        <w:pStyle w:val="SingleTxtGR"/>
      </w:pPr>
      <w:r w:rsidRPr="003D60DD">
        <w:t>4.</w:t>
      </w:r>
      <w:r w:rsidRPr="003D60DD">
        <w:tab/>
      </w:r>
      <w:proofErr w:type="gramStart"/>
      <w:r w:rsidRPr="003D60DD">
        <w:t>В</w:t>
      </w:r>
      <w:proofErr w:type="gramEnd"/>
      <w:r w:rsidRPr="003D60DD">
        <w:t xml:space="preserve"> конце 1990-х годов власти Нидерландов с удивлением обнаружили, что один из танкеров типа С был допущен с бортовыми стойками, соединяющими продольные ребра жесткости двойного корпуса. В Комитете по вопросам </w:t>
      </w:r>
      <w:r w:rsidR="003D60DD" w:rsidRPr="003D60DD">
        <w:br/>
      </w:r>
      <w:r w:rsidRPr="003D60DD">
        <w:t>безопасности ВОПОГ состоялось обсуждение этого вопроса и был сделан вывод о том, что такая конструкция действительно может оказаться опасной в случае столкновения или посадки на мель, когда стойки могут, как игла, проткнуть грузовые танки, что приведет к утечке.</w:t>
      </w:r>
    </w:p>
    <w:p w:rsidR="00504146" w:rsidRPr="003D60DD" w:rsidRDefault="00504146" w:rsidP="003D60DD">
      <w:pPr>
        <w:pStyle w:val="SingleTxtGR"/>
      </w:pPr>
      <w:r w:rsidRPr="003D60DD">
        <w:t>5.</w:t>
      </w:r>
      <w:r w:rsidRPr="003D60DD">
        <w:tab/>
        <w:t>Для того чтобы предотвратить использование подобной конструкции танкеров в будущем, в ВОПОГ были включены пункты 9.3.1.11.2 d) и 9.3.2.11.2 d) с переходными положениями для существующих танкеров (Н.З.М. с 1 января 2001 года).</w:t>
      </w:r>
    </w:p>
    <w:p w:rsidR="00504146" w:rsidRPr="003D60DD" w:rsidRDefault="00504146" w:rsidP="003D60DD">
      <w:pPr>
        <w:pStyle w:val="SingleTxtGR"/>
      </w:pPr>
      <w:r w:rsidRPr="003D60DD">
        <w:t>6.</w:t>
      </w:r>
      <w:r w:rsidRPr="003D60DD">
        <w:tab/>
        <w:t>Когда эти пункты включались в ВОПОГ, еще не существовало требований к судам типа N с двойным корпусом. В действительности требования к судам типа N с двойным корпусом были добавлены в ВОПОГ в издании 2007 года.</w:t>
      </w:r>
    </w:p>
    <w:p w:rsidR="00504146" w:rsidRPr="003D60DD" w:rsidRDefault="00504146" w:rsidP="003D60DD">
      <w:pPr>
        <w:pStyle w:val="SingleTxtGR"/>
      </w:pPr>
      <w:r w:rsidRPr="003D60DD">
        <w:t>7.</w:t>
      </w:r>
      <w:r w:rsidRPr="003D60DD">
        <w:tab/>
        <w:t>После дальнейшего обсуждения Рекомендованные классификационные общества ВОПОГ пришли к выводу, что о необходимости в аналогичных положениях о стойках для применения к судам с двойным корпусом, вероятно, просто забыли.</w:t>
      </w:r>
    </w:p>
    <w:p w:rsidR="00504146" w:rsidRPr="003D60DD" w:rsidRDefault="00504146" w:rsidP="003D60DD">
      <w:pPr>
        <w:pStyle w:val="SingleTxtGR"/>
      </w:pPr>
      <w:r w:rsidRPr="003D60DD">
        <w:t>8.</w:t>
      </w:r>
      <w:r w:rsidRPr="003D60DD">
        <w:tab/>
        <w:t>Как разъяснено выше, наличие бортовых стоек может угрожать целостности грузового танка в случае столкновения или посадки на мель. Поэтому Рекомендованные классификационные общества ВОПОГ считают необоснованным разрешать такого рода конструкцию для какого-либо танкера с двойным корпусом.</w:t>
      </w:r>
    </w:p>
    <w:p w:rsidR="00504146" w:rsidRDefault="00504146" w:rsidP="009B0C30">
      <w:pPr>
        <w:pStyle w:val="H1GR"/>
      </w:pPr>
      <w:r>
        <w:tab/>
        <w:t>С.</w:t>
      </w:r>
      <w:r>
        <w:tab/>
        <w:t>Предлагаемые поправки</w:t>
      </w:r>
    </w:p>
    <w:p w:rsidR="00504146" w:rsidRPr="003D60DD" w:rsidRDefault="00504146" w:rsidP="003D60DD">
      <w:pPr>
        <w:pStyle w:val="SingleTxtGR"/>
      </w:pPr>
      <w:r w:rsidRPr="003D60DD">
        <w:t>9.</w:t>
      </w:r>
      <w:r w:rsidRPr="003D60DD">
        <w:tab/>
        <w:t>Добавить в пункт 9.3.3.11.2 следующий текст:</w:t>
      </w:r>
    </w:p>
    <w:p w:rsidR="00504146" w:rsidRPr="003D60DD" w:rsidRDefault="00504146" w:rsidP="003D60DD">
      <w:pPr>
        <w:pStyle w:val="SingleTxtGR"/>
      </w:pPr>
      <w:r w:rsidRPr="003D60DD">
        <w:t>«d) Запрещаются бортовые стойки, соединяющие или поддерживающие несущие компоненты боковых стенок судна с несущими компонентами продольной перегородки грузовых танков, а также бортовые стойки, соединяющие несущие компоненты днища судна с днищем танков.».</w:t>
      </w:r>
    </w:p>
    <w:p w:rsidR="00504146" w:rsidRPr="003D60DD" w:rsidRDefault="00504146" w:rsidP="003D60DD">
      <w:pPr>
        <w:pStyle w:val="SingleTxtGR"/>
      </w:pPr>
      <w:r w:rsidRPr="003D60DD">
        <w:t>10.</w:t>
      </w:r>
      <w:r w:rsidRPr="003D60DD">
        <w:tab/>
        <w:t>Изменить общие переходные положения для пунктов 9.3.х.11.2 d) в пункте 1.6.7.2.2.2 следующим образом: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2126"/>
        <w:gridCol w:w="3827"/>
      </w:tblGrid>
      <w:tr w:rsidR="00504146" w:rsidTr="009B0C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9.3.1.11.2 d)</w:t>
            </w:r>
            <w:r>
              <w:rPr>
                <w:szCs w:val="20"/>
              </w:rPr>
              <w:br/>
              <w:t xml:space="preserve">9.3.2.11.2 d) </w:t>
            </w:r>
            <w:r>
              <w:rPr>
                <w:szCs w:val="20"/>
              </w:rPr>
              <w:br/>
              <w:t>9.3.3.11.2 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Бортовые стойки между корпусом и грузовыми танками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46" w:rsidRDefault="00504146" w:rsidP="009B0C30">
            <w:pPr>
              <w:spacing w:before="40" w:after="80" w:line="240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Н.З.М. с 1 января 2001 года</w:t>
            </w:r>
          </w:p>
          <w:p w:rsidR="00504146" w:rsidRDefault="00504146" w:rsidP="009B0C30">
            <w:pPr>
              <w:spacing w:before="40" w:after="40" w:line="240" w:lineRule="auto"/>
              <w:ind w:left="57" w:right="57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Возобновление свидетельства о допущении после 31 декабря 2044 года</w:t>
            </w:r>
          </w:p>
        </w:tc>
      </w:tr>
    </w:tbl>
    <w:p w:rsidR="00504146" w:rsidRDefault="00504146" w:rsidP="00504146">
      <w:pPr>
        <w:pStyle w:val="SingleTxtGR"/>
        <w:spacing w:before="240" w:after="0"/>
        <w:jc w:val="center"/>
        <w:rPr>
          <w:u w:val="single"/>
          <w:lang w:eastAsia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5041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44" w:rsidRPr="00A312BC" w:rsidRDefault="00843F44" w:rsidP="00A312BC"/>
  </w:endnote>
  <w:endnote w:type="continuationSeparator" w:id="0">
    <w:p w:rsidR="00843F44" w:rsidRPr="00A312BC" w:rsidRDefault="00843F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46" w:rsidRPr="00504146" w:rsidRDefault="00504146">
    <w:pPr>
      <w:pStyle w:val="Footer"/>
    </w:pPr>
    <w:r w:rsidRPr="00504146">
      <w:rPr>
        <w:b/>
        <w:sz w:val="18"/>
      </w:rPr>
      <w:fldChar w:fldCharType="begin"/>
    </w:r>
    <w:r w:rsidRPr="00504146">
      <w:rPr>
        <w:b/>
        <w:sz w:val="18"/>
      </w:rPr>
      <w:instrText xml:space="preserve"> PAGE  \* MERGEFORMAT </w:instrText>
    </w:r>
    <w:r w:rsidRPr="00504146">
      <w:rPr>
        <w:b/>
        <w:sz w:val="18"/>
      </w:rPr>
      <w:fldChar w:fldCharType="separate"/>
    </w:r>
    <w:r w:rsidR="00D31A11">
      <w:rPr>
        <w:b/>
        <w:noProof/>
        <w:sz w:val="18"/>
      </w:rPr>
      <w:t>2</w:t>
    </w:r>
    <w:r w:rsidRPr="00504146">
      <w:rPr>
        <w:b/>
        <w:sz w:val="18"/>
      </w:rPr>
      <w:fldChar w:fldCharType="end"/>
    </w:r>
    <w:r>
      <w:rPr>
        <w:b/>
        <w:sz w:val="18"/>
      </w:rPr>
      <w:tab/>
    </w:r>
    <w:r>
      <w:t>GE.17-09001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46" w:rsidRPr="00504146" w:rsidRDefault="00504146" w:rsidP="0050414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GE.17-09001</w:t>
    </w:r>
    <w:r>
      <w:tab/>
    </w:r>
    <w:r w:rsidRPr="00504146">
      <w:rPr>
        <w:b/>
        <w:sz w:val="18"/>
      </w:rPr>
      <w:fldChar w:fldCharType="begin"/>
    </w:r>
    <w:r w:rsidRPr="00504146">
      <w:rPr>
        <w:b/>
        <w:sz w:val="18"/>
      </w:rPr>
      <w:instrText xml:space="preserve"> PAGE  \* MERGEFORMAT </w:instrText>
    </w:r>
    <w:r w:rsidRPr="0050414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5041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04146" w:rsidRDefault="00504146" w:rsidP="0050414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C367A" wp14:editId="7E62B76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17-09001  (R)</w:t>
    </w:r>
    <w:r>
      <w:rPr>
        <w:lang w:val="en-US"/>
      </w:rPr>
      <w:t xml:space="preserve">   150617  150617</w:t>
    </w:r>
    <w:r>
      <w:br/>
    </w:r>
    <w:r w:rsidRPr="00504146">
      <w:rPr>
        <w:rFonts w:ascii="C39T30Lfz" w:hAnsi="C39T30Lfz"/>
        <w:spacing w:val="0"/>
        <w:w w:val="100"/>
        <w:sz w:val="56"/>
      </w:rPr>
      <w:t></w:t>
    </w:r>
    <w:r w:rsidRPr="00504146">
      <w:rPr>
        <w:rFonts w:ascii="C39T30Lfz" w:hAnsi="C39T30Lfz"/>
        <w:spacing w:val="0"/>
        <w:w w:val="100"/>
        <w:sz w:val="56"/>
      </w:rPr>
      <w:t></w:t>
    </w:r>
    <w:r w:rsidRPr="00504146">
      <w:rPr>
        <w:rFonts w:ascii="C39T30Lfz" w:hAnsi="C39T30Lfz"/>
        <w:spacing w:val="0"/>
        <w:w w:val="100"/>
        <w:sz w:val="56"/>
      </w:rPr>
      <w:t></w:t>
    </w:r>
    <w:r w:rsidRPr="00504146">
      <w:rPr>
        <w:rFonts w:ascii="C39T30Lfz" w:hAnsi="C39T30Lfz"/>
        <w:spacing w:val="0"/>
        <w:w w:val="100"/>
        <w:sz w:val="56"/>
      </w:rPr>
      <w:t></w:t>
    </w:r>
    <w:r w:rsidRPr="00504146">
      <w:rPr>
        <w:rFonts w:ascii="C39T30Lfz" w:hAnsi="C39T30Lfz"/>
        <w:spacing w:val="0"/>
        <w:w w:val="100"/>
        <w:sz w:val="56"/>
      </w:rPr>
      <w:t></w:t>
    </w:r>
    <w:r w:rsidRPr="00504146">
      <w:rPr>
        <w:rFonts w:ascii="C39T30Lfz" w:hAnsi="C39T30Lfz"/>
        <w:spacing w:val="0"/>
        <w:w w:val="100"/>
        <w:sz w:val="56"/>
      </w:rPr>
      <w:t></w:t>
    </w:r>
    <w:r w:rsidRPr="00504146">
      <w:rPr>
        <w:rFonts w:ascii="C39T30Lfz" w:hAnsi="C39T30Lfz"/>
        <w:spacing w:val="0"/>
        <w:w w:val="100"/>
        <w:sz w:val="56"/>
      </w:rPr>
      <w:t></w:t>
    </w:r>
    <w:r w:rsidRPr="00504146">
      <w:rPr>
        <w:rFonts w:ascii="C39T30Lfz" w:hAnsi="C39T30Lfz"/>
        <w:spacing w:val="0"/>
        <w:w w:val="100"/>
        <w:sz w:val="56"/>
      </w:rPr>
      <w:t></w:t>
    </w:r>
    <w:r w:rsidRPr="0050414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2/2017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44" w:rsidRPr="001075E9" w:rsidRDefault="00843F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3F44" w:rsidRDefault="00843F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4146" w:rsidRDefault="00504146" w:rsidP="00504146">
      <w:pPr>
        <w:pStyle w:val="FootnoteText"/>
        <w:widowControl w:val="0"/>
        <w:rPr>
          <w:lang w:val="ru-RU"/>
        </w:rPr>
      </w:pPr>
      <w:r>
        <w:tab/>
      </w:r>
      <w:r w:rsidRPr="00504146">
        <w:rPr>
          <w:rStyle w:val="FootnoteReference"/>
          <w:sz w:val="20"/>
          <w:vertAlign w:val="baseline"/>
          <w:lang w:val="ru-RU"/>
        </w:rPr>
        <w:t>*</w:t>
      </w:r>
      <w:r w:rsidRPr="00504146">
        <w:rPr>
          <w:b/>
          <w:lang w:val="ru-RU"/>
        </w:rPr>
        <w:t xml:space="preserve"> </w:t>
      </w:r>
      <w:r>
        <w:rPr>
          <w:lang w:val="ru-RU"/>
        </w:rPr>
        <w:tab/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.2/2017/37</w:t>
      </w:r>
      <w:r>
        <w:rPr>
          <w:noProof/>
          <w:lang w:val="ru-RU"/>
        </w:rPr>
        <w:t>.</w:t>
      </w:r>
    </w:p>
  </w:footnote>
  <w:footnote w:id="2">
    <w:p w:rsidR="00504146" w:rsidRDefault="00504146" w:rsidP="00504146">
      <w:pPr>
        <w:pStyle w:val="FootnoteText"/>
        <w:widowControl w:val="0"/>
        <w:rPr>
          <w:lang w:val="ru-RU"/>
        </w:rPr>
      </w:pPr>
      <w:r>
        <w:rPr>
          <w:lang w:val="ru-RU"/>
        </w:rPr>
        <w:tab/>
      </w:r>
      <w:r w:rsidRPr="00504146">
        <w:rPr>
          <w:rStyle w:val="FootnoteReference"/>
          <w:sz w:val="20"/>
          <w:vertAlign w:val="baseline"/>
          <w:lang w:val="ru-RU"/>
        </w:rPr>
        <w:t>**</w:t>
      </w:r>
      <w:r w:rsidRPr="00504146">
        <w:rPr>
          <w:lang w:val="ru-RU"/>
        </w:rPr>
        <w:t xml:space="preserve"> 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>
        <w:rPr>
          <w:lang w:val="ru-RU"/>
        </w:rPr>
        <w:br/>
        <w:t>2016–2017 годы (</w:t>
      </w:r>
      <w:r>
        <w:rPr>
          <w:lang w:val="en-US"/>
        </w:rPr>
        <w:t>ECE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46" w:rsidRPr="00504146" w:rsidRDefault="00DA4CA4">
    <w:pPr>
      <w:pStyle w:val="Header"/>
    </w:pPr>
    <w:fldSimple w:instr=" TITLE  \* MERGEFORMAT ">
      <w:r w:rsidR="00D31A11">
        <w:t>ECE/TRANS/WP.15/AC.2/2017/37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46" w:rsidRPr="00504146" w:rsidRDefault="00DA4CA4" w:rsidP="00504146">
    <w:pPr>
      <w:pStyle w:val="Header"/>
      <w:jc w:val="right"/>
    </w:pPr>
    <w:fldSimple w:instr=" TITLE  \* MERGEFORMAT ">
      <w:r w:rsidR="00D31A11">
        <w:t>ECE/TRANS/WP.15/AC.2/2017/37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3E3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0DD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4146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F4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C30"/>
    <w:rsid w:val="009C6FE6"/>
    <w:rsid w:val="00A14DA8"/>
    <w:rsid w:val="00A312BC"/>
    <w:rsid w:val="00A84021"/>
    <w:rsid w:val="00A844F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1A11"/>
    <w:rsid w:val="00D33D63"/>
    <w:rsid w:val="00D5253A"/>
    <w:rsid w:val="00D90028"/>
    <w:rsid w:val="00D90138"/>
    <w:rsid w:val="00DA4CA4"/>
    <w:rsid w:val="00DD48B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2823FE-F7F9-4C19-8BE2-F2CE0CDE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ECE/TRANS/WP.15/AC.2/2017/37</vt:lpstr>
      <vt:lpstr>ECE/TRANS/WP.15/AC.2/2017/37</vt:lpstr>
      <vt:lpstr>A/</vt:lpstr>
    </vt:vector>
  </TitlesOfParts>
  <Company>DCM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ECE/TRANS/WP.15/AC.2/2017/37</dc:title>
  <dc:subject/>
  <dc:creator>Anna Blagodatskikh</dc:creator>
  <cp:keywords/>
  <cp:lastModifiedBy>Marie-Claude Collet</cp:lastModifiedBy>
  <cp:revision>3</cp:revision>
  <cp:lastPrinted>2017-07-07T07:25:00Z</cp:lastPrinted>
  <dcterms:created xsi:type="dcterms:W3CDTF">2017-07-07T07:24:00Z</dcterms:created>
  <dcterms:modified xsi:type="dcterms:W3CDTF">2017-07-07T07:25:00Z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