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C2CE2">
              <w:fldChar w:fldCharType="begin"/>
            </w:r>
            <w:r w:rsidR="00BC2CE2">
              <w:instrText xml:space="preserve"> FILLIN  "Введите символ после ЕCE/"  \* MERGEFORMAT </w:instrText>
            </w:r>
            <w:r w:rsidR="00BC2CE2">
              <w:fldChar w:fldCharType="separate"/>
            </w:r>
            <w:r w:rsidR="00BF1E64">
              <w:t>TRANS/WP.15/AC.2/2017/12</w:t>
            </w:r>
            <w:r w:rsidR="00BC2CE2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C2CE2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BF1E64">
                <w:t>9 November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C2CE2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863C9" w:rsidRPr="00E863C9" w:rsidRDefault="00E863C9" w:rsidP="00E863C9">
      <w:pPr>
        <w:spacing w:before="120" w:line="240" w:lineRule="auto"/>
        <w:rPr>
          <w:sz w:val="28"/>
          <w:szCs w:val="28"/>
        </w:rPr>
      </w:pPr>
      <w:r w:rsidRPr="00E863C9">
        <w:rPr>
          <w:sz w:val="28"/>
          <w:szCs w:val="28"/>
        </w:rPr>
        <w:t>Комитет по внутреннему транспорту</w:t>
      </w:r>
    </w:p>
    <w:p w:rsidR="00E863C9" w:rsidRPr="00E863C9" w:rsidRDefault="00E863C9" w:rsidP="00E863C9">
      <w:pPr>
        <w:spacing w:before="120" w:line="240" w:lineRule="auto"/>
        <w:rPr>
          <w:b/>
          <w:sz w:val="24"/>
          <w:szCs w:val="24"/>
        </w:rPr>
      </w:pPr>
      <w:r w:rsidRPr="00E863C9">
        <w:rPr>
          <w:b/>
          <w:sz w:val="24"/>
          <w:szCs w:val="24"/>
        </w:rPr>
        <w:t>Рабочая группа по перевозкам опасных грузов</w:t>
      </w:r>
    </w:p>
    <w:p w:rsidR="00E863C9" w:rsidRPr="00E863C9" w:rsidRDefault="00E863C9" w:rsidP="00E863C9">
      <w:pPr>
        <w:spacing w:before="120" w:line="240" w:lineRule="auto"/>
        <w:rPr>
          <w:b/>
        </w:rPr>
      </w:pPr>
      <w:r w:rsidRPr="00E863C9">
        <w:rPr>
          <w:b/>
        </w:rPr>
        <w:t xml:space="preserve">Совместное совещание экспертов по Правилам, </w:t>
      </w:r>
      <w:r w:rsidRPr="00E863C9">
        <w:rPr>
          <w:b/>
        </w:rPr>
        <w:br/>
        <w:t xml:space="preserve">прилагаемым к Европейскому соглашению </w:t>
      </w:r>
      <w:r w:rsidRPr="00BC2CE2">
        <w:rPr>
          <w:b/>
        </w:rPr>
        <w:br/>
      </w:r>
      <w:r w:rsidRPr="00E863C9">
        <w:rPr>
          <w:b/>
        </w:rPr>
        <w:t xml:space="preserve">о международной перевозке опасных грузов </w:t>
      </w:r>
      <w:r w:rsidRPr="00E863C9">
        <w:rPr>
          <w:b/>
        </w:rPr>
        <w:br/>
        <w:t xml:space="preserve">по внутренним водным путям (ВОПОГ) </w:t>
      </w:r>
      <w:r w:rsidRPr="00E863C9">
        <w:rPr>
          <w:b/>
        </w:rPr>
        <w:br/>
        <w:t>(Комитет по вопросам безопасности ВОПОГ)</w:t>
      </w:r>
    </w:p>
    <w:p w:rsidR="00E863C9" w:rsidRPr="00E863C9" w:rsidRDefault="00E863C9" w:rsidP="00E863C9">
      <w:pPr>
        <w:spacing w:before="120" w:line="240" w:lineRule="auto"/>
        <w:rPr>
          <w:b/>
        </w:rPr>
      </w:pPr>
      <w:r w:rsidRPr="00E863C9">
        <w:rPr>
          <w:b/>
        </w:rPr>
        <w:t>Тридцатая сессия</w:t>
      </w:r>
    </w:p>
    <w:p w:rsidR="00E863C9" w:rsidRPr="00E863C9" w:rsidRDefault="00E863C9" w:rsidP="00E863C9">
      <w:pPr>
        <w:spacing w:line="240" w:lineRule="auto"/>
      </w:pPr>
      <w:r w:rsidRPr="00E863C9">
        <w:t>Женева, 23–27 января 2017 года</w:t>
      </w:r>
    </w:p>
    <w:p w:rsidR="00E863C9" w:rsidRPr="00E863C9" w:rsidRDefault="00E863C9" w:rsidP="00E863C9">
      <w:pPr>
        <w:spacing w:line="240" w:lineRule="auto"/>
      </w:pPr>
      <w:r w:rsidRPr="00E863C9">
        <w:t>Пункт 4 c) предварительной повестки дня</w:t>
      </w:r>
    </w:p>
    <w:p w:rsidR="00E863C9" w:rsidRPr="00E863C9" w:rsidRDefault="00E863C9" w:rsidP="00E863C9">
      <w:pPr>
        <w:spacing w:line="240" w:lineRule="auto"/>
        <w:rPr>
          <w:b/>
        </w:rPr>
      </w:pPr>
      <w:r w:rsidRPr="00E863C9">
        <w:rPr>
          <w:b/>
        </w:rPr>
        <w:t xml:space="preserve">Применение Европейского соглашения </w:t>
      </w:r>
      <w:r w:rsidRPr="00E863C9">
        <w:rPr>
          <w:b/>
        </w:rPr>
        <w:br/>
        <w:t xml:space="preserve">о международной перевозке опасных грузов </w:t>
      </w:r>
      <w:r w:rsidRPr="00E863C9">
        <w:rPr>
          <w:b/>
        </w:rPr>
        <w:br/>
        <w:t>по внутренним водным путям (ВОПОГ):</w:t>
      </w:r>
    </w:p>
    <w:p w:rsidR="00E863C9" w:rsidRPr="00E863C9" w:rsidRDefault="00E863C9" w:rsidP="00E863C9">
      <w:pPr>
        <w:spacing w:line="240" w:lineRule="auto"/>
        <w:rPr>
          <w:b/>
        </w:rPr>
      </w:pPr>
      <w:r w:rsidRPr="00E863C9">
        <w:rPr>
          <w:b/>
        </w:rPr>
        <w:t>толкование Правил, прилагаемых к ВОПОГ</w:t>
      </w:r>
    </w:p>
    <w:p w:rsidR="00E863C9" w:rsidRPr="00E863C9" w:rsidRDefault="00E863C9" w:rsidP="00E863C9">
      <w:pPr>
        <w:pStyle w:val="HChGR"/>
      </w:pPr>
      <w:r w:rsidRPr="00E863C9">
        <w:tab/>
      </w:r>
      <w:r w:rsidRPr="00E863C9">
        <w:tab/>
        <w:t>Перевозка транспортных средств и оборудования</w:t>
      </w:r>
    </w:p>
    <w:p w:rsidR="00E863C9" w:rsidRPr="00BC2CE2" w:rsidRDefault="00E863C9" w:rsidP="00E863C9">
      <w:pPr>
        <w:pStyle w:val="H1GR"/>
        <w:rPr>
          <w:b w:val="0"/>
        </w:rPr>
      </w:pPr>
      <w:r w:rsidRPr="00E863C9">
        <w:tab/>
      </w:r>
      <w:r w:rsidRPr="00E863C9">
        <w:tab/>
        <w:t>Передано правительством Германии</w:t>
      </w:r>
      <w:r w:rsidRPr="00E863C9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  <w:r w:rsidRPr="00E863C9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p w:rsidR="00E863C9" w:rsidRPr="00E863C9" w:rsidRDefault="00E863C9" w:rsidP="007602F3">
      <w:pPr>
        <w:pStyle w:val="HChGR"/>
      </w:pPr>
      <w:r w:rsidRPr="00E863C9">
        <w:tab/>
      </w:r>
      <w:r w:rsidRPr="00E863C9">
        <w:tab/>
        <w:t>Введение</w:t>
      </w:r>
    </w:p>
    <w:p w:rsidR="00E863C9" w:rsidRPr="00E863C9" w:rsidRDefault="00E863C9" w:rsidP="00E863C9">
      <w:pPr>
        <w:pStyle w:val="SingleTxtGR"/>
      </w:pPr>
      <w:r w:rsidRPr="00E863C9">
        <w:t>1.</w:t>
      </w:r>
      <w:r w:rsidRPr="00E863C9">
        <w:tab/>
        <w:t>По предложению Совместного совещания МПОГ/ДОПОГ/ВОПОГ в целях обеспечения согласованности с Типовыми правилами ООН Комитет по вопросам безопасности ВОПОГ принял решение, в частности, о следующих поправках для включения в ВОПОГ 2017 года.</w:t>
      </w:r>
    </w:p>
    <w:p w:rsidR="00E863C9" w:rsidRPr="00E863C9" w:rsidRDefault="00A5499C" w:rsidP="007602F3">
      <w:pPr>
        <w:pStyle w:val="SingleTxtGR"/>
        <w:keepNext/>
        <w:keepLines/>
      </w:pPr>
      <w:r>
        <w:rPr>
          <w:lang w:val="en-US"/>
        </w:rPr>
        <w:lastRenderedPageBreak/>
        <w:tab/>
      </w:r>
      <w:r w:rsidR="00E863C9" w:rsidRPr="00E863C9">
        <w:t>a)</w:t>
      </w:r>
      <w:r w:rsidR="00E863C9" w:rsidRPr="00E863C9">
        <w:tab/>
        <w:t>Раздел 3.2.1, таблица A: Новая редакция позиций под № ООН:</w:t>
      </w:r>
    </w:p>
    <w:p w:rsidR="00E863C9" w:rsidRPr="00E863C9" w:rsidRDefault="00E863C9" w:rsidP="007602F3">
      <w:pPr>
        <w:pStyle w:val="SingleTxtGR"/>
        <w:keepNext/>
        <w:keepLines/>
        <w:ind w:left="1701" w:hanging="567"/>
      </w:pPr>
      <w:r w:rsidRPr="00E863C9">
        <w:rPr>
          <w:u w:val="single"/>
        </w:rPr>
        <w:t>3528</w:t>
      </w:r>
      <w:r w:rsidRPr="00E863C9">
        <w:tab/>
        <w:t>ДВИГАТЕЛЬ ВНУТРЕННЕГО СГОРАНИЯ, РАБОТАЮЩИЙ НА ЛЕГКОВОСПЛАМЕНЯЮЩЕЙСЯ ЖИДКОСТИ, или ДВИГАТЕЛЬ, РАБОТАЮЩИЙ НА ТОПЛИВНЫХ ЭЛЕМЕНТАХ, СОДЕРЖАЩИХ ЛЕГКОВОСПЛАМЕНЯЮЩУЮСЯ ЖИДКОСТЬ, или МАШИНА С ДВИГАТЕЛЕМ ВНУТРЕННЕГО СГОРАНИЯ, РАБОТАЮЩИМ НА ЛЕГКОВОСПЛАМЕНЯЮЩЕЙСЯ ЖИДКОСТИ, или МАШИНА, РАБОТАЮЩАЯ НА ТОПЛИВНЫХ ЭЛЕМЕНТАХ, СОДЕРЖАЩИХ ЛЕГКОВОСПЛАМЕНЯЮЩУЮСЯ ЖИДКОСТЬ</w:t>
      </w:r>
    </w:p>
    <w:p w:rsidR="00E863C9" w:rsidRPr="00E863C9" w:rsidRDefault="00E863C9" w:rsidP="00A5499C">
      <w:pPr>
        <w:pStyle w:val="SingleTxtGR"/>
        <w:ind w:left="1701" w:hanging="567"/>
      </w:pPr>
      <w:r w:rsidRPr="00E863C9">
        <w:rPr>
          <w:u w:val="single"/>
        </w:rPr>
        <w:t>3529</w:t>
      </w:r>
      <w:r w:rsidRPr="00E863C9">
        <w:tab/>
        <w:t>ДВИГАТЕЛЬ ВНУТРЕННЕГО СГОРАНИЯ, РАБОТАЮЩИЙ НА ЛЕГКО</w:t>
      </w:r>
      <w:r w:rsidR="007602F3">
        <w:t>-</w:t>
      </w:r>
      <w:r w:rsidRPr="00E863C9">
        <w:t>ВОСПЛАМЕНЯЮЩЕМСЯ ГАЗЕ, или ДВИГАТЕЛЬ, РАБОТАЮЩИЙ НА ТОПЛИВНЫХ ЭЛЕМЕНТАХ, СОДЕРЖАЩИХ ЛЕГКОВОСПЛАМЕНЯ</w:t>
      </w:r>
      <w:r w:rsidR="007602F3">
        <w:t>-</w:t>
      </w:r>
      <w:r w:rsidRPr="00E863C9">
        <w:t>ЮЩИЙСЯ ГАЗ, или МАШИНА С ДВИГАТЕЛЕМ ВНУТРЕННЕГО СГОРАНИЯ, РАБОТАЮЩИМ НА ЛЕГКОВОСПЛАМЕНЯЮЩЕМСЯ ГАЗЕ, или МАШИНА, РАБОТАЮЩАЯ НА ТОПЛИВНЫХ ЭЛЕМЕНТАХ, СОДЕРЖАЩИХ ЛЕГКОВОСПЛАМЕНЯЮЩИЙСЯ ГАЗ</w:t>
      </w:r>
    </w:p>
    <w:p w:rsidR="00E863C9" w:rsidRPr="00E863C9" w:rsidRDefault="00E863C9" w:rsidP="00A5499C">
      <w:pPr>
        <w:pStyle w:val="SingleTxtGR"/>
        <w:ind w:left="1701" w:hanging="567"/>
      </w:pPr>
      <w:r w:rsidRPr="00E863C9">
        <w:rPr>
          <w:u w:val="single"/>
        </w:rPr>
        <w:t>3530</w:t>
      </w:r>
      <w:r w:rsidRPr="00E863C9">
        <w:t xml:space="preserve"> </w:t>
      </w:r>
      <w:r w:rsidRPr="00E863C9">
        <w:tab/>
        <w:t>ДВИГАТЕЛЬ ВНУТРЕННЕГО СГОРАНИЯ или МАШИНА С ДВИГА</w:t>
      </w:r>
      <w:r w:rsidR="007602F3">
        <w:t>-</w:t>
      </w:r>
      <w:r w:rsidRPr="00E863C9">
        <w:t>ТЕЛЕМ ВНУТРЕННЕГО СГОРАНИЯ</w:t>
      </w:r>
    </w:p>
    <w:p w:rsidR="00E863C9" w:rsidRPr="00E863C9" w:rsidRDefault="00E863C9" w:rsidP="00A5499C">
      <w:pPr>
        <w:pStyle w:val="SingleTxtGR"/>
        <w:ind w:left="1701" w:hanging="567"/>
      </w:pPr>
      <w:r w:rsidRPr="00E863C9">
        <w:rPr>
          <w:u w:val="single"/>
        </w:rPr>
        <w:t>3166</w:t>
      </w:r>
      <w:r w:rsidRPr="00E863C9">
        <w:t xml:space="preserve"> </w:t>
      </w:r>
      <w:r w:rsidRPr="00E863C9">
        <w:tab/>
        <w:t>ТРАНСПОРТНОЕ СРЕДСТВО, РАБОТАЮЩЕЕ НА ЛЕГКОВОСПЛА</w:t>
      </w:r>
      <w:r w:rsidR="007602F3">
        <w:t>-</w:t>
      </w:r>
      <w:r w:rsidRPr="00E863C9">
        <w:t>МЕНЯЮЩЕМСЯ ГАЗЕ, или ТРАНСПОРТНОЕ СРЕДСТВО, РАБО</w:t>
      </w:r>
      <w:r w:rsidR="007602F3">
        <w:t>-</w:t>
      </w:r>
      <w:r w:rsidRPr="00E863C9">
        <w:t>ТАЮЩЕЕ НА ЛЕГКОВОСПЛАМЕНЯЮЩЕЙСЯ ЖИДКОСТИ, или ТРАНСПОРТНОЕ СРЕДСТВО, РАБОТАЮЩЕЕ НА ТОПЛИВНЫХ ЭЛЕМЕНТАХ, СОДЕРЖАЩИХ ЛЕГКОВОСПЛАМЕНЯЮЩИЙСЯ ГАЗ, или ТРАНСПОРТНОЕ СРЕДСТВО, РАБОТАЮЩЕЕ НА ТОПЛИВНЫХ ЭЛЕМЕНТАХ, СОДЕРЖАЩИХ ЛЕГКОВОСПЛАМЕНЯЮЩУЮСЯ ЖИДКОСТЬ</w:t>
      </w:r>
    </w:p>
    <w:p w:rsidR="00E863C9" w:rsidRPr="00E863C9" w:rsidRDefault="00E863C9" w:rsidP="00A5499C">
      <w:pPr>
        <w:pStyle w:val="SingleTxtGR"/>
        <w:ind w:left="1701" w:hanging="567"/>
      </w:pPr>
      <w:r w:rsidRPr="00E863C9">
        <w:rPr>
          <w:u w:val="single"/>
        </w:rPr>
        <w:t>3171</w:t>
      </w:r>
      <w:r w:rsidRPr="00E863C9">
        <w:tab/>
        <w:t>ОБОРУДОВАНИЕ, РАБОТАЮЩЕЕ НА АККУМУЛЯТОРНЫХ БАТАРЕ</w:t>
      </w:r>
      <w:r w:rsidR="009D5BDA">
        <w:t>-</w:t>
      </w:r>
      <w:r w:rsidRPr="00E863C9">
        <w:t>ЯХ, или ТРАНСПОРТНОЕ СРЕДСТВО, РАБОТАЮЩЕЕ НА АККУМУ</w:t>
      </w:r>
      <w:r w:rsidR="009D5BDA">
        <w:t>-</w:t>
      </w:r>
      <w:r w:rsidRPr="00E863C9">
        <w:t>ЛЯТОРНЫХ БАТАРЕЯХ</w:t>
      </w:r>
      <w:r w:rsidR="00FF5203">
        <w:t>.</w:t>
      </w:r>
    </w:p>
    <w:p w:rsidR="00E863C9" w:rsidRPr="00E863C9" w:rsidRDefault="00E863C9" w:rsidP="00A5499C">
      <w:pPr>
        <w:pStyle w:val="SingleTxtGR"/>
        <w:ind w:firstLine="567"/>
      </w:pPr>
      <w:r w:rsidRPr="00E863C9">
        <w:t>b)</w:t>
      </w:r>
      <w:r w:rsidRPr="00E863C9">
        <w:tab/>
        <w:t>Двигатели внутреннего сгорания, двигатели, работающие на топливных элементах, машины, оборудованные такими двигателями, транспортные средства, работающие на топливных элементах или на легковоспламеняющихся жидкостях или легковоспламеняющихся газах, а также транспортные средства и оборудование, работающие на аккумуляторных батареях, отнесены к тому или иному номеру ООН в таблице А; таким образом, в случае транспортировки в качестве груза они являются опасными грузами.</w:t>
      </w:r>
    </w:p>
    <w:p w:rsidR="00E863C9" w:rsidRPr="00E863C9" w:rsidRDefault="00E863C9" w:rsidP="00A5499C">
      <w:pPr>
        <w:pStyle w:val="SingleTxtGR"/>
        <w:ind w:firstLine="567"/>
      </w:pPr>
      <w:r w:rsidRPr="00E863C9">
        <w:t>c)</w:t>
      </w:r>
      <w:r w:rsidRPr="00E863C9">
        <w:tab/>
        <w:t>Этим позициям назначены специальные положения 240, 312, 363, 385, 666 и 667, в которых приведены примеры соответствующих транспортных средств и оборудования и определены условия, при которых перевозка не подпадает под действие каких-либо других положений ВОПОГ, кроме соответствующего специального положения.</w:t>
      </w:r>
    </w:p>
    <w:p w:rsidR="00E863C9" w:rsidRPr="00E863C9" w:rsidRDefault="00E863C9" w:rsidP="00E863C9">
      <w:pPr>
        <w:pStyle w:val="SingleTxtGR"/>
      </w:pPr>
      <w:r w:rsidRPr="00E863C9">
        <w:t>2.</w:t>
      </w:r>
      <w:r w:rsidRPr="00E863C9">
        <w:tab/>
        <w:t xml:space="preserve">Подраздел 1.1.3.3 ВОПОГ в настоящее время предусматривает весьма широкие изъятия и охватывает как </w:t>
      </w:r>
      <w:r w:rsidR="00E17EAC">
        <w:t>«</w:t>
      </w:r>
      <w:r w:rsidRPr="00E863C9">
        <w:t>перевозимые транспортные средства</w:t>
      </w:r>
      <w:r w:rsidR="00E17EAC">
        <w:t>»</w:t>
      </w:r>
      <w:r w:rsidRPr="00E863C9">
        <w:t xml:space="preserve">, так и </w:t>
      </w:r>
      <w:r w:rsidR="00E17EAC">
        <w:t>«</w:t>
      </w:r>
      <w:r w:rsidRPr="00E863C9">
        <w:t>перевозимую внедорожную подвижную технику</w:t>
      </w:r>
      <w:r w:rsidR="00E17EAC">
        <w:t>»</w:t>
      </w:r>
      <w:r w:rsidRPr="00E863C9">
        <w:t>.</w:t>
      </w:r>
    </w:p>
    <w:p w:rsidR="00E863C9" w:rsidRPr="00E863C9" w:rsidRDefault="00E863C9" w:rsidP="00E863C9">
      <w:pPr>
        <w:pStyle w:val="SingleTxtGR"/>
      </w:pPr>
      <w:r w:rsidRPr="00E863C9">
        <w:t>3.</w:t>
      </w:r>
      <w:r w:rsidRPr="00E863C9">
        <w:tab/>
        <w:t>Начиная с 2017 года спасательные шлюпки, упоминаемые в подразделе</w:t>
      </w:r>
      <w:r w:rsidR="007602F3">
        <w:t> </w:t>
      </w:r>
      <w:r w:rsidRPr="00E863C9">
        <w:t>7.2.3.29 и требующиеся в соответствии с правилами, указанными в подразделе 1.1.4.6 ВОПОГ, будут относиться к № ООН 3166 в том случае, если они оборудованы соответствующей двигательной установкой.</w:t>
      </w:r>
    </w:p>
    <w:p w:rsidR="00E863C9" w:rsidRPr="00E863C9" w:rsidRDefault="00E863C9" w:rsidP="00E863C9">
      <w:pPr>
        <w:pStyle w:val="SingleTxtGR"/>
      </w:pPr>
      <w:r w:rsidRPr="00E863C9">
        <w:lastRenderedPageBreak/>
        <w:t>4.</w:t>
      </w:r>
      <w:r w:rsidRPr="00E863C9">
        <w:tab/>
        <w:t>Из пункта 7.2.3.31.2 ВОПОГ следует, что перевозка на борту танкеров механических перевозочных средств, таких как легковые автомобили и моторные катера, в принципе возможна, но на сегодняшний день закрепленные в ВОПОГ требования, касающиеся перевозки, на них не распространяются.</w:t>
      </w:r>
    </w:p>
    <w:p w:rsidR="00E863C9" w:rsidRPr="00E863C9" w:rsidRDefault="00E863C9" w:rsidP="00E17EAC">
      <w:pPr>
        <w:pStyle w:val="HChGR"/>
      </w:pPr>
      <w:r w:rsidRPr="00E863C9">
        <w:tab/>
      </w:r>
      <w:r w:rsidRPr="00E863C9">
        <w:tab/>
        <w:t>Предлагаемое толкование</w:t>
      </w:r>
    </w:p>
    <w:p w:rsidR="00E863C9" w:rsidRPr="00E863C9" w:rsidRDefault="00E863C9" w:rsidP="00E863C9">
      <w:pPr>
        <w:pStyle w:val="SingleTxtGR"/>
      </w:pPr>
      <w:r w:rsidRPr="00E863C9">
        <w:t>5.</w:t>
      </w:r>
      <w:r w:rsidRPr="00E863C9">
        <w:tab/>
        <w:t>Делегация Германии считает приемлемым следующее толкование и предлагает Комитету по вопросам безопасности подробно обсудить соответствующие вопросы в рамках специальной неофициальной рабочей группы. При необходимости на основе достигнутого решения может быть внесено предложение о поправках для включения в ВОПОГ 2019 года.</w:t>
      </w:r>
    </w:p>
    <w:p w:rsidR="00E863C9" w:rsidRPr="00E863C9" w:rsidRDefault="00E863C9" w:rsidP="00A5499C">
      <w:pPr>
        <w:pStyle w:val="SingleTxtGR"/>
        <w:ind w:firstLine="567"/>
      </w:pPr>
      <w:r w:rsidRPr="00E863C9">
        <w:t>a)</w:t>
      </w:r>
      <w:r w:rsidRPr="00E863C9">
        <w:tab/>
        <w:t>Для моторных спасательных шлюпок:</w:t>
      </w:r>
    </w:p>
    <w:p w:rsidR="00E863C9" w:rsidRPr="00E863C9" w:rsidRDefault="00E17EAC" w:rsidP="00E17EAC">
      <w:pPr>
        <w:pStyle w:val="SingleTxtGR"/>
        <w:ind w:left="1701"/>
      </w:pPr>
      <w:r>
        <w:tab/>
      </w:r>
      <w:r w:rsidR="00E863C9" w:rsidRPr="00E863C9">
        <w:t>Спасательные шлюпки и аварийно-спасательные суда, которые требуются в соответствии с подразделом 1.1.4.6 ВОПОГ и могут быть использованы как средство для эвакуации согласно подразделам 7.1.4.77 и</w:t>
      </w:r>
      <w:r>
        <w:t> </w:t>
      </w:r>
      <w:r w:rsidR="00E863C9" w:rsidRPr="00E863C9">
        <w:t xml:space="preserve">7.2.4.77, должны быть отнесены к № ООН 3166, если они оснащены электрическим двигателем или двигателем внутреннего сгорания. В их отношении применяются изъятия, предусмотренные четвертым подпунктом подраздела 1.1.3.3 ВОПОГ – </w:t>
      </w:r>
      <w:r>
        <w:t>«</w:t>
      </w:r>
      <w:r w:rsidR="00E863C9" w:rsidRPr="00E863C9">
        <w:t>опасные грузы, используемые для обеспечения безопасности</w:t>
      </w:r>
      <w:r>
        <w:t>»</w:t>
      </w:r>
      <w:r w:rsidR="00E863C9" w:rsidRPr="00E863C9">
        <w:t>. Шлюпки и аварийно-спасательные суда служат для обеспечения безопасности экипажа. К ним не должны применяться требования специальных положений, действующих в отношении позиций под №</w:t>
      </w:r>
      <w:r>
        <w:t xml:space="preserve"> </w:t>
      </w:r>
      <w:r w:rsidR="00E863C9" w:rsidRPr="00E863C9">
        <w:t>ООН 3166 и 3171.</w:t>
      </w:r>
    </w:p>
    <w:p w:rsidR="00E863C9" w:rsidRPr="00E863C9" w:rsidRDefault="00E863C9" w:rsidP="00A5499C">
      <w:pPr>
        <w:pStyle w:val="SingleTxtGR"/>
        <w:ind w:firstLine="567"/>
      </w:pPr>
      <w:r w:rsidRPr="00E863C9">
        <w:t>b)</w:t>
      </w:r>
      <w:r w:rsidRPr="00E863C9">
        <w:tab/>
        <w:t>По мнению делегации Германии, это же касается отнесенного к</w:t>
      </w:r>
      <w:r w:rsidR="007602F3">
        <w:t> </w:t>
      </w:r>
      <w:r w:rsidRPr="00E863C9">
        <w:t xml:space="preserve">№ ООН 3171 оборудования, работающего на аккумуляторных батареях, которое используется, в частности, для измерения концентрации взрывоопасных газов или атмосферы на борту судов. </w:t>
      </w:r>
    </w:p>
    <w:p w:rsidR="00E863C9" w:rsidRPr="00E863C9" w:rsidRDefault="00E863C9" w:rsidP="00A5499C">
      <w:pPr>
        <w:pStyle w:val="SingleTxtGR"/>
        <w:ind w:firstLine="567"/>
      </w:pPr>
      <w:r w:rsidRPr="00E863C9">
        <w:t>c)</w:t>
      </w:r>
      <w:r w:rsidRPr="00E863C9">
        <w:tab/>
        <w:t>Согласно специальному положению 240, в том случае, если такое оборудование работает на литий-металлических или литий-ионных аккумуляторных батареях, оно должно быть отнесено к другим номерам ООН. Делегация Германии считает, что в данном случае применимо изъятие, предусмотренное в пункте 1.1.3.7 b) ВОПОГ.</w:t>
      </w:r>
    </w:p>
    <w:p w:rsidR="00E863C9" w:rsidRPr="00E863C9" w:rsidRDefault="00E863C9" w:rsidP="00A5499C">
      <w:pPr>
        <w:pStyle w:val="SingleTxtGR"/>
        <w:ind w:firstLine="567"/>
      </w:pPr>
      <w:r w:rsidRPr="00E863C9">
        <w:t>d)</w:t>
      </w:r>
      <w:r w:rsidRPr="00E863C9">
        <w:tab/>
        <w:t>Для легковых автомобилей, мотоциклов, электровелосипедов и т.д., взятых экипажем на борт в качестве личного транспорта:</w:t>
      </w:r>
    </w:p>
    <w:p w:rsidR="00E863C9" w:rsidRPr="00E863C9" w:rsidRDefault="00E863C9" w:rsidP="00E17EAC">
      <w:pPr>
        <w:pStyle w:val="SingleTxtGR"/>
        <w:ind w:left="1701" w:hanging="567"/>
      </w:pPr>
      <w:r w:rsidRPr="00E863C9">
        <w:tab/>
      </w:r>
      <w:r w:rsidRPr="00E863C9">
        <w:tab/>
        <w:t>В данном случае применяются изъятия, закрепленные в пункте</w:t>
      </w:r>
      <w:r w:rsidR="00FF5203">
        <w:t> </w:t>
      </w:r>
      <w:r w:rsidRPr="00E863C9">
        <w:t>1.1.3.1 а) ВОПОГ, при условии, что приняты меры для предотвращения любой утечки опасных веществ, содержащихся в топливных баках или, соответственно, топливных элементах указанных транспортных средств. Упаковка для розничной продажи при этом не требуется, так как такого рода товары перевозятся для розничной торговли без упаковки. Это относится к перевозке как на танкерах, так и на сухогрузных судах.</w:t>
      </w:r>
    </w:p>
    <w:p w:rsidR="00E863C9" w:rsidRPr="00E863C9" w:rsidRDefault="00E863C9" w:rsidP="00A5499C">
      <w:pPr>
        <w:pStyle w:val="SingleTxtGR"/>
        <w:ind w:firstLine="567"/>
      </w:pPr>
      <w:r w:rsidRPr="00E863C9">
        <w:t>e)</w:t>
      </w:r>
      <w:r w:rsidRPr="00E863C9">
        <w:tab/>
        <w:t>По мнению делегации Германии, прибор контроля загрузки (аппаратное обеспечение), о котором говорится в пункте 9.3.х.13.3 ВОПОГ, как правило, работает на батареях и аккумуляторных батареях и также должен подпадать под специальное изъятие, предусмотренное в пункте 1.1.3.7 b) ВОПОГ.</w:t>
      </w:r>
    </w:p>
    <w:p w:rsidR="00E863C9" w:rsidRPr="00E863C9" w:rsidRDefault="00E863C9" w:rsidP="00A5499C">
      <w:pPr>
        <w:pStyle w:val="SingleTxtGR"/>
        <w:ind w:firstLine="567"/>
      </w:pPr>
      <w:r w:rsidRPr="00E863C9">
        <w:t>f)</w:t>
      </w:r>
      <w:r w:rsidRPr="00E863C9">
        <w:tab/>
        <w:t>Для внедорожной техники, такой как земснаряды, подъемные краны и генераторы на рабочих судах и понтонах, которая не является частью судна или понтона:</w:t>
      </w:r>
    </w:p>
    <w:p w:rsidR="00E863C9" w:rsidRPr="00E863C9" w:rsidRDefault="00E863C9" w:rsidP="00E17EAC">
      <w:pPr>
        <w:pStyle w:val="SingleTxtGR"/>
        <w:ind w:left="1701" w:hanging="567"/>
      </w:pPr>
      <w:r w:rsidRPr="00E863C9">
        <w:tab/>
      </w:r>
      <w:r w:rsidRPr="00E863C9">
        <w:tab/>
        <w:t>В данном случае применяются изъятия, закрепленные в пункте</w:t>
      </w:r>
      <w:r w:rsidR="00E17EAC">
        <w:t> </w:t>
      </w:r>
      <w:r w:rsidRPr="00E863C9">
        <w:t>1.1.3.1 с) ВОПОГ, при условии, что приняты меры для предотвращения любой утечки опасных веществ, содержащихся в топливных баках или, соответственно, топливных элементах указанной внедорожной техники.</w:t>
      </w:r>
    </w:p>
    <w:p w:rsidR="00E863C9" w:rsidRPr="00E863C9" w:rsidRDefault="00E863C9" w:rsidP="00E863C9">
      <w:pPr>
        <w:pStyle w:val="SingleTxtGR"/>
      </w:pPr>
      <w:r w:rsidRPr="00E863C9">
        <w:t>6.</w:t>
      </w:r>
      <w:r w:rsidRPr="00E863C9">
        <w:tab/>
        <w:t>В случае если внедорожная техника перевозится, например на сухогрузных судах в качестве груза (при наличии транспортного поручения) из пункта изготовления в пункт дистрибуции или между двумя пунктами для использования строительными компаниями при проведении гидротехнических работ или органами управления водными путями, указанные выше изъятия не применяются.</w:t>
      </w:r>
    </w:p>
    <w:p w:rsidR="00E863C9" w:rsidRPr="00E863C9" w:rsidRDefault="00E863C9" w:rsidP="00E863C9">
      <w:pPr>
        <w:pStyle w:val="SingleTxtGR"/>
      </w:pPr>
      <w:r w:rsidRPr="00E863C9">
        <w:t>7.</w:t>
      </w:r>
      <w:r w:rsidRPr="00E863C9">
        <w:tab/>
        <w:t>В заключение Германия хотела бы отметить, что приведенные выше поправки могут также иметь последствия для пассажирских и круизных судов. Согласно специальному положению 240, электровелосипеды и другие транспортные средства этого типа (например, самоуравновешивающиеся транспортные средства и инвалидные коляски), которые нередко перевозятся на борту пассажирских и круизных судов, также относятся к транспортным средствам, которые теперь должны классифицироваться как опасные грузы.</w:t>
      </w:r>
    </w:p>
    <w:p w:rsidR="00E863C9" w:rsidRPr="00E863C9" w:rsidRDefault="00E863C9" w:rsidP="00E863C9">
      <w:pPr>
        <w:pStyle w:val="SingleTxtGR"/>
      </w:pPr>
      <w:r w:rsidRPr="00E863C9">
        <w:t>8.</w:t>
      </w:r>
      <w:r w:rsidRPr="00E863C9">
        <w:tab/>
        <w:t>Погрузка</w:t>
      </w:r>
      <w:r w:rsidRPr="00E17EAC">
        <w:rPr>
          <w:spacing w:val="2"/>
        </w:rPr>
        <w:t xml:space="preserve"> пассажирами личных электровелосипедов и инвалидных колясок должна подпадать под действие изъятия, предусмотренного </w:t>
      </w:r>
      <w:r w:rsidRPr="00E863C9">
        <w:t>пунктом 1.1.3.1 а) ВОПОГ.</w:t>
      </w:r>
    </w:p>
    <w:p w:rsidR="00E863C9" w:rsidRPr="00BC2CE2" w:rsidRDefault="00E863C9" w:rsidP="00E863C9">
      <w:pPr>
        <w:pStyle w:val="SingleTxtGR"/>
      </w:pPr>
      <w:r w:rsidRPr="00E863C9">
        <w:t>9.</w:t>
      </w:r>
      <w:r w:rsidRPr="00E863C9">
        <w:tab/>
        <w:t>Погрузка электровелосипедов, например оператором судна и их предоставление пассажирам в пользование</w:t>
      </w:r>
      <w:r w:rsidR="00E17EAC">
        <w:t>,</w:t>
      </w:r>
      <w:r w:rsidRPr="00E863C9">
        <w:t xml:space="preserve"> должно регулироваться упомянутыми выше специальными положениями. В этой связи большое значение имеет также пункт с) специального положения 666, касающийся требования об утверждении компетентным органом установленных на таких транспортных средствах систем хранения на основе металлгидридов.</w:t>
      </w:r>
    </w:p>
    <w:p w:rsidR="00E863C9" w:rsidRPr="00BC2CE2" w:rsidRDefault="00E863C9" w:rsidP="00E863C9">
      <w:pPr>
        <w:spacing w:before="240"/>
        <w:jc w:val="center"/>
        <w:rPr>
          <w:u w:val="single"/>
        </w:rPr>
      </w:pPr>
      <w:r w:rsidRPr="00BC2CE2">
        <w:rPr>
          <w:u w:val="single"/>
        </w:rPr>
        <w:tab/>
      </w:r>
      <w:r w:rsidRPr="00BC2CE2">
        <w:rPr>
          <w:u w:val="single"/>
        </w:rPr>
        <w:tab/>
      </w:r>
      <w:r w:rsidRPr="00BC2CE2">
        <w:rPr>
          <w:u w:val="single"/>
        </w:rPr>
        <w:tab/>
      </w:r>
    </w:p>
    <w:sectPr w:rsidR="00E863C9" w:rsidRPr="00BC2CE2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64" w:rsidRDefault="00BF1E64" w:rsidP="00B471C5">
      <w:r>
        <w:separator/>
      </w:r>
    </w:p>
  </w:endnote>
  <w:endnote w:type="continuationSeparator" w:id="0">
    <w:p w:rsidR="00BF1E64" w:rsidRDefault="00BF1E6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C2CE2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F1E64" w:rsidRPr="00BF1E64">
      <w:rPr>
        <w:lang w:val="en-US"/>
      </w:rPr>
      <w:t>19624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BF1E64" w:rsidRPr="00BF1E64">
      <w:rPr>
        <w:lang w:val="en-US"/>
      </w:rPr>
      <w:t>19624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C2CE2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BF1E64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BF1E64" w:rsidRPr="00BF1E64">
            <w:rPr>
              <w:lang w:val="en-US"/>
            </w:rPr>
            <w:t>19624</w:t>
          </w:r>
          <w:r w:rsidR="00BF1E64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BF1E64">
            <w:rPr>
              <w:lang w:val="en-US"/>
            </w:rPr>
            <w:t xml:space="preserve">  011216  011216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ABECB84" wp14:editId="34927B3E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BF1E64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28ECFC3" wp14:editId="6BC56EAA">
                <wp:extent cx="579755" cy="579755"/>
                <wp:effectExtent l="0" t="0" r="0" b="0"/>
                <wp:docPr id="3" name="Рисунок 3" descr="http://undocs.org/m2/QRCode.ashx?DS=ECE/TRANS/WP.15/AC.2/2017/1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7/1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F1E64" w:rsidRDefault="00BF1E6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F1E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F1E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F1E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F1E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F1E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F1E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F1E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F1E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F1E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64" w:rsidRPr="009141DC" w:rsidRDefault="00BF1E6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F1E64" w:rsidRPr="00D1261C" w:rsidRDefault="00BF1E6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863C9" w:rsidRPr="00E863C9" w:rsidRDefault="00E863C9">
      <w:pPr>
        <w:pStyle w:val="FootnoteText"/>
        <w:rPr>
          <w:sz w:val="20"/>
          <w:lang w:val="ru-RU"/>
        </w:rPr>
      </w:pPr>
      <w:r>
        <w:tab/>
      </w:r>
      <w:r w:rsidRPr="00E863C9">
        <w:rPr>
          <w:rStyle w:val="FootnoteReference"/>
          <w:sz w:val="20"/>
          <w:vertAlign w:val="baseline"/>
          <w:lang w:val="ru-RU"/>
        </w:rPr>
        <w:t>*</w:t>
      </w:r>
      <w:r w:rsidRPr="00E863C9">
        <w:rPr>
          <w:sz w:val="20"/>
          <w:lang w:val="ru-RU"/>
        </w:rPr>
        <w:t xml:space="preserve"> </w:t>
      </w:r>
      <w:r w:rsidRPr="00E863C9">
        <w:rPr>
          <w:lang w:val="ru-RU"/>
        </w:rPr>
        <w:tab/>
        <w:t>Распространено на немецком языке Центральной комиссией судоходства по Рейну под</w:t>
      </w:r>
      <w:r>
        <w:rPr>
          <w:lang w:val="en-US"/>
        </w:rPr>
        <w:t> </w:t>
      </w:r>
      <w:r w:rsidRPr="00E863C9">
        <w:rPr>
          <w:lang w:val="ru-RU"/>
        </w:rPr>
        <w:t>условным обозначением CCNR</w:t>
      </w:r>
      <w:r w:rsidR="00FF5203">
        <w:rPr>
          <w:lang w:val="ru-RU"/>
        </w:rPr>
        <w:t>-</w:t>
      </w:r>
      <w:r w:rsidRPr="00E863C9">
        <w:rPr>
          <w:lang w:val="ru-RU"/>
        </w:rPr>
        <w:t>ZKR/ADN/WP.15/AC.2/2017/12.</w:t>
      </w:r>
    </w:p>
  </w:footnote>
  <w:footnote w:id="2">
    <w:p w:rsidR="00E863C9" w:rsidRPr="00E863C9" w:rsidRDefault="00E863C9" w:rsidP="00E863C9">
      <w:pPr>
        <w:pStyle w:val="FootnoteText"/>
        <w:spacing w:after="120"/>
        <w:rPr>
          <w:lang w:val="ru-RU"/>
        </w:rPr>
      </w:pPr>
      <w:r w:rsidRPr="00E863C9">
        <w:rPr>
          <w:lang w:val="ru-RU"/>
        </w:rPr>
        <w:tab/>
      </w:r>
      <w:r w:rsidRPr="00E863C9">
        <w:rPr>
          <w:rStyle w:val="FootnoteReference"/>
          <w:sz w:val="20"/>
          <w:vertAlign w:val="baseline"/>
          <w:lang w:val="ru-RU"/>
        </w:rPr>
        <w:t>**</w:t>
      </w:r>
      <w:r w:rsidRPr="00E863C9">
        <w:rPr>
          <w:lang w:val="ru-RU"/>
        </w:rPr>
        <w:t xml:space="preserve"> </w:t>
      </w:r>
      <w:r w:rsidRPr="00E863C9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E863C9">
        <w:rPr>
          <w:lang w:val="ru-RU"/>
        </w:rPr>
        <w:br/>
        <w:t>на 2016–2017 годы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BF1E64" w:rsidRPr="00BF1E64">
      <w:rPr>
        <w:lang w:val="en-US"/>
      </w:rPr>
      <w:t>TRANS/WP.15/AC.2/2017/12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BF1E64" w:rsidRPr="00BF1E64">
      <w:rPr>
        <w:lang w:val="en-US"/>
      </w:rPr>
      <w:t>TRANS/WP.15/AC.2/2017/12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64" w:rsidRDefault="00BF1E64" w:rsidP="00BF1E6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64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4F5507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2F3"/>
    <w:rsid w:val="00760D3A"/>
    <w:rsid w:val="00773BA8"/>
    <w:rsid w:val="007A1F42"/>
    <w:rsid w:val="007D76DD"/>
    <w:rsid w:val="008717E8"/>
    <w:rsid w:val="008A4649"/>
    <w:rsid w:val="008D01AE"/>
    <w:rsid w:val="008E0423"/>
    <w:rsid w:val="009141DC"/>
    <w:rsid w:val="009174A1"/>
    <w:rsid w:val="0098674D"/>
    <w:rsid w:val="00997ACA"/>
    <w:rsid w:val="009D5BDA"/>
    <w:rsid w:val="00A03FB7"/>
    <w:rsid w:val="00A5499C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C2CE2"/>
    <w:rsid w:val="00BE1742"/>
    <w:rsid w:val="00BF1E64"/>
    <w:rsid w:val="00D1261C"/>
    <w:rsid w:val="00D26030"/>
    <w:rsid w:val="00D75DCE"/>
    <w:rsid w:val="00DD35AC"/>
    <w:rsid w:val="00DD479F"/>
    <w:rsid w:val="00E15E48"/>
    <w:rsid w:val="00E17EAC"/>
    <w:rsid w:val="00E22ECB"/>
    <w:rsid w:val="00E863C9"/>
    <w:rsid w:val="00EB0723"/>
    <w:rsid w:val="00EB2957"/>
    <w:rsid w:val="00EE6F37"/>
    <w:rsid w:val="00F1599F"/>
    <w:rsid w:val="00F31EF2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66F9A9-8F44-4849-AEC5-772658F7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6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8D10-1D3A-4955-8429-B8C0B857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Lucille</cp:lastModifiedBy>
  <cp:revision>2</cp:revision>
  <cp:lastPrinted>2016-12-01T11:11:00Z</cp:lastPrinted>
  <dcterms:created xsi:type="dcterms:W3CDTF">2016-12-02T08:50:00Z</dcterms:created>
  <dcterms:modified xsi:type="dcterms:W3CDTF">2016-12-02T08:50:00Z</dcterms:modified>
</cp:coreProperties>
</file>