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2518224A" wp14:editId="29E830F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752A6D">
        <w:rPr>
          <w:rFonts w:ascii="Arial" w:eastAsia="Arial" w:hAnsi="Arial" w:cs="Arial"/>
          <w:bCs/>
          <w:snapToGrid/>
          <w:szCs w:val="24"/>
          <w:lang w:val="en-US" w:eastAsia="de-DE"/>
        </w:rPr>
        <w:t>24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752A6D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24</w:t>
      </w:r>
      <w:r w:rsidR="00C91D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Mai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752A6D">
        <w:rPr>
          <w:rFonts w:ascii="Arial" w:hAnsi="Arial" w:cs="Arial"/>
          <w:snapToGrid/>
          <w:sz w:val="16"/>
          <w:szCs w:val="16"/>
          <w:lang w:val="de-DE" w:eastAsia="en-US"/>
        </w:rPr>
        <w:t>4 b)</w:t>
      </w:r>
      <w:r w:rsidRPr="002D550A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="00EE1D86"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2D550A" w:rsidRDefault="00DC4C63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C91DE4" w:rsidRDefault="00C91DE4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46353C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8623E4" w:rsidRPr="002D550A" w:rsidRDefault="009F0D42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453575">
        <w:rPr>
          <w:b/>
          <w:bCs/>
          <w:snapToGrid/>
          <w:sz w:val="28"/>
          <w:szCs w:val="24"/>
          <w:lang w:val="de-DE"/>
        </w:rPr>
        <w:tab/>
      </w:r>
      <w:r w:rsidRPr="00453575">
        <w:rPr>
          <w:b/>
          <w:bCs/>
          <w:snapToGrid/>
          <w:sz w:val="28"/>
          <w:szCs w:val="24"/>
          <w:lang w:val="de-DE"/>
        </w:rPr>
        <w:tab/>
      </w:r>
      <w:r w:rsidR="00F30F09">
        <w:rPr>
          <w:b/>
          <w:bCs/>
          <w:snapToGrid/>
          <w:sz w:val="28"/>
          <w:szCs w:val="24"/>
          <w:lang w:val="de-DE"/>
        </w:rPr>
        <w:t xml:space="preserve">Unterabschnitt </w:t>
      </w:r>
      <w:r w:rsidR="001923DA">
        <w:rPr>
          <w:b/>
          <w:bCs/>
          <w:snapToGrid/>
          <w:sz w:val="28"/>
          <w:szCs w:val="24"/>
          <w:lang w:val="de-DE"/>
        </w:rPr>
        <w:t>7.2.4.9 ADN</w:t>
      </w:r>
      <w:r w:rsidR="00F30F09">
        <w:rPr>
          <w:b/>
          <w:bCs/>
          <w:snapToGrid/>
          <w:sz w:val="28"/>
          <w:szCs w:val="24"/>
          <w:lang w:val="de-DE"/>
        </w:rPr>
        <w:t xml:space="preserve"> – </w:t>
      </w:r>
      <w:r w:rsidR="001923DA">
        <w:rPr>
          <w:b/>
          <w:bCs/>
          <w:snapToGrid/>
          <w:sz w:val="28"/>
          <w:szCs w:val="24"/>
          <w:lang w:val="de-DE"/>
        </w:rPr>
        <w:t>Umladen</w:t>
      </w:r>
    </w:p>
    <w:p w:rsidR="00EE1D86" w:rsidRPr="003A5281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2D550A">
        <w:rPr>
          <w:b/>
          <w:snapToGrid/>
          <w:sz w:val="24"/>
          <w:lang w:val="de-DE"/>
        </w:rPr>
        <w:tab/>
      </w:r>
      <w:r w:rsidRPr="002D550A">
        <w:rPr>
          <w:b/>
          <w:snapToGrid/>
          <w:sz w:val="24"/>
          <w:lang w:val="de-DE"/>
        </w:rPr>
        <w:tab/>
      </w:r>
      <w:r w:rsidR="00EE1D86" w:rsidRPr="003A5281">
        <w:rPr>
          <w:b/>
          <w:snapToGrid/>
          <w:sz w:val="24"/>
          <w:lang w:val="de-DE"/>
        </w:rPr>
        <w:t>Vorgelegt von Deutschland</w:t>
      </w:r>
      <w:r w:rsidR="00EE1D86" w:rsidRPr="00FF2FF5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FF2FF5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right="567"/>
        <w:jc w:val="both"/>
        <w:textAlignment w:val="baseline"/>
        <w:rPr>
          <w:bCs/>
          <w:snapToGrid/>
          <w:sz w:val="22"/>
          <w:szCs w:val="18"/>
          <w:lang w:val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FD5786" w:rsidRPr="001923DA" w:rsidTr="00022E31">
        <w:trPr>
          <w:jc w:val="center"/>
        </w:trPr>
        <w:tc>
          <w:tcPr>
            <w:tcW w:w="2835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804" w:type="dxa"/>
          </w:tcPr>
          <w:p w:rsidR="00FD5786" w:rsidRPr="00FD5786" w:rsidRDefault="00FD5786" w:rsidP="00FD57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FD5786" w:rsidRPr="00752A6D" w:rsidTr="00022E31">
        <w:trPr>
          <w:jc w:val="center"/>
        </w:trPr>
        <w:tc>
          <w:tcPr>
            <w:tcW w:w="2835" w:type="dxa"/>
          </w:tcPr>
          <w:p w:rsidR="00FD5786" w:rsidRPr="00FD5786" w:rsidRDefault="00FD5786" w:rsidP="00C91DE4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Analytische</w:t>
            </w:r>
            <w:r w:rsidR="00C91DE4">
              <w:rPr>
                <w:b/>
                <w:snapToGrid/>
                <w:color w:val="000000"/>
                <w:lang w:val="de-DE" w:eastAsia="en-US"/>
              </w:rPr>
              <w:t xml:space="preserve"> </w:t>
            </w:r>
            <w:r w:rsidRPr="00FD5786">
              <w:rPr>
                <w:b/>
                <w:snapToGrid/>
                <w:color w:val="000000"/>
                <w:lang w:val="de-DE" w:eastAsia="en-US"/>
              </w:rPr>
              <w:t>Zusammenfassung:</w:t>
            </w:r>
          </w:p>
        </w:tc>
        <w:tc>
          <w:tcPr>
            <w:tcW w:w="6804" w:type="dxa"/>
          </w:tcPr>
          <w:p w:rsidR="00FD5786" w:rsidRPr="00FD5786" w:rsidRDefault="00FD2777" w:rsidP="004841E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snapToGrid/>
                <w:color w:val="000000"/>
                <w:lang w:val="de-DE" w:eastAsia="en-US"/>
              </w:rPr>
              <w:t>Es bestehen Unsicherheiten bei der Anwendung des Unterabschnitts 7.2.4.9 ADN auf das Umladen zwischen Ladetanks von zwei Bunkerbooten.</w:t>
            </w:r>
          </w:p>
        </w:tc>
      </w:tr>
      <w:tr w:rsidR="00FD5786" w:rsidRPr="001923DA" w:rsidTr="00022E31">
        <w:trPr>
          <w:jc w:val="center"/>
        </w:trPr>
        <w:tc>
          <w:tcPr>
            <w:tcW w:w="2835" w:type="dxa"/>
          </w:tcPr>
          <w:p w:rsidR="00FD5786" w:rsidRPr="00FD5786" w:rsidRDefault="00FD5786" w:rsidP="00C91DE4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Zu ergreifende</w:t>
            </w:r>
            <w:r w:rsidR="00C91DE4">
              <w:rPr>
                <w:b/>
                <w:snapToGrid/>
                <w:color w:val="000000"/>
                <w:lang w:val="de-DE" w:eastAsia="en-US"/>
              </w:rPr>
              <w:t xml:space="preserve"> </w:t>
            </w:r>
            <w:r w:rsidRPr="00FD5786">
              <w:rPr>
                <w:b/>
                <w:snapToGrid/>
                <w:color w:val="000000"/>
                <w:lang w:val="de-DE" w:eastAsia="en-US"/>
              </w:rPr>
              <w:t>Maßnahme:</w:t>
            </w:r>
          </w:p>
        </w:tc>
        <w:tc>
          <w:tcPr>
            <w:tcW w:w="6804" w:type="dxa"/>
          </w:tcPr>
          <w:p w:rsidR="00FD5786" w:rsidRPr="00FD5786" w:rsidRDefault="001F445F" w:rsidP="001923D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 xml:space="preserve">Ergänzung einer </w:t>
            </w:r>
            <w:r w:rsidR="001923DA">
              <w:rPr>
                <w:bCs/>
                <w:snapToGrid/>
                <w:color w:val="000000"/>
                <w:lang w:val="de-DE"/>
              </w:rPr>
              <w:t>2. Bemerkung</w:t>
            </w:r>
            <w:r>
              <w:rPr>
                <w:bCs/>
                <w:snapToGrid/>
                <w:color w:val="000000"/>
                <w:lang w:val="de-DE"/>
              </w:rPr>
              <w:t xml:space="preserve"> am Ende von </w:t>
            </w:r>
            <w:r w:rsidR="001923DA">
              <w:rPr>
                <w:bCs/>
                <w:snapToGrid/>
                <w:color w:val="000000"/>
                <w:lang w:val="de-DE"/>
              </w:rPr>
              <w:t xml:space="preserve">Unterabschnitt 7.2.4.9 </w:t>
            </w:r>
            <w:r>
              <w:rPr>
                <w:bCs/>
                <w:snapToGrid/>
                <w:color w:val="000000"/>
                <w:lang w:val="de-DE"/>
              </w:rPr>
              <w:t>ADN.</w:t>
            </w:r>
            <w:r w:rsidR="00FD2777">
              <w:rPr>
                <w:bCs/>
                <w:snapToGrid/>
                <w:color w:val="000000"/>
                <w:lang w:val="de-DE"/>
              </w:rPr>
              <w:t xml:space="preserve"> Ergänzung von Absatz 7.2.4.7.2 ADN bezüglich der Übergabe von Schiffsbetriebsstoffen.</w:t>
            </w:r>
          </w:p>
        </w:tc>
      </w:tr>
      <w:tr w:rsidR="00FD5786" w:rsidRPr="001923DA" w:rsidTr="00022E31">
        <w:trPr>
          <w:jc w:val="center"/>
        </w:trPr>
        <w:tc>
          <w:tcPr>
            <w:tcW w:w="2835" w:type="dxa"/>
          </w:tcPr>
          <w:p w:rsidR="00FD5786" w:rsidRPr="00FD5786" w:rsidRDefault="00FD5786" w:rsidP="00FD578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textAlignment w:val="baseline"/>
              <w:rPr>
                <w:b/>
                <w:snapToGrid/>
                <w:color w:val="000000"/>
                <w:lang w:val="de-DE" w:eastAsia="en-US"/>
              </w:rPr>
            </w:pPr>
            <w:r w:rsidRPr="00FD5786">
              <w:rPr>
                <w:b/>
                <w:snapToGrid/>
                <w:color w:val="000000"/>
                <w:lang w:val="de-DE" w:eastAsia="en-US"/>
              </w:rPr>
              <w:t>Verbundene Dokumente:</w:t>
            </w:r>
          </w:p>
        </w:tc>
        <w:tc>
          <w:tcPr>
            <w:tcW w:w="6804" w:type="dxa"/>
          </w:tcPr>
          <w:p w:rsidR="00906C0C" w:rsidRPr="001923DA" w:rsidRDefault="001923DA" w:rsidP="00FD277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right="567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>
              <w:rPr>
                <w:bCs/>
                <w:snapToGrid/>
                <w:color w:val="000000"/>
                <w:lang w:val="de-DE"/>
              </w:rPr>
              <w:t>Keine</w:t>
            </w:r>
          </w:p>
        </w:tc>
      </w:tr>
    </w:tbl>
    <w:p w:rsidR="00B83204" w:rsidRPr="001923DA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752A6D" w:rsidRDefault="00752A6D">
      <w:pPr>
        <w:suppressAutoHyphens w:val="0"/>
        <w:spacing w:line="240" w:lineRule="auto"/>
        <w:rPr>
          <w:b/>
          <w:bCs/>
          <w:snapToGrid/>
          <w:sz w:val="24"/>
          <w:szCs w:val="24"/>
          <w:lang w:val="de-DE"/>
        </w:rPr>
      </w:pPr>
      <w:r>
        <w:rPr>
          <w:b/>
          <w:bCs/>
          <w:snapToGrid/>
          <w:sz w:val="24"/>
          <w:szCs w:val="24"/>
          <w:lang w:val="de-DE"/>
        </w:rPr>
        <w:br w:type="page"/>
      </w:r>
    </w:p>
    <w:p w:rsidR="00FD5786" w:rsidRPr="00852F91" w:rsidRDefault="00B83204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sz w:val="24"/>
          <w:szCs w:val="24"/>
          <w:lang w:val="de-DE"/>
        </w:rPr>
      </w:pPr>
      <w:r w:rsidRPr="00852F91">
        <w:rPr>
          <w:b/>
          <w:bCs/>
          <w:snapToGrid/>
          <w:sz w:val="24"/>
          <w:szCs w:val="24"/>
          <w:lang w:val="de-DE"/>
        </w:rPr>
        <w:lastRenderedPageBreak/>
        <w:t>I.</w:t>
      </w:r>
      <w:r w:rsidRPr="00852F91">
        <w:rPr>
          <w:b/>
          <w:bCs/>
          <w:snapToGrid/>
          <w:sz w:val="24"/>
          <w:szCs w:val="24"/>
          <w:lang w:val="de-DE"/>
        </w:rPr>
        <w:tab/>
      </w:r>
      <w:r w:rsidR="00FD5786" w:rsidRPr="00852F91">
        <w:rPr>
          <w:b/>
          <w:bCs/>
          <w:snapToGrid/>
          <w:sz w:val="24"/>
          <w:szCs w:val="24"/>
          <w:lang w:val="de-DE"/>
        </w:rPr>
        <w:t>Einleitung</w:t>
      </w:r>
    </w:p>
    <w:p w:rsidR="00FD5786" w:rsidRPr="00852F91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  <w:snapToGrid/>
          <w:lang w:val="de-DE"/>
        </w:rPr>
      </w:pPr>
    </w:p>
    <w:p w:rsidR="003F1667" w:rsidRDefault="00190DF3" w:rsidP="00ED690C">
      <w:pPr>
        <w:rPr>
          <w:szCs w:val="22"/>
          <w:lang w:val="de-DE"/>
        </w:rPr>
      </w:pPr>
      <w:r>
        <w:rPr>
          <w:szCs w:val="22"/>
          <w:lang w:val="de-DE"/>
        </w:rPr>
        <w:t>1.</w:t>
      </w:r>
      <w:r>
        <w:rPr>
          <w:szCs w:val="22"/>
          <w:lang w:val="de-DE"/>
        </w:rPr>
        <w:tab/>
      </w:r>
      <w:r w:rsidR="001923DA">
        <w:rPr>
          <w:szCs w:val="22"/>
          <w:lang w:val="de-DE"/>
        </w:rPr>
        <w:t>Unterabschnitt 7.2.4.9 ADN sieht ein Verbot mit Genehmigungsvorbehalt für das Umladen von gefährlichen Gütern von einem Schiff in ein anderes Schiff vor.</w:t>
      </w:r>
    </w:p>
    <w:p w:rsidR="001923DA" w:rsidRDefault="001923DA" w:rsidP="00ED690C">
      <w:pPr>
        <w:rPr>
          <w:szCs w:val="22"/>
          <w:lang w:val="de-DE"/>
        </w:rPr>
      </w:pPr>
    </w:p>
    <w:p w:rsidR="001923DA" w:rsidRDefault="00190DF3" w:rsidP="00ED690C">
      <w:pPr>
        <w:rPr>
          <w:szCs w:val="22"/>
          <w:lang w:val="de-DE"/>
        </w:rPr>
      </w:pPr>
      <w:r>
        <w:rPr>
          <w:szCs w:val="22"/>
          <w:lang w:val="de-DE"/>
        </w:rPr>
        <w:t>2.</w:t>
      </w:r>
      <w:r>
        <w:rPr>
          <w:szCs w:val="22"/>
          <w:lang w:val="de-DE"/>
        </w:rPr>
        <w:tab/>
        <w:t>Es sind Interpretationen bekannt geworden, wonach diese Vorschrift nicht für das Umladen von dem Ladetank eines Bunkerbootes in den Ladetank eines anderen Bunkerbootes gelten soll.</w:t>
      </w:r>
    </w:p>
    <w:p w:rsidR="00190DF3" w:rsidRDefault="00190DF3" w:rsidP="00ED690C">
      <w:pPr>
        <w:rPr>
          <w:szCs w:val="22"/>
          <w:lang w:val="de-DE"/>
        </w:rPr>
      </w:pPr>
    </w:p>
    <w:p w:rsidR="00190DF3" w:rsidRDefault="00190DF3" w:rsidP="00ED690C">
      <w:pPr>
        <w:rPr>
          <w:szCs w:val="22"/>
          <w:lang w:val="de-DE"/>
        </w:rPr>
      </w:pPr>
      <w:r>
        <w:rPr>
          <w:szCs w:val="22"/>
          <w:lang w:val="de-DE"/>
        </w:rPr>
        <w:t>3.</w:t>
      </w:r>
      <w:r>
        <w:rPr>
          <w:szCs w:val="22"/>
          <w:lang w:val="de-DE"/>
        </w:rPr>
        <w:tab/>
        <w:t xml:space="preserve">Deutschland schlägt vor, durch die Aufnahme einer Bemerkung </w:t>
      </w:r>
      <w:r w:rsidR="00AE024E">
        <w:rPr>
          <w:szCs w:val="22"/>
          <w:lang w:val="de-DE"/>
        </w:rPr>
        <w:t xml:space="preserve">in </w:t>
      </w:r>
      <w:r w:rsidR="00EF1DC9">
        <w:rPr>
          <w:szCs w:val="22"/>
          <w:lang w:val="de-DE"/>
        </w:rPr>
        <w:t>Unterabschnitt</w:t>
      </w:r>
      <w:r w:rsidR="00AE024E">
        <w:rPr>
          <w:szCs w:val="22"/>
          <w:lang w:val="de-DE"/>
        </w:rPr>
        <w:t xml:space="preserve"> 7.2.4.9 ADN und einer Ergänzung von Absatz 7.2.4.7.2 ADN </w:t>
      </w:r>
      <w:r>
        <w:rPr>
          <w:szCs w:val="22"/>
          <w:lang w:val="de-DE"/>
        </w:rPr>
        <w:t>eine Klarstellung herbeizuführen.</w:t>
      </w:r>
    </w:p>
    <w:p w:rsidR="00DE10C7" w:rsidRDefault="00DE10C7" w:rsidP="00ED690C">
      <w:pPr>
        <w:rPr>
          <w:szCs w:val="22"/>
          <w:lang w:val="de-DE"/>
        </w:rPr>
      </w:pPr>
    </w:p>
    <w:p w:rsidR="00752A6D" w:rsidRPr="003F1667" w:rsidRDefault="00752A6D" w:rsidP="00ED690C">
      <w:pPr>
        <w:rPr>
          <w:szCs w:val="22"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II.</w:t>
      </w:r>
      <w:r w:rsidRPr="00827320">
        <w:rPr>
          <w:b/>
          <w:snapToGrid/>
          <w:sz w:val="24"/>
          <w:szCs w:val="24"/>
          <w:lang w:val="de-DE"/>
        </w:rPr>
        <w:tab/>
      </w:r>
      <w:r w:rsidR="00740C9B">
        <w:rPr>
          <w:b/>
          <w:snapToGrid/>
          <w:sz w:val="24"/>
          <w:szCs w:val="24"/>
          <w:lang w:val="de-DE"/>
        </w:rPr>
        <w:t>Vorschlag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30118" w:rsidRDefault="0046353C" w:rsidP="00F30F09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 w:hanging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4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F30F09">
        <w:rPr>
          <w:snapToGrid/>
          <w:lang w:val="de-DE"/>
        </w:rPr>
        <w:t xml:space="preserve">Am Ende von </w:t>
      </w:r>
      <w:r w:rsidR="00190DF3">
        <w:rPr>
          <w:snapToGrid/>
          <w:lang w:val="de-DE"/>
        </w:rPr>
        <w:t>Unterabschnitt</w:t>
      </w:r>
      <w:r w:rsidR="00F30F09">
        <w:rPr>
          <w:snapToGrid/>
          <w:lang w:val="de-DE"/>
        </w:rPr>
        <w:t xml:space="preserve"> </w:t>
      </w:r>
      <w:r w:rsidR="00190DF3">
        <w:rPr>
          <w:snapToGrid/>
          <w:lang w:val="de-DE"/>
        </w:rPr>
        <w:t>7.2.4.9</w:t>
      </w:r>
      <w:r w:rsidR="00D30118">
        <w:rPr>
          <w:snapToGrid/>
          <w:lang w:val="de-DE"/>
        </w:rPr>
        <w:t xml:space="preserve"> </w:t>
      </w:r>
      <w:r w:rsidR="00F30F09">
        <w:rPr>
          <w:snapToGrid/>
          <w:lang w:val="de-DE"/>
        </w:rPr>
        <w:t xml:space="preserve">ADN </w:t>
      </w:r>
      <w:r w:rsidR="0023121B">
        <w:rPr>
          <w:snapToGrid/>
          <w:lang w:val="de-DE"/>
        </w:rPr>
        <w:t>folgende Änderungen vornehmen</w:t>
      </w:r>
      <w:r w:rsidR="00D30118">
        <w:rPr>
          <w:snapToGrid/>
          <w:lang w:val="de-DE"/>
        </w:rPr>
        <w:t>:</w:t>
      </w:r>
    </w:p>
    <w:p w:rsidR="00F30F09" w:rsidRDefault="00F30F0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23121B" w:rsidRPr="0023121B" w:rsidRDefault="00F30F09" w:rsidP="00EF1DC9">
      <w:pPr>
        <w:spacing w:line="360" w:lineRule="auto"/>
        <w:ind w:left="567"/>
        <w:rPr>
          <w:iCs/>
          <w:lang w:val="de-DE"/>
        </w:rPr>
      </w:pPr>
      <w:r w:rsidRPr="0023121B">
        <w:rPr>
          <w:snapToGrid/>
          <w:lang w:val="de-DE"/>
        </w:rPr>
        <w:t>„</w:t>
      </w:r>
      <w:r w:rsidR="0023121B" w:rsidRPr="0023121B">
        <w:rPr>
          <w:b/>
          <w:iCs/>
          <w:lang w:val="de-DE"/>
        </w:rPr>
        <w:t>Bem.</w:t>
      </w:r>
      <w:r w:rsidR="0023121B" w:rsidRPr="0023121B">
        <w:rPr>
          <w:b/>
          <w:iCs/>
          <w:u w:val="single"/>
          <w:lang w:val="de-DE"/>
        </w:rPr>
        <w:t>1</w:t>
      </w:r>
      <w:r w:rsidR="0023121B" w:rsidRPr="0023121B">
        <w:rPr>
          <w:iCs/>
          <w:lang w:val="de-DE"/>
        </w:rPr>
        <w:t xml:space="preserve"> Für den Umschlag auf einen anderen Verkehrsträger, siehe 7.2.4.7.1.</w:t>
      </w:r>
    </w:p>
    <w:p w:rsidR="0023121B" w:rsidRPr="0023121B" w:rsidRDefault="0023121B" w:rsidP="00EF1DC9">
      <w:pPr>
        <w:spacing w:line="360" w:lineRule="auto"/>
        <w:ind w:left="567"/>
        <w:rPr>
          <w:lang w:val="de-DE"/>
        </w:rPr>
      </w:pPr>
      <w:r w:rsidRPr="0023121B">
        <w:rPr>
          <w:b/>
          <w:iCs/>
          <w:u w:val="single"/>
          <w:lang w:val="de-DE"/>
        </w:rPr>
        <w:t xml:space="preserve">Bem.2 </w:t>
      </w:r>
      <w:r w:rsidRPr="0023121B">
        <w:rPr>
          <w:iCs/>
          <w:u w:val="single"/>
          <w:lang w:val="de-DE"/>
        </w:rPr>
        <w:t xml:space="preserve">Das Verbot gilt auch für das Umladen </w:t>
      </w:r>
      <w:r>
        <w:rPr>
          <w:iCs/>
          <w:u w:val="single"/>
          <w:lang w:val="de-DE"/>
        </w:rPr>
        <w:t>zwischen</w:t>
      </w:r>
      <w:r w:rsidRPr="0023121B">
        <w:rPr>
          <w:iCs/>
          <w:u w:val="single"/>
          <w:lang w:val="de-DE"/>
        </w:rPr>
        <w:t xml:space="preserve"> [</w:t>
      </w:r>
      <w:r w:rsidR="00034788">
        <w:rPr>
          <w:iCs/>
          <w:u w:val="single"/>
          <w:lang w:val="de-DE"/>
        </w:rPr>
        <w:t xml:space="preserve">den </w:t>
      </w:r>
      <w:r w:rsidRPr="0023121B">
        <w:rPr>
          <w:iCs/>
          <w:u w:val="single"/>
          <w:lang w:val="de-DE"/>
        </w:rPr>
        <w:t xml:space="preserve">Ladetanks </w:t>
      </w:r>
      <w:r w:rsidR="00034788">
        <w:rPr>
          <w:iCs/>
          <w:u w:val="single"/>
          <w:lang w:val="de-DE"/>
        </w:rPr>
        <w:t>von</w:t>
      </w:r>
      <w:r w:rsidRPr="0023121B">
        <w:rPr>
          <w:iCs/>
          <w:u w:val="single"/>
          <w:lang w:val="de-DE"/>
        </w:rPr>
        <w:t>] Bunkerboote</w:t>
      </w:r>
      <w:r w:rsidR="00034788">
        <w:rPr>
          <w:iCs/>
          <w:u w:val="single"/>
          <w:lang w:val="de-DE"/>
        </w:rPr>
        <w:t>n</w:t>
      </w:r>
      <w:r w:rsidRPr="0023121B">
        <w:rPr>
          <w:iCs/>
          <w:u w:val="single"/>
          <w:lang w:val="de-DE"/>
        </w:rPr>
        <w:t>.</w:t>
      </w:r>
      <w:r w:rsidR="00034788">
        <w:rPr>
          <w:iCs/>
          <w:u w:val="single"/>
          <w:lang w:val="de-DE"/>
        </w:rPr>
        <w:t>“.</w:t>
      </w:r>
    </w:p>
    <w:p w:rsidR="0023121B" w:rsidRDefault="0023121B">
      <w:pPr>
        <w:suppressAutoHyphens w:val="0"/>
        <w:spacing w:line="240" w:lineRule="auto"/>
        <w:rPr>
          <w:snapToGrid/>
          <w:lang w:val="de-DE"/>
        </w:rPr>
      </w:pPr>
    </w:p>
    <w:p w:rsidR="00D30118" w:rsidRDefault="0046353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5</w:t>
      </w:r>
      <w:r w:rsidR="0023121B">
        <w:rPr>
          <w:snapToGrid/>
          <w:lang w:val="de-DE"/>
        </w:rPr>
        <w:t>.</w:t>
      </w:r>
      <w:r w:rsidR="0023121B">
        <w:rPr>
          <w:snapToGrid/>
          <w:lang w:val="de-DE"/>
        </w:rPr>
        <w:tab/>
      </w:r>
      <w:r w:rsidR="00AE024E">
        <w:rPr>
          <w:snapToGrid/>
          <w:lang w:val="de-DE"/>
        </w:rPr>
        <w:t>Absatz</w:t>
      </w:r>
      <w:r w:rsidR="0023121B">
        <w:rPr>
          <w:snapToGrid/>
          <w:lang w:val="de-DE"/>
        </w:rPr>
        <w:t xml:space="preserve"> 7.2.4.7.2 wie folgt ändern:</w:t>
      </w:r>
    </w:p>
    <w:p w:rsidR="0023121B" w:rsidRDefault="0023121B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23121B" w:rsidRPr="0023121B" w:rsidRDefault="0023121B" w:rsidP="00430A56">
      <w:pPr>
        <w:spacing w:line="276" w:lineRule="auto"/>
        <w:ind w:left="567" w:right="567"/>
        <w:jc w:val="both"/>
        <w:rPr>
          <w:lang w:val="de-DE"/>
        </w:rPr>
      </w:pPr>
      <w:r>
        <w:rPr>
          <w:b/>
          <w:lang w:val="de-DE"/>
        </w:rPr>
        <w:t>„</w:t>
      </w:r>
      <w:r w:rsidRPr="0023121B">
        <w:rPr>
          <w:b/>
          <w:lang w:val="de-DE"/>
        </w:rPr>
        <w:t>7.2.4.7.2</w:t>
      </w:r>
      <w:r w:rsidRPr="0023121B">
        <w:rPr>
          <w:lang w:val="de-DE"/>
        </w:rPr>
        <w:tab/>
        <w:t xml:space="preserve">Die Übernahme von flüssigen, unverpackten öl- und fetthaltigen Schiffsbetriebsabfällen </w:t>
      </w:r>
      <w:r w:rsidRPr="0023121B">
        <w:rPr>
          <w:u w:val="single"/>
          <w:lang w:val="de-DE"/>
        </w:rPr>
        <w:t>von anderen Schiffen</w:t>
      </w:r>
      <w:r w:rsidRPr="0023121B">
        <w:rPr>
          <w:lang w:val="de-DE"/>
        </w:rPr>
        <w:t xml:space="preserve"> und die Abgabe von Schiffsbetriebsstoffen </w:t>
      </w:r>
      <w:r w:rsidRPr="0023121B">
        <w:rPr>
          <w:u w:val="single"/>
          <w:lang w:val="de-DE"/>
        </w:rPr>
        <w:t>in Treibstofftanks anderer Schiffe</w:t>
      </w:r>
      <w:r w:rsidRPr="00022E31">
        <w:rPr>
          <w:lang w:val="de-DE"/>
        </w:rPr>
        <w:t xml:space="preserve"> </w:t>
      </w:r>
      <w:r w:rsidRPr="0023121B">
        <w:rPr>
          <w:lang w:val="de-DE"/>
        </w:rPr>
        <w:t>gilt nicht als Laden oder Löschen im Sinne des Absatzes 7.2.4.7.1</w:t>
      </w:r>
      <w:r w:rsidR="007A6E98">
        <w:rPr>
          <w:lang w:val="de-DE"/>
        </w:rPr>
        <w:t xml:space="preserve"> </w:t>
      </w:r>
      <w:r w:rsidR="007A6E98" w:rsidRPr="007A6E98">
        <w:rPr>
          <w:u w:val="single"/>
          <w:lang w:val="de-DE"/>
        </w:rPr>
        <w:t xml:space="preserve">oder als Umladen im Sinne des </w:t>
      </w:r>
      <w:r w:rsidR="0046353C">
        <w:rPr>
          <w:u w:val="single"/>
          <w:lang w:val="de-DE"/>
        </w:rPr>
        <w:t>Unterabschnittes</w:t>
      </w:r>
      <w:r w:rsidR="007A6E98" w:rsidRPr="007A6E98">
        <w:rPr>
          <w:u w:val="single"/>
          <w:lang w:val="de-DE"/>
        </w:rPr>
        <w:t xml:space="preserve"> 7.2.4.9.</w:t>
      </w:r>
      <w:r>
        <w:rPr>
          <w:lang w:val="de-DE"/>
        </w:rPr>
        <w:t>“.</w:t>
      </w:r>
    </w:p>
    <w:p w:rsidR="0023121B" w:rsidRPr="004B20B5" w:rsidRDefault="0023121B" w:rsidP="00EF1DC9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snapToGrid/>
          <w:lang w:val="de-DE"/>
        </w:rPr>
      </w:pPr>
    </w:p>
    <w:p w:rsidR="004B20B5" w:rsidRDefault="0046353C" w:rsidP="004B20B5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6</w:t>
      </w:r>
      <w:r w:rsidR="004B20B5">
        <w:rPr>
          <w:snapToGrid/>
          <w:lang w:val="de-DE"/>
        </w:rPr>
        <w:t>.</w:t>
      </w:r>
      <w:r w:rsidR="004B20B5">
        <w:rPr>
          <w:snapToGrid/>
          <w:lang w:val="de-DE"/>
        </w:rPr>
        <w:tab/>
        <w:t>Der ADN-Sicherheitsausschuss könnte sich auf folgende Interpretation der Begriffsbestimmung „Beförderung“ in Abschnitt 1.2.1 verständigen:</w:t>
      </w:r>
    </w:p>
    <w:p w:rsidR="004B20B5" w:rsidRDefault="004B20B5" w:rsidP="004B20B5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4B20B5" w:rsidRPr="004B20B5" w:rsidRDefault="004B20B5" w:rsidP="00AE024E">
      <w:pPr>
        <w:widowControl w:val="0"/>
        <w:suppressAutoHyphens w:val="0"/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snapToGrid/>
          <w:lang w:val="de-DE"/>
        </w:rPr>
      </w:pPr>
      <w:r w:rsidRPr="004B20B5">
        <w:rPr>
          <w:snapToGrid/>
          <w:lang w:val="de-DE"/>
        </w:rPr>
        <w:t>D</w:t>
      </w:r>
      <w:r>
        <w:rPr>
          <w:snapToGrid/>
          <w:lang w:val="de-DE"/>
        </w:rPr>
        <w:t>ie Beförde</w:t>
      </w:r>
      <w:r w:rsidRPr="004B20B5">
        <w:rPr>
          <w:snapToGrid/>
          <w:lang w:val="de-DE"/>
        </w:rPr>
        <w:t>r</w:t>
      </w:r>
      <w:r>
        <w:rPr>
          <w:snapToGrid/>
          <w:lang w:val="de-DE"/>
        </w:rPr>
        <w:t>u</w:t>
      </w:r>
      <w:r w:rsidRPr="004B20B5">
        <w:rPr>
          <w:snapToGrid/>
          <w:lang w:val="de-DE"/>
        </w:rPr>
        <w:t>ng schließt auch das Laden, Löschen und Entgasen der Schiffe und das Umladen zwischen Schiffen ein.</w:t>
      </w:r>
    </w:p>
    <w:p w:rsidR="0023121B" w:rsidRDefault="0023121B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3B642C" w:rsidRPr="00FD5786" w:rsidRDefault="003B642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FD5786" w:rsidRDefault="003151F1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snapToGrid/>
          <w:sz w:val="24"/>
          <w:szCs w:val="24"/>
          <w:lang w:val="de-DE"/>
        </w:rPr>
      </w:pPr>
      <w:r w:rsidRPr="00827320">
        <w:rPr>
          <w:b/>
          <w:snapToGrid/>
          <w:sz w:val="24"/>
          <w:szCs w:val="24"/>
          <w:lang w:val="de-DE"/>
        </w:rPr>
        <w:t>III.</w:t>
      </w:r>
      <w:r w:rsidRPr="00827320">
        <w:rPr>
          <w:b/>
          <w:snapToGrid/>
          <w:sz w:val="24"/>
          <w:szCs w:val="24"/>
          <w:lang w:val="de-DE"/>
        </w:rPr>
        <w:tab/>
      </w:r>
      <w:r w:rsidR="00E20C38">
        <w:rPr>
          <w:b/>
          <w:snapToGrid/>
          <w:sz w:val="24"/>
          <w:szCs w:val="24"/>
          <w:lang w:val="de-DE"/>
        </w:rPr>
        <w:t>Begründung</w:t>
      </w:r>
    </w:p>
    <w:p w:rsidR="00FD5786" w:rsidRPr="00FD5786" w:rsidRDefault="00FD5786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FD5786" w:rsidRPr="00B81900" w:rsidRDefault="0046353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sz w:val="22"/>
          <w:lang w:val="de-DE"/>
        </w:rPr>
      </w:pPr>
      <w:r>
        <w:rPr>
          <w:snapToGrid/>
          <w:lang w:val="de-DE"/>
        </w:rPr>
        <w:t>7</w:t>
      </w:r>
      <w:r w:rsidR="00FD5786" w:rsidRPr="00FD5786">
        <w:rPr>
          <w:snapToGrid/>
          <w:lang w:val="de-DE"/>
        </w:rPr>
        <w:t>.</w:t>
      </w:r>
      <w:r w:rsidR="00FD5786" w:rsidRPr="00FD5786">
        <w:rPr>
          <w:snapToGrid/>
          <w:lang w:val="de-DE"/>
        </w:rPr>
        <w:tab/>
      </w:r>
      <w:r w:rsidR="004B20B5">
        <w:rPr>
          <w:snapToGrid/>
          <w:lang w:val="de-DE"/>
        </w:rPr>
        <w:t xml:space="preserve">Die Änderung zu 7.2.4.9 ADN stellt klar, dass das </w:t>
      </w:r>
      <w:proofErr w:type="spellStart"/>
      <w:r w:rsidR="004B20B5">
        <w:rPr>
          <w:snapToGrid/>
          <w:lang w:val="de-DE"/>
        </w:rPr>
        <w:t>Umladeverbot</w:t>
      </w:r>
      <w:proofErr w:type="spellEnd"/>
      <w:r w:rsidR="004B20B5">
        <w:rPr>
          <w:snapToGrid/>
          <w:lang w:val="de-DE"/>
        </w:rPr>
        <w:t xml:space="preserve"> auch für Bunkerboote gilt. Diese sind</w:t>
      </w:r>
      <w:r w:rsidR="00D130C2">
        <w:rPr>
          <w:bCs/>
          <w:szCs w:val="18"/>
          <w:lang w:val="de-DE"/>
        </w:rPr>
        <w:t xml:space="preserve"> ebenfalls Tankschiffe im Sinne des ADN, für die alle einschlägigen Vorschriften gelten. Es sei denn, in einer einzelnen Vorschrift werden Bunkerboote ausdrücklich ausgenommen, wie z.B. in Absatz 7.2.4.25.4 ADN.</w:t>
      </w:r>
    </w:p>
    <w:p w:rsidR="00AF65F9" w:rsidRDefault="00AF65F9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D130C2" w:rsidRDefault="0046353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8</w:t>
      </w:r>
      <w:r w:rsidR="00D130C2">
        <w:rPr>
          <w:snapToGrid/>
          <w:lang w:val="de-DE"/>
        </w:rPr>
        <w:t>.</w:t>
      </w:r>
      <w:r w:rsidR="00D130C2">
        <w:rPr>
          <w:snapToGrid/>
          <w:lang w:val="de-DE"/>
        </w:rPr>
        <w:tab/>
        <w:t xml:space="preserve">Die Änderungen in 7.2.4.7.2 ADN wird als Folgeänderung vorgeschlagen. </w:t>
      </w:r>
      <w:r w:rsidR="0078069D">
        <w:rPr>
          <w:snapToGrid/>
          <w:lang w:val="de-DE"/>
        </w:rPr>
        <w:t xml:space="preserve">Hier wird in der Unterscheidung zum Umladen nochmals präzisiert, was unter der Abgabe von Schiffsbetriebsstoffen zu verstehen ist. </w:t>
      </w:r>
    </w:p>
    <w:p w:rsidR="007D2CBC" w:rsidRDefault="007D2CBC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AE024E" w:rsidRDefault="00AE024E" w:rsidP="00FD5786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40C9B" w:rsidRPr="00C91DE4" w:rsidRDefault="00740C9B" w:rsidP="00740C9B">
      <w:pPr>
        <w:rPr>
          <w:b/>
          <w:sz w:val="24"/>
          <w:lang w:val="de-DE"/>
        </w:rPr>
      </w:pPr>
      <w:r w:rsidRPr="00C91DE4">
        <w:rPr>
          <w:b/>
          <w:sz w:val="24"/>
          <w:lang w:val="de-DE"/>
        </w:rPr>
        <w:t>IV.</w:t>
      </w:r>
      <w:r w:rsidRPr="00C91DE4">
        <w:rPr>
          <w:b/>
          <w:sz w:val="24"/>
          <w:lang w:val="de-DE"/>
        </w:rPr>
        <w:tab/>
        <w:t>Sicherheit</w:t>
      </w:r>
    </w:p>
    <w:p w:rsidR="00740C9B" w:rsidRDefault="00740C9B" w:rsidP="00740C9B">
      <w:pPr>
        <w:rPr>
          <w:sz w:val="24"/>
          <w:lang w:val="de-DE"/>
        </w:rPr>
      </w:pPr>
    </w:p>
    <w:p w:rsidR="00740C9B" w:rsidRPr="007D6B79" w:rsidRDefault="0046353C" w:rsidP="007D6B79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9</w:t>
      </w:r>
      <w:r w:rsidR="00740C9B" w:rsidRPr="007D6B79">
        <w:rPr>
          <w:snapToGrid/>
          <w:lang w:val="de-DE"/>
        </w:rPr>
        <w:t>.</w:t>
      </w:r>
      <w:r w:rsidR="00740C9B" w:rsidRPr="007D6B79">
        <w:rPr>
          <w:snapToGrid/>
          <w:lang w:val="de-DE"/>
        </w:rPr>
        <w:tab/>
        <w:t>Die Sicherheit der Beförderung</w:t>
      </w:r>
      <w:r w:rsidR="00FD3632">
        <w:rPr>
          <w:snapToGrid/>
          <w:lang w:val="de-DE"/>
        </w:rPr>
        <w:t xml:space="preserve">, </w:t>
      </w:r>
      <w:r w:rsidR="00740C9B" w:rsidRPr="007D6B79">
        <w:rPr>
          <w:snapToGrid/>
          <w:lang w:val="de-DE"/>
        </w:rPr>
        <w:t xml:space="preserve">wird durch diese Änderung </w:t>
      </w:r>
      <w:r w:rsidR="008A2D58">
        <w:rPr>
          <w:snapToGrid/>
          <w:lang w:val="de-DE"/>
        </w:rPr>
        <w:t xml:space="preserve">aufrechterhalten. Es liegen keine Erkenntnisse vor, dass </w:t>
      </w:r>
      <w:r w:rsidR="00EF1DC9">
        <w:rPr>
          <w:snapToGrid/>
          <w:lang w:val="de-DE"/>
        </w:rPr>
        <w:t>beim</w:t>
      </w:r>
      <w:r w:rsidR="008A2D58">
        <w:rPr>
          <w:snapToGrid/>
          <w:lang w:val="de-DE"/>
        </w:rPr>
        <w:t xml:space="preserve"> Umladen zwischen Bunkerbooten anders als bei dem Umladen zwischen Tankschiffen mit einer Tragfähigkeit über 300 t keine vergleichbaren Risiken </w:t>
      </w:r>
      <w:r w:rsidR="00EF1DC9">
        <w:rPr>
          <w:snapToGrid/>
          <w:lang w:val="de-DE"/>
        </w:rPr>
        <w:t>bestünden</w:t>
      </w:r>
      <w:r w:rsidR="008A2D58">
        <w:rPr>
          <w:snapToGrid/>
          <w:lang w:val="de-DE"/>
        </w:rPr>
        <w:t>. Auch beim Umladen zwischen Bunkerbooten kann es zu gleichen Explosionsgefahren und Gewässerverunreinigungen kommen</w:t>
      </w:r>
      <w:r w:rsidR="00FD3632">
        <w:rPr>
          <w:snapToGrid/>
          <w:lang w:val="de-DE"/>
        </w:rPr>
        <w:t>.</w:t>
      </w:r>
      <w:r w:rsidR="008A2D58">
        <w:rPr>
          <w:snapToGrid/>
          <w:lang w:val="de-DE"/>
        </w:rPr>
        <w:t xml:space="preserve"> 300 t </w:t>
      </w:r>
      <w:r w:rsidR="00EF1DC9">
        <w:rPr>
          <w:snapToGrid/>
          <w:lang w:val="de-DE"/>
        </w:rPr>
        <w:t xml:space="preserve">Diesel </w:t>
      </w:r>
      <w:r w:rsidR="003152F7">
        <w:rPr>
          <w:snapToGrid/>
          <w:lang w:val="de-DE"/>
        </w:rPr>
        <w:t xml:space="preserve">entsprechen z.B. mehr als </w:t>
      </w:r>
      <w:r w:rsidR="00EF1DC9">
        <w:rPr>
          <w:snapToGrid/>
          <w:lang w:val="de-DE"/>
        </w:rPr>
        <w:t>300.000 Liter</w:t>
      </w:r>
      <w:r w:rsidR="003152F7">
        <w:rPr>
          <w:snapToGrid/>
          <w:lang w:val="de-DE"/>
        </w:rPr>
        <w:t>.</w:t>
      </w:r>
    </w:p>
    <w:p w:rsidR="00AE024E" w:rsidRPr="00AE024E" w:rsidRDefault="00AE024E" w:rsidP="00AE024E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52A6D" w:rsidRDefault="00752A6D">
      <w:pPr>
        <w:suppressAutoHyphens w:val="0"/>
        <w:spacing w:line="240" w:lineRule="auto"/>
        <w:rPr>
          <w:b/>
          <w:sz w:val="24"/>
          <w:lang w:val="de-DE"/>
        </w:rPr>
      </w:pPr>
      <w:r>
        <w:rPr>
          <w:b/>
          <w:sz w:val="24"/>
          <w:lang w:val="de-DE"/>
        </w:rPr>
        <w:br w:type="page"/>
      </w:r>
    </w:p>
    <w:p w:rsidR="00740C9B" w:rsidRPr="00C91DE4" w:rsidRDefault="00740C9B" w:rsidP="00740C9B">
      <w:pPr>
        <w:rPr>
          <w:b/>
          <w:sz w:val="24"/>
          <w:lang w:val="de-DE"/>
        </w:rPr>
      </w:pPr>
      <w:r w:rsidRPr="00C91DE4">
        <w:rPr>
          <w:b/>
          <w:sz w:val="24"/>
          <w:lang w:val="de-DE"/>
        </w:rPr>
        <w:lastRenderedPageBreak/>
        <w:t>V.</w:t>
      </w:r>
      <w:r w:rsidRPr="00C91DE4">
        <w:rPr>
          <w:b/>
          <w:sz w:val="24"/>
          <w:lang w:val="de-DE"/>
        </w:rPr>
        <w:tab/>
        <w:t>Umsetzbarkeit</w:t>
      </w:r>
    </w:p>
    <w:p w:rsidR="007D6B79" w:rsidRPr="000A3F47" w:rsidRDefault="007D6B79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7D6B79" w:rsidRPr="000A3F47" w:rsidRDefault="0046353C" w:rsidP="000A3F4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  <w:r>
        <w:rPr>
          <w:snapToGrid/>
          <w:lang w:val="de-DE"/>
        </w:rPr>
        <w:t>10</w:t>
      </w:r>
      <w:r w:rsidR="000A3F47">
        <w:rPr>
          <w:snapToGrid/>
          <w:lang w:val="de-DE"/>
        </w:rPr>
        <w:t>.</w:t>
      </w:r>
      <w:r w:rsidR="000A3F47">
        <w:rPr>
          <w:snapToGrid/>
          <w:lang w:val="de-DE"/>
        </w:rPr>
        <w:tab/>
        <w:t>Es werden keine technischen Änderungen oder Investitionen</w:t>
      </w:r>
      <w:r w:rsidR="003152F7">
        <w:rPr>
          <w:snapToGrid/>
          <w:lang w:val="de-DE"/>
        </w:rPr>
        <w:t xml:space="preserve"> und Belastungen</w:t>
      </w:r>
      <w:r w:rsidR="000A3F47">
        <w:rPr>
          <w:snapToGrid/>
          <w:lang w:val="de-DE"/>
        </w:rPr>
        <w:t xml:space="preserve"> der Wirtschaft od</w:t>
      </w:r>
      <w:r w:rsidR="003152F7">
        <w:rPr>
          <w:snapToGrid/>
          <w:lang w:val="de-DE"/>
        </w:rPr>
        <w:t xml:space="preserve">er Belastungen </w:t>
      </w:r>
      <w:r w:rsidR="000A3F47">
        <w:rPr>
          <w:snapToGrid/>
          <w:lang w:val="de-DE"/>
        </w:rPr>
        <w:t xml:space="preserve">erwartet. </w:t>
      </w:r>
      <w:r w:rsidR="00FD3632">
        <w:rPr>
          <w:snapToGrid/>
          <w:lang w:val="de-DE"/>
        </w:rPr>
        <w:t>Die Bemerkung dient nur der Klarstellung</w:t>
      </w:r>
      <w:r w:rsidR="003152F7">
        <w:rPr>
          <w:snapToGrid/>
          <w:lang w:val="de-DE"/>
        </w:rPr>
        <w:t>. Durch die Möglichkeit der Genehmigung der zuständigen Behörde können wie bisher in begründeten Fällen die erforderlichen Ausnahmen zugelassen werden.</w:t>
      </w:r>
    </w:p>
    <w:p w:rsidR="00FD5786" w:rsidRPr="00FD5786" w:rsidRDefault="00FD5786" w:rsidP="003151F1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snapToGrid/>
          <w:lang w:val="de-DE"/>
        </w:rPr>
      </w:pPr>
    </w:p>
    <w:p w:rsidR="00BD7264" w:rsidRPr="003151F1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A8" w:rsidRDefault="00D219A8">
      <w:pPr>
        <w:rPr>
          <w:szCs w:val="24"/>
        </w:rPr>
      </w:pPr>
    </w:p>
  </w:endnote>
  <w:endnote w:type="continuationSeparator" w:id="0">
    <w:p w:rsidR="00D219A8" w:rsidRDefault="00D219A8">
      <w:pPr>
        <w:rPr>
          <w:szCs w:val="24"/>
        </w:rPr>
      </w:pPr>
    </w:p>
  </w:endnote>
  <w:endnote w:type="continuationNotice" w:id="1">
    <w:p w:rsidR="00D219A8" w:rsidRDefault="00D219A8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4" w:rsidRDefault="00C91DE4" w:rsidP="00C91DE4">
    <w:pPr>
      <w:pStyle w:val="Footer"/>
      <w:jc w:val="right"/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752A6D">
      <w:rPr>
        <w:rFonts w:ascii="Arial" w:hAnsi="Arial"/>
        <w:noProof/>
        <w:snapToGrid/>
        <w:sz w:val="12"/>
        <w:szCs w:val="24"/>
        <w:lang w:val="en-US"/>
      </w:rPr>
      <w:t>24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752A6D"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752A6D">
      <w:rPr>
        <w:rFonts w:ascii="Arial" w:hAnsi="Arial"/>
        <w:noProof/>
        <w:snapToGrid/>
        <w:sz w:val="12"/>
        <w:szCs w:val="24"/>
        <w:lang w:val="en-US"/>
      </w:rPr>
      <w:t>24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A8" w:rsidRDefault="00D219A8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D219A8" w:rsidRDefault="00D219A8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D219A8" w:rsidRDefault="00D219A8">
      <w:pPr>
        <w:rPr>
          <w:szCs w:val="24"/>
        </w:rPr>
      </w:pPr>
    </w:p>
  </w:footnote>
  <w:footnote w:id="2">
    <w:p w:rsidR="000A3F47" w:rsidRPr="005F667A" w:rsidRDefault="000A3F47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="00C91DE4" w:rsidRPr="00C91DE4">
        <w:rPr>
          <w:sz w:val="16"/>
          <w:szCs w:val="16"/>
          <w:lang w:val="de-DE"/>
        </w:rPr>
        <w:t>ECE/TRANS/WP.15/AC.2/2017/</w:t>
      </w:r>
      <w:r w:rsidR="00752A6D">
        <w:rPr>
          <w:sz w:val="16"/>
          <w:szCs w:val="16"/>
          <w:lang w:val="de-DE"/>
        </w:rPr>
        <w:t>24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0A3F47" w:rsidRPr="00447333" w:rsidRDefault="000A3F47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752A6D">
      <w:rPr>
        <w:rFonts w:ascii="Arial" w:hAnsi="Arial"/>
        <w:b w:val="0"/>
        <w:sz w:val="16"/>
        <w:szCs w:val="16"/>
        <w:lang w:val="en-US"/>
      </w:rPr>
      <w:t>24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C60903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</w:t>
    </w:r>
    <w:r w:rsidR="00752A6D">
      <w:rPr>
        <w:rFonts w:ascii="Arial" w:hAnsi="Arial"/>
        <w:b w:val="0"/>
        <w:sz w:val="16"/>
        <w:szCs w:val="16"/>
        <w:lang w:val="en-US"/>
      </w:rPr>
      <w:t>24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C60903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2E31"/>
    <w:rsid w:val="0002461E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0DF3"/>
    <w:rsid w:val="00191685"/>
    <w:rsid w:val="001923DA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445F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21B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2F7"/>
    <w:rsid w:val="00315F72"/>
    <w:rsid w:val="003177E7"/>
    <w:rsid w:val="003229D8"/>
    <w:rsid w:val="00323726"/>
    <w:rsid w:val="00324FA1"/>
    <w:rsid w:val="00326EAB"/>
    <w:rsid w:val="0033023C"/>
    <w:rsid w:val="003316FE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0A56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353C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C0580"/>
    <w:rsid w:val="004C5912"/>
    <w:rsid w:val="004C7BD2"/>
    <w:rsid w:val="004D028F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266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2A6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A6E98"/>
    <w:rsid w:val="007B5B23"/>
    <w:rsid w:val="007B64F2"/>
    <w:rsid w:val="007B6BA5"/>
    <w:rsid w:val="007B7B1E"/>
    <w:rsid w:val="007C169B"/>
    <w:rsid w:val="007C3390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6B25"/>
    <w:rsid w:val="008A6C4F"/>
    <w:rsid w:val="008A7A81"/>
    <w:rsid w:val="008B50FD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6C0C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024E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3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370BE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D41A2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1DC9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2777"/>
    <w:rsid w:val="00FD3632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BF4D-5355-413E-B943-8E317A44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3</Pages>
  <Words>474</Words>
  <Characters>3173</Characters>
  <Application>Microsoft Office Word</Application>
  <DocSecurity>0</DocSecurity>
  <Lines>79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2</cp:revision>
  <cp:lastPrinted>2017-05-31T09:47:00Z</cp:lastPrinted>
  <dcterms:created xsi:type="dcterms:W3CDTF">2017-05-31T11:37:00Z</dcterms:created>
  <dcterms:modified xsi:type="dcterms:W3CDTF">2017-05-31T11:37:00Z</dcterms:modified>
</cp:coreProperties>
</file>