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1B97" w:rsidP="000E0160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INF</w:t>
            </w:r>
            <w:r w:rsidR="000E0160">
              <w:rPr>
                <w:sz w:val="40"/>
              </w:rPr>
              <w:t>.55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1208E2" w:rsidP="00BB7CD1">
      <w:r>
        <w:t>Geneva</w:t>
      </w:r>
      <w:r w:rsidR="00BB7CD1">
        <w:t xml:space="preserve">, </w:t>
      </w:r>
      <w:r w:rsidR="00AE08DA">
        <w:t>1</w:t>
      </w:r>
      <w:r>
        <w:t>9</w:t>
      </w:r>
      <w:r w:rsidR="00F65AE4">
        <w:t>-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0509A7">
        <w:t>7</w:t>
      </w:r>
    </w:p>
    <w:p w:rsidR="0004238C" w:rsidRPr="00617F6C" w:rsidRDefault="0004238C" w:rsidP="0004238C">
      <w:r w:rsidRPr="00617F6C">
        <w:t xml:space="preserve">Item </w:t>
      </w:r>
      <w:proofErr w:type="gramStart"/>
      <w:r w:rsidR="00617F6C" w:rsidRPr="00617F6C">
        <w:t>7</w:t>
      </w:r>
      <w:proofErr w:type="gramEnd"/>
      <w:r w:rsidRPr="00617F6C">
        <w:t xml:space="preserve"> of the provisional agenda</w:t>
      </w:r>
    </w:p>
    <w:p w:rsidR="00FA6DA6" w:rsidRPr="0039377E" w:rsidRDefault="00617F6C" w:rsidP="0004238C">
      <w:pPr>
        <w:rPr>
          <w:b/>
        </w:rPr>
      </w:pPr>
      <w:r w:rsidRPr="00617F6C">
        <w:rPr>
          <w:b/>
          <w:bCs/>
        </w:rPr>
        <w:t>Reports of informal working groups</w:t>
      </w:r>
      <w:r>
        <w:rPr>
          <w:b/>
          <w:bCs/>
        </w:rPr>
        <w:t xml:space="preserve"> </w:t>
      </w:r>
    </w:p>
    <w:p w:rsidR="00617F6C" w:rsidRPr="00617F6C" w:rsidRDefault="00C3172E" w:rsidP="0004238C">
      <w:pPr>
        <w:pStyle w:val="HChG"/>
      </w:pPr>
      <w:r>
        <w:tab/>
      </w:r>
      <w:r>
        <w:tab/>
      </w:r>
      <w:r w:rsidR="00617F6C">
        <w:t>Report of the informal working group on alternative methods for periodic inspections</w:t>
      </w:r>
    </w:p>
    <w:p w:rsidR="00C3172E" w:rsidRPr="00EE168C" w:rsidRDefault="00617F6C" w:rsidP="0004238C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B14AD8" w:rsidRPr="004A6537">
        <w:rPr>
          <w:lang w:val="en-US"/>
        </w:rPr>
        <w:t xml:space="preserve">Alternative </w:t>
      </w:r>
      <w:r w:rsidR="00B14AD8">
        <w:rPr>
          <w:lang w:val="en-US"/>
        </w:rPr>
        <w:t>m</w:t>
      </w:r>
      <w:r w:rsidR="00B14AD8" w:rsidRPr="004A6537">
        <w:rPr>
          <w:lang w:val="en-US"/>
        </w:rPr>
        <w:t>ethod</w:t>
      </w:r>
      <w:r w:rsidR="00B14AD8">
        <w:rPr>
          <w:lang w:val="en-US"/>
        </w:rPr>
        <w:t>s</w:t>
      </w:r>
      <w:r w:rsidR="00B14AD8" w:rsidRPr="004A6537">
        <w:rPr>
          <w:lang w:val="en-US"/>
        </w:rPr>
        <w:t xml:space="preserve"> for </w:t>
      </w:r>
      <w:r w:rsidR="00B14AD8">
        <w:rPr>
          <w:lang w:val="en-US"/>
        </w:rPr>
        <w:t>periodic i</w:t>
      </w:r>
      <w:r w:rsidR="00B14AD8" w:rsidRPr="00B84440">
        <w:rPr>
          <w:lang w:val="en-US"/>
        </w:rPr>
        <w:t xml:space="preserve">nspection </w:t>
      </w:r>
      <w:r w:rsidR="00B14AD8">
        <w:rPr>
          <w:lang w:val="en-US"/>
        </w:rPr>
        <w:t>of refillable pressure receptacles</w:t>
      </w:r>
    </w:p>
    <w:p w:rsidR="00C3172E" w:rsidRDefault="00C3172E" w:rsidP="00C3172E">
      <w:pPr>
        <w:pStyle w:val="H1G"/>
        <w:rPr>
          <w:b w:val="0"/>
          <w:sz w:val="20"/>
        </w:rPr>
      </w:pPr>
      <w:r>
        <w:tab/>
      </w:r>
      <w:r>
        <w:tab/>
      </w:r>
      <w:r w:rsidR="00B14AD8" w:rsidRPr="001528B1">
        <w:t>Transmitted by the European Liquefied Petroleum Gas Association (AEGPL)</w:t>
      </w:r>
      <w:r w:rsidR="00B14AD8">
        <w:t xml:space="preserve"> on behalf of the informal working group on alternative methods for periodic inspections</w:t>
      </w:r>
    </w:p>
    <w:p w:rsidR="0004238C" w:rsidRDefault="0004238C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14AD8" w:rsidRPr="001B64BA" w:rsidRDefault="00B14AD8" w:rsidP="00B14AD8">
      <w:pPr>
        <w:pStyle w:val="HChG"/>
        <w:rPr>
          <w:lang w:val="en-US"/>
        </w:rPr>
      </w:pPr>
      <w:r>
        <w:rPr>
          <w:lang w:val="en-US"/>
        </w:rPr>
        <w:lastRenderedPageBreak/>
        <w:t>Introduction</w:t>
      </w:r>
    </w:p>
    <w:p w:rsidR="007C588D" w:rsidRDefault="00211B97" w:rsidP="00B14AD8">
      <w:pPr>
        <w:pStyle w:val="SingleTxtG"/>
        <w:rPr>
          <w:lang w:val="en-US"/>
        </w:rPr>
      </w:pPr>
      <w:r>
        <w:rPr>
          <w:lang w:val="en-US"/>
        </w:rPr>
        <w:t>Following discussion</w:t>
      </w:r>
      <w:r w:rsidR="005C0229">
        <w:rPr>
          <w:lang w:val="en-US"/>
        </w:rPr>
        <w:t>s</w:t>
      </w:r>
      <w:r>
        <w:rPr>
          <w:lang w:val="en-US"/>
        </w:rPr>
        <w:t xml:space="preserve"> in plenary about the</w:t>
      </w:r>
      <w:r w:rsidR="007C588D">
        <w:rPr>
          <w:lang w:val="en-US"/>
        </w:rPr>
        <w:t xml:space="preserve"> </w:t>
      </w:r>
      <w:r w:rsidR="007C588D" w:rsidRPr="00115DC9">
        <w:rPr>
          <w:lang w:val="en-US"/>
        </w:rPr>
        <w:t>ECE/TRANS/WP.15/AC.1/2017/33</w:t>
      </w:r>
      <w:r>
        <w:rPr>
          <w:lang w:val="en-US"/>
        </w:rPr>
        <w:t>, and as agreed by the Joint M</w:t>
      </w:r>
      <w:r w:rsidR="005C0229">
        <w:rPr>
          <w:lang w:val="en-US"/>
        </w:rPr>
        <w:t>e</w:t>
      </w:r>
      <w:r>
        <w:rPr>
          <w:lang w:val="en-US"/>
        </w:rPr>
        <w:t>eting, the working group propose</w:t>
      </w:r>
      <w:r w:rsidR="005C0229">
        <w:rPr>
          <w:lang w:val="en-US"/>
        </w:rPr>
        <w:t>s</w:t>
      </w:r>
      <w:r>
        <w:rPr>
          <w:lang w:val="en-US"/>
        </w:rPr>
        <w:t xml:space="preserve"> the following modifications to the </w:t>
      </w:r>
      <w:r w:rsidR="005C0229">
        <w:rPr>
          <w:lang w:val="en-US"/>
        </w:rPr>
        <w:t xml:space="preserve">related </w:t>
      </w:r>
      <w:r>
        <w:rPr>
          <w:lang w:val="en-US"/>
        </w:rPr>
        <w:t>proposals.</w:t>
      </w:r>
      <w:r w:rsidR="007C588D">
        <w:rPr>
          <w:lang w:val="en-US"/>
        </w:rPr>
        <w:t xml:space="preserve"> </w:t>
      </w:r>
      <w:r>
        <w:rPr>
          <w:lang w:val="en-US"/>
        </w:rPr>
        <w:t>T</w:t>
      </w:r>
      <w:r w:rsidR="00115DC9">
        <w:rPr>
          <w:lang w:val="en-US"/>
        </w:rPr>
        <w:t>his</w:t>
      </w:r>
      <w:r w:rsidR="007C588D">
        <w:rPr>
          <w:lang w:val="en-US"/>
        </w:rPr>
        <w:t xml:space="preserve"> informal paper provides </w:t>
      </w:r>
      <w:r>
        <w:rPr>
          <w:lang w:val="en-US"/>
        </w:rPr>
        <w:t>the</w:t>
      </w:r>
      <w:r w:rsidR="007C588D">
        <w:rPr>
          <w:lang w:val="en-US"/>
        </w:rPr>
        <w:t xml:space="preserve"> revised English version </w:t>
      </w:r>
      <w:r>
        <w:rPr>
          <w:lang w:val="en-US"/>
        </w:rPr>
        <w:t xml:space="preserve">and the revised French and German versions </w:t>
      </w:r>
      <w:proofErr w:type="gramStart"/>
      <w:r>
        <w:rPr>
          <w:lang w:val="en-US"/>
        </w:rPr>
        <w:t>will be provided</w:t>
      </w:r>
      <w:proofErr w:type="gramEnd"/>
      <w:r>
        <w:rPr>
          <w:lang w:val="en-US"/>
        </w:rPr>
        <w:t xml:space="preserve"> in</w:t>
      </w:r>
      <w:r w:rsidR="005C0229">
        <w:rPr>
          <w:lang w:val="en-US"/>
        </w:rPr>
        <w:t xml:space="preserve"> complementary INF Papers.</w:t>
      </w:r>
      <w:r>
        <w:rPr>
          <w:lang w:val="en-US"/>
        </w:rPr>
        <w:t xml:space="preserve"> </w:t>
      </w:r>
    </w:p>
    <w:p w:rsidR="00115DC9" w:rsidRDefault="007C588D" w:rsidP="00B14AD8">
      <w:pPr>
        <w:pStyle w:val="SingleTxtG"/>
        <w:rPr>
          <w:lang w:val="en-US"/>
        </w:rPr>
      </w:pPr>
      <w:r>
        <w:rPr>
          <w:lang w:val="en-US"/>
        </w:rPr>
        <w:t xml:space="preserve">These modifications </w:t>
      </w:r>
      <w:proofErr w:type="gramStart"/>
      <w:r>
        <w:rPr>
          <w:lang w:val="en-US"/>
        </w:rPr>
        <w:t>are indicated</w:t>
      </w:r>
      <w:proofErr w:type="gramEnd"/>
      <w:r>
        <w:rPr>
          <w:lang w:val="en-US"/>
        </w:rPr>
        <w:t xml:space="preserve"> </w:t>
      </w:r>
      <w:r w:rsidR="00115DC9">
        <w:rPr>
          <w:lang w:val="en-US"/>
        </w:rPr>
        <w:t xml:space="preserve">as </w:t>
      </w:r>
      <w:r w:rsidR="00115DC9" w:rsidRPr="00115DC9">
        <w:rPr>
          <w:strike/>
          <w:lang w:val="en-US"/>
        </w:rPr>
        <w:t>deletions</w:t>
      </w:r>
      <w:r w:rsidR="00115DC9">
        <w:rPr>
          <w:lang w:val="en-US"/>
        </w:rPr>
        <w:t xml:space="preserve"> or </w:t>
      </w:r>
      <w:r w:rsidR="00115DC9" w:rsidRPr="00115DC9">
        <w:rPr>
          <w:u w:val="single"/>
          <w:lang w:val="en-US"/>
        </w:rPr>
        <w:t>supplements</w:t>
      </w:r>
      <w:r w:rsidR="00115DC9">
        <w:rPr>
          <w:lang w:val="en-US"/>
        </w:rPr>
        <w:t>.</w:t>
      </w:r>
    </w:p>
    <w:p w:rsidR="00592460" w:rsidRDefault="00592460" w:rsidP="00B14AD8">
      <w:pPr>
        <w:pStyle w:val="SingleTxtG"/>
        <w:rPr>
          <w:lang w:val="en-US"/>
        </w:rPr>
      </w:pPr>
      <w:r>
        <w:rPr>
          <w:lang w:val="en-US"/>
        </w:rPr>
        <w:t>The numbering of the initial paper is kept or the purpose of better comparison.</w:t>
      </w:r>
    </w:p>
    <w:p w:rsidR="000072E9" w:rsidRDefault="000072E9" w:rsidP="000072E9">
      <w:pPr>
        <w:pStyle w:val="HChG"/>
      </w:pPr>
      <w:r w:rsidRPr="008B08AE">
        <w:tab/>
      </w:r>
      <w:r>
        <w:t>Proposals</w:t>
      </w:r>
    </w:p>
    <w:p w:rsidR="0039377E" w:rsidRDefault="004F6ED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4AD8" w:rsidRPr="001834C3">
        <w:rPr>
          <w:lang w:val="en-US"/>
        </w:rPr>
        <w:t xml:space="preserve">Proposal 1 - General provisions </w:t>
      </w:r>
      <w:r w:rsidR="000072E9">
        <w:rPr>
          <w:lang w:val="en-US"/>
        </w:rPr>
        <w:tab/>
      </w:r>
    </w:p>
    <w:p w:rsidR="00B14AD8" w:rsidRPr="001834C3" w:rsidRDefault="000072E9" w:rsidP="0039377E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1</w:t>
      </w:r>
      <w:r w:rsidR="00C30677">
        <w:rPr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ab/>
        <w:t>Add</w:t>
      </w:r>
      <w:r w:rsidR="00B14AD8" w:rsidRPr="001834C3">
        <w:rPr>
          <w:lang w:val="en-US"/>
        </w:rPr>
        <w:t xml:space="preserve"> a new 6.2.3.5.3 to read as follows:</w:t>
      </w:r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>“6.2.3.5.3</w:t>
      </w:r>
      <w:r w:rsidRPr="003D4D66">
        <w:rPr>
          <w:lang w:val="en-US"/>
        </w:rPr>
        <w:tab/>
        <w:t>General provisions for the substitution of dedicated check(s) for periodic inspection required</w:t>
      </w:r>
      <w:r w:rsidRPr="003D4D66">
        <w:rPr>
          <w:spacing w:val="6"/>
          <w:lang w:val="en-US"/>
        </w:rPr>
        <w:t xml:space="preserve"> </w:t>
      </w:r>
      <w:r w:rsidRPr="003D4D66">
        <w:rPr>
          <w:lang w:val="en-US"/>
        </w:rPr>
        <w:t>in 6.2.3.5.1</w:t>
      </w:r>
    </w:p>
    <w:p w:rsidR="00B14AD8" w:rsidRPr="003D4D66" w:rsidRDefault="00B14AD8" w:rsidP="004F6ED8">
      <w:pPr>
        <w:pStyle w:val="SingleTxtG"/>
        <w:rPr>
          <w:i/>
          <w:lang w:val="en-US"/>
        </w:rPr>
      </w:pPr>
      <w:proofErr w:type="gramStart"/>
      <w:r w:rsidRPr="003D4D66">
        <w:rPr>
          <w:lang w:val="en-US"/>
        </w:rPr>
        <w:t xml:space="preserve">This </w:t>
      </w:r>
      <w:r w:rsidRPr="00116A27">
        <w:rPr>
          <w:strike/>
          <w:lang w:val="en-US"/>
        </w:rPr>
        <w:t>subsection</w:t>
      </w:r>
      <w:r w:rsidRPr="003D4D66">
        <w:rPr>
          <w:lang w:val="en-US"/>
        </w:rPr>
        <w:t xml:space="preserve"> </w:t>
      </w:r>
      <w:r w:rsidR="00EF5C71" w:rsidRPr="00116A27">
        <w:rPr>
          <w:u w:val="single"/>
          <w:lang w:val="en-US"/>
        </w:rPr>
        <w:t>paragraph</w:t>
      </w:r>
      <w:r w:rsidR="00EF5C71" w:rsidRPr="003D4D66">
        <w:rPr>
          <w:lang w:val="en-US"/>
        </w:rPr>
        <w:t xml:space="preserve"> </w:t>
      </w:r>
      <w:r w:rsidRPr="003D4D66">
        <w:rPr>
          <w:lang w:val="en-US"/>
        </w:rPr>
        <w:t>only applies to types of pressure receptacles designed and manufactured in accordance with the standards referred to in 6.2.4.1 or a technical code in accordance with 6.2.5, and for which the inherent properties of the design prevent the checks (b) and/or (d) for periodic inspection required in 6.2.1.6.1 to be applied or the results to be interpreted.</w:t>
      </w:r>
      <w:proofErr w:type="gramEnd"/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 xml:space="preserve">For such pressure receptacles, these check(s) </w:t>
      </w:r>
      <w:proofErr w:type="gramStart"/>
      <w:r w:rsidRPr="003D4D66">
        <w:rPr>
          <w:lang w:val="en-US"/>
        </w:rPr>
        <w:t>shall be replaced</w:t>
      </w:r>
      <w:proofErr w:type="gramEnd"/>
      <w:r w:rsidRPr="003D4D66">
        <w:rPr>
          <w:lang w:val="en-US"/>
        </w:rPr>
        <w:t xml:space="preserve"> by alternative method(s)</w:t>
      </w:r>
      <w:r w:rsidR="00C30677">
        <w:rPr>
          <w:lang w:val="en-US"/>
        </w:rPr>
        <w:t xml:space="preserve"> related </w:t>
      </w:r>
      <w:r w:rsidR="00C30677" w:rsidRPr="00755B16">
        <w:rPr>
          <w:u w:val="single"/>
          <w:lang w:val="en-US"/>
        </w:rPr>
        <w:t xml:space="preserve">to </w:t>
      </w:r>
      <w:r w:rsidR="001A23DC" w:rsidRPr="00755B16">
        <w:rPr>
          <w:u w:val="single"/>
          <w:lang w:val="en-US"/>
        </w:rPr>
        <w:t>the characteristics of</w:t>
      </w:r>
      <w:r w:rsidR="001A23DC">
        <w:rPr>
          <w:lang w:val="en-US"/>
        </w:rPr>
        <w:t xml:space="preserve"> the </w:t>
      </w:r>
      <w:r w:rsidR="00C30677">
        <w:rPr>
          <w:lang w:val="en-US"/>
        </w:rPr>
        <w:t>specific</w:t>
      </w:r>
      <w:r w:rsidR="000B4293">
        <w:rPr>
          <w:lang w:val="en-US"/>
        </w:rPr>
        <w:t xml:space="preserve"> </w:t>
      </w:r>
      <w:r w:rsidRPr="003D4D66">
        <w:rPr>
          <w:lang w:val="en-US"/>
        </w:rPr>
        <w:t>design</w:t>
      </w:r>
      <w:r w:rsidR="004D5CF4">
        <w:rPr>
          <w:lang w:val="en-US"/>
        </w:rPr>
        <w:t>,</w:t>
      </w:r>
      <w:r w:rsidRPr="00EF0E55">
        <w:rPr>
          <w:strike/>
          <w:lang w:val="en-US"/>
        </w:rPr>
        <w:t xml:space="preserve"> </w:t>
      </w:r>
      <w:r w:rsidR="000B4293" w:rsidRPr="00EF0E55">
        <w:rPr>
          <w:strike/>
          <w:lang w:val="en-US"/>
        </w:rPr>
        <w:t>as</w:t>
      </w:r>
      <w:r w:rsidR="000B4293">
        <w:rPr>
          <w:lang w:val="en-US"/>
        </w:rPr>
        <w:t xml:space="preserve"> </w:t>
      </w:r>
      <w:r w:rsidR="001A23DC" w:rsidRPr="00EF0E55">
        <w:rPr>
          <w:u w:val="single"/>
          <w:lang w:val="en-US"/>
        </w:rPr>
        <w:t>to be</w:t>
      </w:r>
      <w:r w:rsidR="001A23DC">
        <w:rPr>
          <w:lang w:val="en-US"/>
        </w:rPr>
        <w:t xml:space="preserve"> </w:t>
      </w:r>
      <w:r w:rsidR="000B4293">
        <w:rPr>
          <w:lang w:val="en-US"/>
        </w:rPr>
        <w:t xml:space="preserve">specified in </w:t>
      </w:r>
      <w:r w:rsidR="004D5CF4" w:rsidRPr="00755B16">
        <w:rPr>
          <w:u w:val="single"/>
          <w:lang w:val="en-US"/>
        </w:rPr>
        <w:t>a</w:t>
      </w:r>
      <w:r w:rsidR="004D5CF4">
        <w:rPr>
          <w:lang w:val="en-US"/>
        </w:rPr>
        <w:t xml:space="preserve"> </w:t>
      </w:r>
      <w:r w:rsidR="000B4293">
        <w:rPr>
          <w:lang w:val="en-US"/>
        </w:rPr>
        <w:t>p</w:t>
      </w:r>
      <w:r w:rsidRPr="003D4D66">
        <w:rPr>
          <w:lang w:val="en-US"/>
        </w:rPr>
        <w:t>aragraph</w:t>
      </w:r>
      <w:r w:rsidR="001A23DC">
        <w:rPr>
          <w:lang w:val="en-US"/>
        </w:rPr>
        <w:t xml:space="preserve"> </w:t>
      </w:r>
      <w:r w:rsidR="001A23DC" w:rsidRPr="00EF0E55">
        <w:rPr>
          <w:u w:val="single"/>
          <w:lang w:val="en-US"/>
        </w:rPr>
        <w:t>under</w:t>
      </w:r>
      <w:r w:rsidRPr="003D4D66">
        <w:rPr>
          <w:lang w:val="en-US"/>
        </w:rPr>
        <w:t xml:space="preserve"> 6.2.3</w:t>
      </w:r>
      <w:r w:rsidR="001A23DC" w:rsidRPr="00EF0E55">
        <w:rPr>
          <w:u w:val="single"/>
          <w:lang w:val="en-US"/>
        </w:rPr>
        <w:t>.5.4</w:t>
      </w:r>
      <w:r w:rsidR="00C30677" w:rsidRPr="00EF0E55">
        <w:rPr>
          <w:strike/>
          <w:lang w:val="en-US"/>
        </w:rPr>
        <w:t>.X.Y</w:t>
      </w:r>
      <w:r w:rsidR="000B4293">
        <w:rPr>
          <w:lang w:val="en-US"/>
        </w:rPr>
        <w:t>,</w:t>
      </w:r>
      <w:r w:rsidR="00C30677">
        <w:rPr>
          <w:lang w:val="en-US"/>
        </w:rPr>
        <w:t xml:space="preserve"> </w:t>
      </w:r>
      <w:r w:rsidR="00FA3495" w:rsidRPr="00D30EFA">
        <w:rPr>
          <w:lang w:val="en-US"/>
        </w:rPr>
        <w:t>and detailed</w:t>
      </w:r>
      <w:r w:rsidR="00FA3495">
        <w:rPr>
          <w:lang w:val="en-US"/>
        </w:rPr>
        <w:t xml:space="preserve"> </w:t>
      </w:r>
      <w:r w:rsidR="00C30677">
        <w:rPr>
          <w:lang w:val="en-US"/>
        </w:rPr>
        <w:t>in</w:t>
      </w:r>
      <w:r w:rsidR="00755B16">
        <w:rPr>
          <w:lang w:val="en-US"/>
        </w:rPr>
        <w:t xml:space="preserve"> </w:t>
      </w:r>
      <w:r w:rsidR="001A23DC" w:rsidRPr="00755B16">
        <w:rPr>
          <w:u w:val="single"/>
          <w:lang w:val="en-US"/>
        </w:rPr>
        <w:t>a</w:t>
      </w:r>
      <w:r w:rsidR="001A23DC">
        <w:rPr>
          <w:lang w:val="en-US"/>
        </w:rPr>
        <w:t xml:space="preserve"> </w:t>
      </w:r>
      <w:r w:rsidRPr="003D4D66">
        <w:rPr>
          <w:lang w:val="en-US"/>
        </w:rPr>
        <w:t xml:space="preserve">special provision </w:t>
      </w:r>
      <w:r w:rsidR="00C30677" w:rsidRPr="00EF0E55">
        <w:rPr>
          <w:strike/>
          <w:lang w:val="en-US"/>
        </w:rPr>
        <w:t>XYZ</w:t>
      </w:r>
      <w:r w:rsidR="00EF5C71">
        <w:rPr>
          <w:lang w:val="en-US"/>
        </w:rPr>
        <w:t xml:space="preserve"> of Chapter 3.3</w:t>
      </w:r>
      <w:r w:rsidR="00C30677">
        <w:rPr>
          <w:lang w:val="en-US"/>
        </w:rPr>
        <w:t xml:space="preserve"> </w:t>
      </w:r>
      <w:r w:rsidR="00FA55C9">
        <w:rPr>
          <w:lang w:val="en-US"/>
        </w:rPr>
        <w:t>or</w:t>
      </w:r>
      <w:r w:rsidRPr="003D4D66">
        <w:rPr>
          <w:lang w:val="en-US"/>
        </w:rPr>
        <w:t xml:space="preserve"> a standard</w:t>
      </w:r>
      <w:r w:rsidR="000B4293">
        <w:rPr>
          <w:lang w:val="en-US"/>
        </w:rPr>
        <w:t xml:space="preserve"> referenced in </w:t>
      </w:r>
      <w:r w:rsidR="000B4293" w:rsidRPr="00EF0E55">
        <w:rPr>
          <w:strike/>
          <w:lang w:val="en-US"/>
        </w:rPr>
        <w:t>WWW</w:t>
      </w:r>
      <w:r w:rsidR="004D5CF4" w:rsidRPr="00EF0E55">
        <w:rPr>
          <w:u w:val="single"/>
          <w:lang w:val="en-US"/>
        </w:rPr>
        <w:t>6.2.4.2</w:t>
      </w:r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 xml:space="preserve">The alternative method(s) </w:t>
      </w:r>
      <w:proofErr w:type="gramStart"/>
      <w:r w:rsidRPr="003D4D66">
        <w:rPr>
          <w:lang w:val="en-US"/>
        </w:rPr>
        <w:t xml:space="preserve">shall </w:t>
      </w:r>
      <w:r w:rsidR="009352CD" w:rsidRPr="009352CD">
        <w:rPr>
          <w:u w:val="single"/>
          <w:lang w:val="en-US"/>
        </w:rPr>
        <w:t>be described</w:t>
      </w:r>
      <w:proofErr w:type="gramEnd"/>
      <w:r w:rsidR="009352CD" w:rsidRPr="009352CD">
        <w:rPr>
          <w:u w:val="single"/>
          <w:lang w:val="en-US"/>
        </w:rPr>
        <w:t xml:space="preserve"> in a</w:t>
      </w:r>
      <w:r w:rsidR="009352CD">
        <w:rPr>
          <w:lang w:val="en-US"/>
        </w:rPr>
        <w:t xml:space="preserve"> </w:t>
      </w:r>
      <w:r w:rsidRPr="003D4D66">
        <w:rPr>
          <w:lang w:val="en-US"/>
        </w:rPr>
        <w:t xml:space="preserve">document </w:t>
      </w:r>
      <w:r w:rsidR="00771E1C">
        <w:rPr>
          <w:u w:val="single"/>
          <w:lang w:val="en-US"/>
        </w:rPr>
        <w:t>specifying</w:t>
      </w:r>
      <w:r w:rsidR="00771E1C">
        <w:rPr>
          <w:lang w:val="en-US"/>
        </w:rPr>
        <w:t xml:space="preserve"> </w:t>
      </w:r>
      <w:r w:rsidRPr="003D4D66">
        <w:rPr>
          <w:lang w:val="en-US"/>
        </w:rPr>
        <w:t>which check(s) for periodic inspection according to 6.2.1.6.1 (b) and/or (d) is/are to be substituted.</w:t>
      </w:r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 xml:space="preserve">The alternative method(s) in combination with the remaining checks according to 6.2.1.6.1 (a) to (e) shall ensure a level of safety at least equivalent to the safety level for pressure receptacles of a similar size and use which </w:t>
      </w:r>
      <w:proofErr w:type="gramStart"/>
      <w:r w:rsidRPr="003D4D66">
        <w:rPr>
          <w:lang w:val="en-US"/>
        </w:rPr>
        <w:t>are periodically inspected</w:t>
      </w:r>
      <w:proofErr w:type="gramEnd"/>
      <w:r w:rsidRPr="003D4D66">
        <w:rPr>
          <w:lang w:val="en-US"/>
        </w:rPr>
        <w:t xml:space="preserve"> in full compliance with 6.2.3.5.1.</w:t>
      </w:r>
    </w:p>
    <w:p w:rsidR="00B14AD8" w:rsidRPr="003D4D66" w:rsidRDefault="00B14AD8" w:rsidP="004F6ED8">
      <w:pPr>
        <w:pStyle w:val="SingleTxtG"/>
      </w:pPr>
      <w:r w:rsidRPr="003D4D66">
        <w:t>Th</w:t>
      </w:r>
      <w:r w:rsidRPr="009352CD">
        <w:t xml:space="preserve">e alternative method(s) shall moreover </w:t>
      </w:r>
      <w:r w:rsidRPr="009352CD">
        <w:rPr>
          <w:strike/>
        </w:rPr>
        <w:t xml:space="preserve">document </w:t>
      </w:r>
      <w:r w:rsidR="009352CD" w:rsidRPr="009352CD">
        <w:rPr>
          <w:u w:val="single"/>
        </w:rPr>
        <w:t xml:space="preserve">detail </w:t>
      </w:r>
      <w:r w:rsidRPr="009352CD">
        <w:t>all the following elements:</w:t>
      </w:r>
    </w:p>
    <w:p w:rsidR="00B14AD8" w:rsidRPr="003D4D66" w:rsidRDefault="00B14AD8" w:rsidP="004F6ED8">
      <w:pPr>
        <w:pStyle w:val="Bullet1G"/>
      </w:pPr>
      <w:r w:rsidRPr="003D4D66">
        <w:t>A description of the relevant types of pressure receptacles;</w:t>
      </w:r>
    </w:p>
    <w:p w:rsidR="00B14AD8" w:rsidRPr="003D4D66" w:rsidRDefault="00B14AD8" w:rsidP="004F6ED8">
      <w:pPr>
        <w:pStyle w:val="Bullet1G"/>
      </w:pPr>
      <w:r w:rsidRPr="003D4D66">
        <w:t>The procedure for the test(s);</w:t>
      </w:r>
    </w:p>
    <w:p w:rsidR="00B14AD8" w:rsidRPr="003D4D66" w:rsidRDefault="00B14AD8" w:rsidP="004F6ED8">
      <w:pPr>
        <w:pStyle w:val="Bullet1G"/>
      </w:pPr>
      <w:r w:rsidRPr="003D4D66">
        <w:t xml:space="preserve">A specification of the acceptance criteria; </w:t>
      </w:r>
    </w:p>
    <w:p w:rsidR="00B14AD8" w:rsidRPr="003D4D66" w:rsidRDefault="00B14AD8" w:rsidP="004F6ED8">
      <w:pPr>
        <w:pStyle w:val="Bullet1G"/>
      </w:pPr>
      <w:r w:rsidRPr="003D4D66">
        <w:t xml:space="preserve">A description of the measures to </w:t>
      </w:r>
      <w:proofErr w:type="gramStart"/>
      <w:r w:rsidRPr="003D4D66">
        <w:t>be taken</w:t>
      </w:r>
      <w:proofErr w:type="gramEnd"/>
      <w:r w:rsidRPr="003D4D66">
        <w:t xml:space="preserve"> </w:t>
      </w:r>
      <w:r w:rsidR="00B1139F" w:rsidRPr="00EF0E55">
        <w:rPr>
          <w:u w:val="single"/>
        </w:rPr>
        <w:t>in case of</w:t>
      </w:r>
      <w:r w:rsidR="00872308">
        <w:t xml:space="preserve"> </w:t>
      </w:r>
      <w:r w:rsidRPr="00EF0E55">
        <w:rPr>
          <w:strike/>
        </w:rPr>
        <w:t>with</w:t>
      </w:r>
      <w:r w:rsidRPr="003D4D66">
        <w:t xml:space="preserve"> </w:t>
      </w:r>
      <w:r w:rsidRPr="00EF0E55">
        <w:rPr>
          <w:u w:val="single"/>
        </w:rPr>
        <w:t>reject</w:t>
      </w:r>
      <w:r w:rsidR="00B1139F" w:rsidRPr="00EF0E55">
        <w:rPr>
          <w:u w:val="single"/>
        </w:rPr>
        <w:t>ion of</w:t>
      </w:r>
      <w:r w:rsidRPr="003D4D66">
        <w:t xml:space="preserve"> pressure receptacles.</w:t>
      </w:r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>6.2.3.5.3.1</w:t>
      </w:r>
      <w:r w:rsidRPr="003D4D66">
        <w:rPr>
          <w:lang w:val="en-US"/>
        </w:rPr>
        <w:tab/>
        <w:t>Non-destructive testing as an alternative method</w:t>
      </w:r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 xml:space="preserve">The check(s) identified in 6.2.3.5.3 shall be supplemented and/or replaced by one (or more) non-destructive test method(s) to </w:t>
      </w:r>
      <w:proofErr w:type="gramStart"/>
      <w:r w:rsidRPr="003D4D66">
        <w:rPr>
          <w:lang w:val="en-US"/>
        </w:rPr>
        <w:t>be performed</w:t>
      </w:r>
      <w:proofErr w:type="gramEnd"/>
      <w:r w:rsidRPr="003D4D66">
        <w:rPr>
          <w:lang w:val="en-US"/>
        </w:rPr>
        <w:t xml:space="preserve"> on each individual pressure receptacle.</w:t>
      </w:r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>6.2.3.5.3.2</w:t>
      </w:r>
      <w:r w:rsidRPr="003D4D66">
        <w:rPr>
          <w:lang w:val="en-US"/>
        </w:rPr>
        <w:tab/>
        <w:t>Destructive testing as an alternative</w:t>
      </w:r>
      <w:r w:rsidRPr="003D4D66">
        <w:rPr>
          <w:spacing w:val="-7"/>
          <w:lang w:val="en-US"/>
        </w:rPr>
        <w:t xml:space="preserve"> </w:t>
      </w:r>
      <w:r w:rsidRPr="003D4D66">
        <w:rPr>
          <w:lang w:val="en-US"/>
        </w:rPr>
        <w:t>method</w:t>
      </w:r>
    </w:p>
    <w:p w:rsidR="00B14AD8" w:rsidRPr="003D4D66" w:rsidRDefault="00B14AD8" w:rsidP="004F6ED8">
      <w:pPr>
        <w:pStyle w:val="SingleTxtG"/>
        <w:rPr>
          <w:lang w:val="en-US"/>
        </w:rPr>
      </w:pPr>
      <w:r w:rsidRPr="003D4D66">
        <w:rPr>
          <w:lang w:val="en-US"/>
        </w:rPr>
        <w:t>If no non-destructive test method leads to an equivalent level of safety, the check(s) identified in 6.2.3.5.3</w:t>
      </w:r>
      <w:r w:rsidR="00872308" w:rsidRPr="00EF0E55">
        <w:rPr>
          <w:u w:val="single"/>
          <w:lang w:val="en-US"/>
        </w:rPr>
        <w:t>, with exception of the internal inspection mentioned in 6.2.1.6.1 b) in that case</w:t>
      </w:r>
      <w:r w:rsidR="00872308">
        <w:rPr>
          <w:lang w:val="en-US"/>
        </w:rPr>
        <w:t>,</w:t>
      </w:r>
      <w:r w:rsidRPr="003D4D66">
        <w:rPr>
          <w:lang w:val="en-US"/>
        </w:rPr>
        <w:t xml:space="preserve"> </w:t>
      </w:r>
      <w:r w:rsidRPr="003D4D66">
        <w:rPr>
          <w:lang w:val="en-US"/>
        </w:rPr>
        <w:lastRenderedPageBreak/>
        <w:t>shall be supplemented and/or replaced by one (or more) destructive test method(s) in combination with its statistical evaluation.</w:t>
      </w:r>
    </w:p>
    <w:p w:rsidR="00B14AD8" w:rsidRPr="003D4D66" w:rsidRDefault="00B14AD8" w:rsidP="004F6ED8">
      <w:pPr>
        <w:pStyle w:val="SingleTxtG"/>
      </w:pPr>
      <w:r w:rsidRPr="003D4D66">
        <w:rPr>
          <w:lang w:val="en-US"/>
        </w:rPr>
        <w:t xml:space="preserve">In addition to the elements described </w:t>
      </w:r>
      <w:r w:rsidR="00B1139F" w:rsidRPr="00EF0E55">
        <w:rPr>
          <w:u w:val="single"/>
          <w:lang w:val="en-US"/>
        </w:rPr>
        <w:t>above</w:t>
      </w:r>
      <w:r w:rsidR="006E4EF0">
        <w:rPr>
          <w:lang w:val="en-US"/>
        </w:rPr>
        <w:t xml:space="preserve"> </w:t>
      </w:r>
      <w:r w:rsidRPr="00EF0E55">
        <w:rPr>
          <w:strike/>
          <w:lang w:val="en-US"/>
        </w:rPr>
        <w:t>in 6.2.3.5.3</w:t>
      </w:r>
      <w:r w:rsidRPr="003D4D66">
        <w:rPr>
          <w:lang w:val="en-US"/>
        </w:rPr>
        <w:t>, t</w:t>
      </w:r>
      <w:r w:rsidRPr="003D4D66">
        <w:t>he detailed method for destructive testing shall document the following elements:</w:t>
      </w:r>
    </w:p>
    <w:p w:rsidR="00B14AD8" w:rsidRPr="003D4D66" w:rsidRDefault="00B14AD8" w:rsidP="004F6ED8">
      <w:pPr>
        <w:pStyle w:val="Bullet1G"/>
      </w:pPr>
      <w:r w:rsidRPr="003D4D66">
        <w:rPr>
          <w:lang w:val="en-US"/>
        </w:rPr>
        <w:t>A</w:t>
      </w:r>
      <w:r w:rsidRPr="003D4D66">
        <w:t xml:space="preserve"> description of the relevant </w:t>
      </w:r>
      <w:r w:rsidR="005D3606" w:rsidRPr="00115DC9">
        <w:rPr>
          <w:u w:val="single"/>
        </w:rPr>
        <w:t>basic</w:t>
      </w:r>
      <w:r w:rsidR="005D3606">
        <w:t xml:space="preserve"> </w:t>
      </w:r>
      <w:r w:rsidRPr="003D4D66">
        <w:t>population of pressure receptacles;</w:t>
      </w:r>
    </w:p>
    <w:p w:rsidR="00B14AD8" w:rsidRPr="003D4D66" w:rsidRDefault="00B14AD8" w:rsidP="004F6ED8">
      <w:pPr>
        <w:pStyle w:val="Bullet1G"/>
      </w:pPr>
      <w:r w:rsidRPr="003D4D66">
        <w:t>A procedure for the random sampling of individual pressure receptacles to be tested;</w:t>
      </w:r>
    </w:p>
    <w:p w:rsidR="00B14AD8" w:rsidRPr="003D4D66" w:rsidRDefault="00B14AD8" w:rsidP="004F6ED8">
      <w:pPr>
        <w:pStyle w:val="Bullet1G"/>
      </w:pPr>
      <w:r w:rsidRPr="003D4D66">
        <w:t>A procedure for the statistical evaluation of the test results</w:t>
      </w:r>
      <w:r w:rsidR="00B1139F">
        <w:t xml:space="preserve"> </w:t>
      </w:r>
      <w:r w:rsidR="00B1139F" w:rsidRPr="00EF0E55">
        <w:rPr>
          <w:u w:val="single"/>
        </w:rPr>
        <w:t>including rejection criteria</w:t>
      </w:r>
      <w:r w:rsidRPr="003D4D66">
        <w:t xml:space="preserve">; </w:t>
      </w:r>
    </w:p>
    <w:p w:rsidR="00B14AD8" w:rsidRPr="003D4D66" w:rsidRDefault="00B14AD8" w:rsidP="004F6ED8">
      <w:pPr>
        <w:pStyle w:val="Bullet1G"/>
      </w:pPr>
      <w:r w:rsidRPr="003D4D66">
        <w:t xml:space="preserve">A specification for the periodicity of destructive sample tests; </w:t>
      </w:r>
    </w:p>
    <w:p w:rsidR="00B14AD8" w:rsidRPr="003D4D66" w:rsidRDefault="00B14AD8" w:rsidP="004F6ED8">
      <w:pPr>
        <w:pStyle w:val="Bullet1G"/>
      </w:pPr>
      <w:r w:rsidRPr="003D4D66">
        <w:t>A description of the measures to be taken if acceptance criteria are met but a safety relevant degradation of material properties is observed</w:t>
      </w:r>
      <w:r w:rsidR="00B1139F">
        <w:t>,</w:t>
      </w:r>
      <w:r w:rsidRPr="003D4D66">
        <w:t xml:space="preserve"> which could</w:t>
      </w:r>
      <w:r w:rsidR="00B1139F" w:rsidRPr="006E4EF0">
        <w:rPr>
          <w:u w:val="single"/>
        </w:rPr>
        <w:t xml:space="preserve"> be used for the determination of the</w:t>
      </w:r>
      <w:r w:rsidRPr="003D4D66">
        <w:t xml:space="preserve"> </w:t>
      </w:r>
      <w:r w:rsidRPr="006E4EF0">
        <w:rPr>
          <w:strike/>
        </w:rPr>
        <w:t>predict an</w:t>
      </w:r>
      <w:r w:rsidRPr="003D4D66">
        <w:t xml:space="preserve"> end of service life;</w:t>
      </w:r>
    </w:p>
    <w:p w:rsidR="00B14AD8" w:rsidRPr="003D4D66" w:rsidRDefault="00B14AD8" w:rsidP="004F6ED8">
      <w:pPr>
        <w:pStyle w:val="Bullet1G"/>
      </w:pPr>
      <w:r w:rsidRPr="003D4D66">
        <w:t>A s</w:t>
      </w:r>
      <w:proofErr w:type="spellStart"/>
      <w:r w:rsidRPr="003D4D66">
        <w:rPr>
          <w:lang w:val="en-US"/>
        </w:rPr>
        <w:t>tatistical</w:t>
      </w:r>
      <w:proofErr w:type="spellEnd"/>
      <w:r w:rsidRPr="003D4D66">
        <w:rPr>
          <w:lang w:val="en-US"/>
        </w:rPr>
        <w:t xml:space="preserve"> assessment of the level of safety achieved by the alternative method.</w:t>
      </w:r>
      <w:proofErr w:type="gramStart"/>
      <w:r w:rsidR="000072E9">
        <w:rPr>
          <w:lang w:val="en-US"/>
        </w:rPr>
        <w:t>”.</w:t>
      </w:r>
      <w:proofErr w:type="gramEnd"/>
    </w:p>
    <w:p w:rsidR="00B14AD8" w:rsidRPr="001834C3" w:rsidRDefault="004F6ED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4AD8" w:rsidRPr="001834C3">
        <w:rPr>
          <w:lang w:val="en-US"/>
        </w:rPr>
        <w:t>Proposal 2 – Alternative Method of Periodic Inspection dedicated to Over-</w:t>
      </w:r>
      <w:proofErr w:type="spellStart"/>
      <w:r w:rsidR="00B14AD8" w:rsidRPr="001834C3">
        <w:rPr>
          <w:lang w:val="en-US"/>
        </w:rPr>
        <w:t>Moulded</w:t>
      </w:r>
      <w:proofErr w:type="spellEnd"/>
      <w:r w:rsidR="00B14AD8" w:rsidRPr="001834C3">
        <w:rPr>
          <w:lang w:val="en-US"/>
        </w:rPr>
        <w:t xml:space="preserve"> Cylinders</w:t>
      </w:r>
    </w:p>
    <w:p w:rsidR="00B14AD8" w:rsidRPr="00B8339B" w:rsidRDefault="000072E9" w:rsidP="0039377E">
      <w:pPr>
        <w:widowControl w:val="0"/>
        <w:suppressAutoHyphens w:val="0"/>
        <w:spacing w:before="247" w:line="240" w:lineRule="auto"/>
        <w:ind w:left="1134"/>
        <w:jc w:val="both"/>
      </w:pPr>
      <w:r>
        <w:t>1</w:t>
      </w:r>
      <w:r w:rsidR="00C30677">
        <w:t>5</w:t>
      </w:r>
      <w:r>
        <w:t>.</w:t>
      </w:r>
      <w:r>
        <w:tab/>
      </w:r>
      <w:r w:rsidR="00B14AD8" w:rsidRPr="00B8339B">
        <w:t>Add the following definition in</w:t>
      </w:r>
      <w:r w:rsidR="00B14AD8" w:rsidRPr="000072E9">
        <w:rPr>
          <w:spacing w:val="-18"/>
        </w:rPr>
        <w:t xml:space="preserve"> </w:t>
      </w:r>
      <w:r w:rsidR="00B14AD8" w:rsidRPr="00B8339B">
        <w:t>1.2.1:</w:t>
      </w:r>
    </w:p>
    <w:p w:rsidR="00B14AD8" w:rsidRDefault="00B14AD8" w:rsidP="0039377E">
      <w:pPr>
        <w:pStyle w:val="SingleTxtG"/>
        <w:spacing w:before="120"/>
      </w:pPr>
      <w:r w:rsidRPr="00B8339B">
        <w:t>“</w:t>
      </w:r>
      <w:r w:rsidRPr="00B8339B">
        <w:rPr>
          <w:i/>
        </w:rPr>
        <w:t xml:space="preserve">Over-moulded cylinder </w:t>
      </w:r>
      <w:r w:rsidRPr="00B8339B">
        <w:t xml:space="preserve">means a cylinder intended for the carriage of LPG </w:t>
      </w:r>
      <w:r>
        <w:t>with</w:t>
      </w:r>
      <w:r w:rsidRPr="00B8339B">
        <w:t xml:space="preserve"> a water capacity not exceeding 13 litres made of a </w:t>
      </w:r>
      <w:r w:rsidRPr="00922A9D">
        <w:t xml:space="preserve">coated </w:t>
      </w:r>
      <w:r w:rsidRPr="00740224">
        <w:rPr>
          <w:lang w:val="en-US"/>
        </w:rPr>
        <w:t>welded</w:t>
      </w:r>
      <w:r w:rsidRPr="00922A9D">
        <w:rPr>
          <w:lang w:val="en-US"/>
        </w:rPr>
        <w:t xml:space="preserve"> </w:t>
      </w:r>
      <w:r w:rsidRPr="00922A9D">
        <w:t>steel</w:t>
      </w:r>
      <w:r w:rsidRPr="00B8339B">
        <w:t xml:space="preserve"> inner cylinder with an over-moulded protective case made from cellular plastic, which is non</w:t>
      </w:r>
      <w:r>
        <w:t>-</w:t>
      </w:r>
      <w:r w:rsidRPr="00B8339B">
        <w:t>removable and bonded to the outer surface of the steel cylinder</w:t>
      </w:r>
      <w:r w:rsidRPr="00B8339B">
        <w:rPr>
          <w:spacing w:val="-25"/>
        </w:rPr>
        <w:t xml:space="preserve"> </w:t>
      </w:r>
      <w:r w:rsidRPr="00B8339B">
        <w:t>wall”.</w:t>
      </w:r>
    </w:p>
    <w:p w:rsidR="00B14AD8" w:rsidRDefault="00C30677" w:rsidP="0039377E">
      <w:pPr>
        <w:widowControl w:val="0"/>
        <w:suppressAutoHyphens w:val="0"/>
        <w:spacing w:before="120" w:after="120" w:line="240" w:lineRule="auto"/>
        <w:ind w:left="1134"/>
        <w:jc w:val="both"/>
      </w:pPr>
      <w:r>
        <w:t>16</w:t>
      </w:r>
      <w:r w:rsidR="000072E9">
        <w:t>.</w:t>
      </w:r>
      <w:r w:rsidR="000072E9">
        <w:tab/>
      </w:r>
      <w:r w:rsidR="00B14AD8" w:rsidRPr="00B8339B">
        <w:t>Insert “6XY” in column (6) of the Dangerous Goods list for the entries for UN numbers 1011, 1075, 1965, 1969 and</w:t>
      </w:r>
      <w:r w:rsidR="00B14AD8" w:rsidRPr="00B8339B">
        <w:rPr>
          <w:spacing w:val="-16"/>
        </w:rPr>
        <w:t xml:space="preserve"> </w:t>
      </w:r>
      <w:r w:rsidR="00B14AD8" w:rsidRPr="00B8339B">
        <w:t>1978.</w:t>
      </w:r>
    </w:p>
    <w:p w:rsidR="00B14AD8" w:rsidRPr="000072E9" w:rsidRDefault="000072E9" w:rsidP="0039377E">
      <w:pPr>
        <w:pStyle w:val="SingleTxtG"/>
        <w:spacing w:before="120"/>
      </w:pPr>
      <w:r>
        <w:t>1</w:t>
      </w:r>
      <w:r w:rsidR="00C30677">
        <w:t>7</w:t>
      </w:r>
      <w:r w:rsidR="004F6ED8" w:rsidRPr="000072E9">
        <w:t>.</w:t>
      </w:r>
      <w:r w:rsidR="004F6ED8" w:rsidRPr="000072E9">
        <w:tab/>
      </w:r>
      <w:r w:rsidR="00B14AD8" w:rsidRPr="000072E9">
        <w:t>Add the following specification about periodic inspection for over-moulded cylinders in a new sub-section 6.2.3.5.4 to read as</w:t>
      </w:r>
      <w:r w:rsidR="00B14AD8" w:rsidRPr="0039377E">
        <w:t xml:space="preserve"> </w:t>
      </w:r>
      <w:r w:rsidR="00B14AD8" w:rsidRPr="000072E9">
        <w:t>follows:</w:t>
      </w:r>
    </w:p>
    <w:p w:rsidR="00B14AD8" w:rsidRPr="000072E9" w:rsidRDefault="00B14AD8" w:rsidP="0039377E">
      <w:pPr>
        <w:pStyle w:val="SingleTxtG"/>
        <w:spacing w:before="120"/>
      </w:pPr>
      <w:r w:rsidRPr="000072E9">
        <w:t>“6.2.3.5.4 Over-moulded cylinders shall be subject to periodic inspection and tests in accordance with special provision 6XY of Chapter 3.3”.</w:t>
      </w:r>
    </w:p>
    <w:p w:rsidR="00B14AD8" w:rsidRPr="00B8339B" w:rsidRDefault="000072E9" w:rsidP="004F6ED8">
      <w:pPr>
        <w:pStyle w:val="SingleTxtG"/>
      </w:pPr>
      <w:r>
        <w:t>1</w:t>
      </w:r>
      <w:r w:rsidR="00C30677">
        <w:t>8</w:t>
      </w:r>
      <w:r w:rsidR="004F6ED8">
        <w:t>.</w:t>
      </w:r>
      <w:r w:rsidR="004F6ED8">
        <w:tab/>
      </w:r>
      <w:r w:rsidR="00B14AD8" w:rsidRPr="00B8339B">
        <w:t>Insert the following special provision in</w:t>
      </w:r>
      <w:r w:rsidR="00B14AD8" w:rsidRPr="00B8339B">
        <w:rPr>
          <w:spacing w:val="-18"/>
        </w:rPr>
        <w:t xml:space="preserve"> </w:t>
      </w:r>
      <w:r w:rsidR="00B14AD8" w:rsidRPr="00B8339B">
        <w:t>3.3.1:</w:t>
      </w:r>
    </w:p>
    <w:p w:rsidR="00B14AD8" w:rsidRDefault="00B14AD8" w:rsidP="004F6ED8">
      <w:pPr>
        <w:pStyle w:val="SingleTxtG"/>
      </w:pPr>
      <w:r w:rsidRPr="00B8339B">
        <w:t xml:space="preserve">“6XY </w:t>
      </w:r>
      <w:proofErr w:type="gramStart"/>
      <w:r w:rsidRPr="00B8339B">
        <w:t>This</w:t>
      </w:r>
      <w:proofErr w:type="gramEnd"/>
      <w:r w:rsidRPr="00B8339B">
        <w:t xml:space="preserve"> </w:t>
      </w:r>
      <w:r w:rsidR="000072E9">
        <w:t>special provision</w:t>
      </w:r>
      <w:r w:rsidR="000072E9" w:rsidRPr="00B8339B">
        <w:t xml:space="preserve"> </w:t>
      </w:r>
      <w:r w:rsidRPr="00B8339B">
        <w:t>applies to periodic inspection of over-moulded cylinders as defined in 1.2.1.</w:t>
      </w:r>
    </w:p>
    <w:p w:rsidR="00B14AD8" w:rsidRDefault="00B14AD8" w:rsidP="004F6ED8">
      <w:pPr>
        <w:pStyle w:val="SingleTxtG"/>
      </w:pPr>
      <w:r w:rsidRPr="00B8339B">
        <w:t xml:space="preserve">Over-moulded cylinders shall be subject to periodic inspection in accordance with </w:t>
      </w:r>
      <w:r>
        <w:t>6.2.1.6.1, adapted by the following alternative method:</w:t>
      </w:r>
    </w:p>
    <w:p w:rsidR="00B14AD8" w:rsidRDefault="00B14AD8" w:rsidP="004F6ED8">
      <w:pPr>
        <w:pStyle w:val="Bullet1G"/>
      </w:pPr>
      <w:r>
        <w:t>Substitute check 6.2.1.6.1 d) by alternative destructive tests.</w:t>
      </w:r>
    </w:p>
    <w:p w:rsidR="00B14AD8" w:rsidRDefault="00B14AD8" w:rsidP="004F6ED8">
      <w:pPr>
        <w:pStyle w:val="Bullet1G"/>
      </w:pPr>
      <w:r>
        <w:t xml:space="preserve">Perform specific additional destructive tests related to the </w:t>
      </w:r>
      <w:r w:rsidRPr="00116A27">
        <w:rPr>
          <w:strike/>
        </w:rPr>
        <w:t xml:space="preserve">design </w:t>
      </w:r>
      <w:r w:rsidR="005D3606" w:rsidRPr="00116A27">
        <w:rPr>
          <w:u w:val="single"/>
        </w:rPr>
        <w:t xml:space="preserve">characteristics </w:t>
      </w:r>
      <w:r w:rsidRPr="00B8339B">
        <w:t>of over-moulded cylinders</w:t>
      </w:r>
      <w:r>
        <w:t xml:space="preserve">. </w:t>
      </w:r>
    </w:p>
    <w:p w:rsidR="00B14AD8" w:rsidRDefault="00B14AD8" w:rsidP="004F6ED8">
      <w:pPr>
        <w:pStyle w:val="SingleTxtG"/>
      </w:pPr>
      <w:r>
        <w:t xml:space="preserve">The procedures and requirements of this </w:t>
      </w:r>
      <w:r w:rsidRPr="00B8339B">
        <w:t xml:space="preserve">alternative method </w:t>
      </w:r>
      <w:proofErr w:type="gramStart"/>
      <w:r w:rsidR="000971E8">
        <w:t xml:space="preserve">are </w:t>
      </w:r>
      <w:r w:rsidRPr="00B8339B">
        <w:t>described</w:t>
      </w:r>
      <w:proofErr w:type="gramEnd"/>
      <w:r w:rsidRPr="00B8339B">
        <w:t xml:space="preserve"> below.</w:t>
      </w:r>
    </w:p>
    <w:p w:rsidR="00B14AD8" w:rsidRPr="00B8339B" w:rsidRDefault="00B14AD8" w:rsidP="00450C73">
      <w:pPr>
        <w:pStyle w:val="SingleTxtG"/>
      </w:pPr>
      <w:r w:rsidRPr="00B8339B">
        <w:rPr>
          <w:u w:color="000000"/>
        </w:rPr>
        <w:t>Alternative</w:t>
      </w:r>
      <w:r w:rsidRPr="00B8339B">
        <w:rPr>
          <w:spacing w:val="-10"/>
          <w:u w:color="000000"/>
        </w:rPr>
        <w:t xml:space="preserve"> </w:t>
      </w:r>
      <w:r w:rsidR="000072E9">
        <w:rPr>
          <w:u w:color="000000"/>
        </w:rPr>
        <w:t>m</w:t>
      </w:r>
      <w:r w:rsidRPr="00B8339B">
        <w:rPr>
          <w:u w:color="000000"/>
        </w:rPr>
        <w:t>ethod:</w:t>
      </w:r>
    </w:p>
    <w:p w:rsidR="00B14AD8" w:rsidRPr="00B8339B" w:rsidRDefault="00450C73" w:rsidP="00450C73">
      <w:pPr>
        <w:pStyle w:val="SingleTxtG"/>
        <w:ind w:left="1701" w:hanging="567"/>
      </w:pPr>
      <w:r>
        <w:tab/>
        <w:t>(a)</w:t>
      </w:r>
      <w:r>
        <w:tab/>
      </w:r>
      <w:r w:rsidR="00B14AD8" w:rsidRPr="00B8339B">
        <w:t>General</w:t>
      </w:r>
    </w:p>
    <w:p w:rsidR="00B14AD8" w:rsidRDefault="00B14AD8" w:rsidP="002253D8">
      <w:pPr>
        <w:pStyle w:val="SingleTxtG"/>
        <w:ind w:left="2268"/>
      </w:pPr>
      <w:r>
        <w:t>The following provisions apply to o</w:t>
      </w:r>
      <w:r w:rsidRPr="00B8339B">
        <w:t xml:space="preserve">ver-moulded cylinders produced serially and based </w:t>
      </w:r>
      <w:r w:rsidRPr="00922A9D">
        <w:t xml:space="preserve">on </w:t>
      </w:r>
      <w:r w:rsidRPr="00740224">
        <w:rPr>
          <w:lang w:val="en-US"/>
        </w:rPr>
        <w:t>welded</w:t>
      </w:r>
      <w:r w:rsidRPr="00922A9D">
        <w:rPr>
          <w:lang w:val="en-US"/>
        </w:rPr>
        <w:t xml:space="preserve"> </w:t>
      </w:r>
      <w:r w:rsidRPr="00922A9D">
        <w:t>steel</w:t>
      </w:r>
      <w:r w:rsidRPr="00B8339B">
        <w:t xml:space="preserve"> cylinders in accordance with </w:t>
      </w:r>
      <w:proofErr w:type="spellStart"/>
      <w:r w:rsidRPr="00B8339B">
        <w:t>prEN</w:t>
      </w:r>
      <w:proofErr w:type="spellEnd"/>
      <w:r w:rsidR="0005625A">
        <w:t> </w:t>
      </w:r>
      <w:r w:rsidRPr="00B8339B">
        <w:t>1442:2014, EN</w:t>
      </w:r>
      <w:r w:rsidR="0005625A">
        <w:t> </w:t>
      </w:r>
      <w:r w:rsidRPr="00B8339B">
        <w:t xml:space="preserve">14140:2015 or annex I, parts 1 to 3 to Council Directive 84/527/EEC. The design of the over-moulding shall </w:t>
      </w:r>
      <w:r>
        <w:t xml:space="preserve">prevent water from </w:t>
      </w:r>
      <w:r w:rsidRPr="00922A9D">
        <w:t xml:space="preserve">penetrating </w:t>
      </w:r>
      <w:r w:rsidRPr="00740224">
        <w:t>on</w:t>
      </w:r>
      <w:r w:rsidRPr="00740224">
        <w:rPr>
          <w:lang w:val="en-US"/>
        </w:rPr>
        <w:t xml:space="preserve"> </w:t>
      </w:r>
      <w:r w:rsidRPr="00740224">
        <w:t>to</w:t>
      </w:r>
      <w:r w:rsidRPr="00922A9D">
        <w:t xml:space="preserve"> the </w:t>
      </w:r>
      <w:r w:rsidRPr="00922A9D">
        <w:lastRenderedPageBreak/>
        <w:t>inner</w:t>
      </w:r>
      <w:r w:rsidRPr="00B8339B">
        <w:t xml:space="preserve"> steel </w:t>
      </w:r>
      <w:r w:rsidRPr="00994E8B">
        <w:t>cylinder. The conversion of the</w:t>
      </w:r>
      <w:r w:rsidRPr="00B8339B">
        <w:t xml:space="preserve"> base steel cylinder to an over-moulded cylinder shall comply with the relevant requirements of </w:t>
      </w:r>
      <w:proofErr w:type="spellStart"/>
      <w:r w:rsidRPr="00B8339B">
        <w:t>prEN</w:t>
      </w:r>
      <w:proofErr w:type="spellEnd"/>
      <w:r w:rsidR="0005625A">
        <w:t> </w:t>
      </w:r>
      <w:r w:rsidRPr="00B8339B">
        <w:t>1442:2014 and</w:t>
      </w:r>
      <w:r w:rsidRPr="00B8339B">
        <w:rPr>
          <w:spacing w:val="-30"/>
        </w:rPr>
        <w:t xml:space="preserve"> </w:t>
      </w:r>
      <w:r w:rsidRPr="00B8339B">
        <w:t>EN</w:t>
      </w:r>
      <w:r w:rsidR="0005625A">
        <w:t> </w:t>
      </w:r>
      <w:r w:rsidRPr="00B8339B">
        <w:t>14140:2015.</w:t>
      </w:r>
    </w:p>
    <w:p w:rsidR="00B14AD8" w:rsidRDefault="00450C73" w:rsidP="00450C73">
      <w:pPr>
        <w:pStyle w:val="SingleTxtG"/>
      </w:pPr>
      <w:r>
        <w:rPr>
          <w:lang w:val="en-US"/>
        </w:rPr>
        <w:tab/>
      </w:r>
      <w:r>
        <w:rPr>
          <w:lang w:val="en-US"/>
        </w:rPr>
        <w:tab/>
      </w:r>
      <w:r w:rsidR="00B14AD8" w:rsidRPr="00CF758C">
        <w:rPr>
          <w:lang w:val="en-US"/>
        </w:rPr>
        <w:t>O</w:t>
      </w:r>
      <w:proofErr w:type="spellStart"/>
      <w:r w:rsidR="00B14AD8" w:rsidRPr="00B8339B">
        <w:t>ver</w:t>
      </w:r>
      <w:proofErr w:type="spellEnd"/>
      <w:r w:rsidR="00B14AD8" w:rsidRPr="00B8339B">
        <w:t>-moulded cylinders shall be equipped with self-closing</w:t>
      </w:r>
      <w:r w:rsidR="00B14AD8" w:rsidRPr="00B8339B">
        <w:rPr>
          <w:spacing w:val="-25"/>
        </w:rPr>
        <w:t xml:space="preserve"> </w:t>
      </w:r>
      <w:r w:rsidR="00B14AD8" w:rsidRPr="00B8339B">
        <w:t>valves.</w:t>
      </w:r>
    </w:p>
    <w:p w:rsidR="00B14AD8" w:rsidRPr="00B8339B" w:rsidRDefault="00450C73" w:rsidP="00450C73">
      <w:pPr>
        <w:pStyle w:val="SingleTxtG"/>
      </w:pPr>
      <w:r>
        <w:tab/>
      </w:r>
      <w:r>
        <w:tab/>
        <w:t>(b)</w:t>
      </w:r>
      <w:r>
        <w:tab/>
      </w:r>
      <w:r w:rsidR="00B14AD8">
        <w:t xml:space="preserve">Basic </w:t>
      </w:r>
      <w:r w:rsidR="000072E9">
        <w:t>p</w:t>
      </w:r>
      <w:r w:rsidR="00B14AD8">
        <w:t>opulation</w:t>
      </w:r>
    </w:p>
    <w:p w:rsidR="00B14AD8" w:rsidRDefault="00B14AD8" w:rsidP="00450C73">
      <w:pPr>
        <w:pStyle w:val="SingleTxtG"/>
        <w:ind w:left="1701"/>
      </w:pPr>
      <w:r w:rsidRPr="00B8339B">
        <w:t xml:space="preserve">A </w:t>
      </w:r>
      <w:r>
        <w:t>basic population</w:t>
      </w:r>
      <w:r w:rsidRPr="00B8339B">
        <w:t xml:space="preserve"> of over-moulded cylinders </w:t>
      </w:r>
      <w:proofErr w:type="gramStart"/>
      <w:r w:rsidRPr="00B8339B">
        <w:t>is defined</w:t>
      </w:r>
      <w:proofErr w:type="gramEnd"/>
      <w:r w:rsidRPr="00B8339B">
        <w:t xml:space="preserve"> as the production of cylinders from </w:t>
      </w:r>
      <w:r>
        <w:t>only one</w:t>
      </w:r>
      <w:r w:rsidRPr="00B8339B">
        <w:t xml:space="preserve"> </w:t>
      </w:r>
      <w:r w:rsidRPr="001F6DA5">
        <w:rPr>
          <w:lang w:val="en-US"/>
        </w:rPr>
        <w:t>o</w:t>
      </w:r>
      <w:r>
        <w:rPr>
          <w:lang w:val="en-US"/>
        </w:rPr>
        <w:t>ver-</w:t>
      </w:r>
      <w:proofErr w:type="spellStart"/>
      <w:r>
        <w:rPr>
          <w:lang w:val="en-US"/>
        </w:rPr>
        <w:t>moulding</w:t>
      </w:r>
      <w:proofErr w:type="spellEnd"/>
      <w:r>
        <w:rPr>
          <w:lang w:val="en-US"/>
        </w:rPr>
        <w:t xml:space="preserve"> </w:t>
      </w:r>
      <w:r>
        <w:t>manufacturer</w:t>
      </w:r>
      <w:r w:rsidRPr="00B8339B">
        <w:t xml:space="preserve"> using inner cylinders manufactured by </w:t>
      </w:r>
      <w:r>
        <w:t xml:space="preserve">only </w:t>
      </w:r>
      <w:r w:rsidRPr="00B8339B">
        <w:t xml:space="preserve">one manufacturer within one calendar year, </w:t>
      </w:r>
      <w:r>
        <w:t>based</w:t>
      </w:r>
      <w:r w:rsidRPr="00B8339B">
        <w:t xml:space="preserve"> </w:t>
      </w:r>
      <w:r>
        <w:t>on</w:t>
      </w:r>
      <w:r w:rsidRPr="00B8339B">
        <w:t xml:space="preserve"> the same design</w:t>
      </w:r>
      <w:r>
        <w:t xml:space="preserve"> type</w:t>
      </w:r>
      <w:r w:rsidRPr="00B8339B">
        <w:t xml:space="preserve">, </w:t>
      </w:r>
      <w:r>
        <w:t xml:space="preserve">the same </w:t>
      </w:r>
      <w:r w:rsidRPr="00B8339B">
        <w:t>material</w:t>
      </w:r>
      <w:r>
        <w:t>s</w:t>
      </w:r>
      <w:r w:rsidRPr="00B8339B">
        <w:t xml:space="preserve"> and production</w:t>
      </w:r>
      <w:r w:rsidRPr="00B8339B">
        <w:rPr>
          <w:spacing w:val="-32"/>
        </w:rPr>
        <w:t xml:space="preserve"> </w:t>
      </w:r>
      <w:r>
        <w:t xml:space="preserve">processes, </w:t>
      </w:r>
      <w:r w:rsidRPr="00B06D66">
        <w:rPr>
          <w:strike/>
        </w:rPr>
        <w:t>owned/operated by one company</w:t>
      </w:r>
      <w:r>
        <w:t>.</w:t>
      </w:r>
    </w:p>
    <w:p w:rsidR="00B14AD8" w:rsidRDefault="00450C73" w:rsidP="00450C73">
      <w:pPr>
        <w:pStyle w:val="SingleTxtG"/>
      </w:pPr>
      <w:r>
        <w:tab/>
      </w:r>
      <w:r>
        <w:tab/>
        <w:t>(c)</w:t>
      </w:r>
      <w:r>
        <w:tab/>
      </w:r>
      <w:r w:rsidR="00771E1C" w:rsidRPr="00BD40D9">
        <w:rPr>
          <w:u w:val="single"/>
        </w:rPr>
        <w:t>Sub-</w:t>
      </w:r>
      <w:r w:rsidR="00A76F72" w:rsidRPr="00771E1C">
        <w:rPr>
          <w:u w:val="single"/>
        </w:rPr>
        <w:t xml:space="preserve">Groups of </w:t>
      </w:r>
      <w:r w:rsidR="00771E1C" w:rsidRPr="00771E1C">
        <w:rPr>
          <w:u w:val="single"/>
        </w:rPr>
        <w:t xml:space="preserve">a </w:t>
      </w:r>
      <w:r w:rsidR="00A76F72" w:rsidRPr="00771E1C">
        <w:rPr>
          <w:u w:val="single"/>
        </w:rPr>
        <w:t>basic</w:t>
      </w:r>
      <w:r w:rsidR="00A76F72" w:rsidRPr="00BD40D9">
        <w:rPr>
          <w:u w:val="single"/>
        </w:rPr>
        <w:t xml:space="preserve"> p</w:t>
      </w:r>
      <w:r w:rsidR="00B14AD8" w:rsidRPr="00BD40D9">
        <w:rPr>
          <w:u w:val="single"/>
        </w:rPr>
        <w:t>opulation</w:t>
      </w:r>
      <w:r w:rsidR="00B14AD8" w:rsidRPr="00115DC9">
        <w:rPr>
          <w:strike/>
        </w:rPr>
        <w:t xml:space="preserve"> </w:t>
      </w:r>
      <w:r w:rsidR="000072E9" w:rsidRPr="00115DC9">
        <w:rPr>
          <w:strike/>
        </w:rPr>
        <w:t>g</w:t>
      </w:r>
      <w:r w:rsidR="00B14AD8" w:rsidRPr="00115DC9">
        <w:rPr>
          <w:strike/>
        </w:rPr>
        <w:t>roup</w:t>
      </w:r>
    </w:p>
    <w:p w:rsidR="00B14AD8" w:rsidRPr="00042A4E" w:rsidRDefault="00B14AD8" w:rsidP="00450C73">
      <w:pPr>
        <w:pStyle w:val="SingleTxtG"/>
        <w:ind w:left="1701"/>
      </w:pPr>
      <w:r w:rsidRPr="00740224">
        <w:t xml:space="preserve">Within the </w:t>
      </w:r>
      <w:proofErr w:type="gramStart"/>
      <w:r w:rsidRPr="00740224">
        <w:t>above defined</w:t>
      </w:r>
      <w:proofErr w:type="gramEnd"/>
      <w:r w:rsidRPr="00740224">
        <w:t xml:space="preserve"> basic population, over-moulded cylinders </w:t>
      </w:r>
      <w:r w:rsidRPr="00740224">
        <w:rPr>
          <w:lang w:val="en-US"/>
        </w:rPr>
        <w:t>operated</w:t>
      </w:r>
      <w:r w:rsidRPr="00740224">
        <w:t xml:space="preserve"> by different </w:t>
      </w:r>
      <w:r w:rsidRPr="00740224">
        <w:rPr>
          <w:lang w:val="en-US"/>
        </w:rPr>
        <w:t>owners</w:t>
      </w:r>
      <w:r w:rsidRPr="00740224">
        <w:t xml:space="preserve"> </w:t>
      </w:r>
      <w:r w:rsidRPr="00740224">
        <w:rPr>
          <w:lang w:val="en-US"/>
        </w:rPr>
        <w:t>may</w:t>
      </w:r>
      <w:r w:rsidRPr="00740224">
        <w:t xml:space="preserve"> be separated into </w:t>
      </w:r>
      <w:r w:rsidRPr="00740224">
        <w:rPr>
          <w:lang w:val="en-US"/>
        </w:rPr>
        <w:t xml:space="preserve">specific </w:t>
      </w:r>
      <w:r w:rsidRPr="00115DC9">
        <w:rPr>
          <w:strike/>
        </w:rPr>
        <w:t>population</w:t>
      </w:r>
      <w:r w:rsidRPr="00BD40D9">
        <w:t xml:space="preserve"> </w:t>
      </w:r>
      <w:r w:rsidR="00346B3C" w:rsidRPr="00BD40D9">
        <w:rPr>
          <w:u w:val="single"/>
        </w:rPr>
        <w:t>sub</w:t>
      </w:r>
      <w:r w:rsidR="00346B3C">
        <w:rPr>
          <w:strike/>
        </w:rPr>
        <w:t>-</w:t>
      </w:r>
      <w:r w:rsidRPr="00740224">
        <w:t>groups</w:t>
      </w:r>
      <w:r w:rsidRPr="00922A9D">
        <w:t>.</w:t>
      </w:r>
    </w:p>
    <w:p w:rsidR="00B14AD8" w:rsidRPr="00B8339B" w:rsidRDefault="00450C73" w:rsidP="00450C73">
      <w:pPr>
        <w:pStyle w:val="SingleTxtG"/>
      </w:pPr>
      <w:r>
        <w:tab/>
      </w:r>
      <w:r>
        <w:tab/>
        <w:t>(d)</w:t>
      </w:r>
      <w:r>
        <w:tab/>
      </w:r>
      <w:r w:rsidR="00B14AD8" w:rsidRPr="00B8339B">
        <w:t>Traceability</w:t>
      </w:r>
    </w:p>
    <w:p w:rsidR="00B14AD8" w:rsidRPr="00B8339B" w:rsidRDefault="00B14AD8" w:rsidP="00450C73">
      <w:pPr>
        <w:pStyle w:val="SingleTxtG"/>
        <w:ind w:left="1701"/>
      </w:pPr>
      <w:r w:rsidRPr="00B8339B">
        <w:t>Inner steel cylinder mark</w:t>
      </w:r>
      <w:r>
        <w:t>s</w:t>
      </w:r>
      <w:r w:rsidRPr="00B8339B">
        <w:t xml:space="preserve"> in accordance with 6.2.3.9 </w:t>
      </w:r>
      <w:proofErr w:type="gramStart"/>
      <w:r w:rsidRPr="00B8339B">
        <w:t>shall be repeated</w:t>
      </w:r>
      <w:proofErr w:type="gramEnd"/>
      <w:r w:rsidRPr="00B8339B">
        <w:t xml:space="preserve"> on the over-moulding. In addition, each over-moulded cylinder shall be fitted with an individual resilient electronic identification device. The </w:t>
      </w:r>
      <w:proofErr w:type="gramStart"/>
      <w:r w:rsidRPr="00B8339B">
        <w:t>detailed characteristics of the over-moul</w:t>
      </w:r>
      <w:r>
        <w:t xml:space="preserve">ded </w:t>
      </w:r>
      <w:r w:rsidRPr="00922A9D">
        <w:t xml:space="preserve">cylinders </w:t>
      </w:r>
      <w:r w:rsidRPr="00740224">
        <w:rPr>
          <w:lang w:val="en-US"/>
        </w:rPr>
        <w:t>shall be</w:t>
      </w:r>
      <w:r w:rsidRPr="00922A9D">
        <w:t xml:space="preserve"> recorded</w:t>
      </w:r>
      <w:r>
        <w:t xml:space="preserve"> </w:t>
      </w:r>
      <w:r w:rsidRPr="006562B6">
        <w:rPr>
          <w:lang w:val="en-US"/>
        </w:rPr>
        <w:t xml:space="preserve">by the owner </w:t>
      </w:r>
      <w:r>
        <w:t>in a</w:t>
      </w:r>
      <w:r w:rsidRPr="00B8339B">
        <w:t xml:space="preserve"> </w:t>
      </w:r>
      <w:r w:rsidRPr="00DF6CFC">
        <w:rPr>
          <w:lang w:val="en-US"/>
        </w:rPr>
        <w:t>central</w:t>
      </w:r>
      <w:r w:rsidRPr="00B8339B">
        <w:t xml:space="preserve"> database</w:t>
      </w:r>
      <w:proofErr w:type="gramEnd"/>
      <w:r w:rsidRPr="00B8339B">
        <w:t xml:space="preserve">. The database </w:t>
      </w:r>
      <w:proofErr w:type="gramStart"/>
      <w:r w:rsidRPr="00B8339B">
        <w:t>shall be used</w:t>
      </w:r>
      <w:proofErr w:type="gramEnd"/>
      <w:r w:rsidRPr="00B8339B">
        <w:t xml:space="preserve"> to:</w:t>
      </w:r>
    </w:p>
    <w:p w:rsidR="00B14AD8" w:rsidRDefault="00B14AD8" w:rsidP="002253D8">
      <w:pPr>
        <w:pStyle w:val="Bullet1G"/>
        <w:tabs>
          <w:tab w:val="clear" w:pos="1701"/>
        </w:tabs>
        <w:ind w:firstLine="0"/>
      </w:pPr>
      <w:r>
        <w:t xml:space="preserve">Identify the specific </w:t>
      </w:r>
      <w:r w:rsidRPr="00BD40D9">
        <w:rPr>
          <w:strike/>
        </w:rPr>
        <w:t>population</w:t>
      </w:r>
      <w:r>
        <w:t xml:space="preserve"> </w:t>
      </w:r>
      <w:r w:rsidR="00346B3C" w:rsidRPr="00BD40D9">
        <w:rPr>
          <w:u w:val="single"/>
        </w:rPr>
        <w:t>sub</w:t>
      </w:r>
      <w:r w:rsidR="00346B3C">
        <w:t>-</w:t>
      </w:r>
      <w:r>
        <w:t>group;</w:t>
      </w:r>
    </w:p>
    <w:p w:rsidR="00B14AD8" w:rsidRPr="00B8339B" w:rsidRDefault="00B14AD8" w:rsidP="002253D8">
      <w:pPr>
        <w:pStyle w:val="Bullet1G"/>
        <w:tabs>
          <w:tab w:val="clear" w:pos="1701"/>
        </w:tabs>
        <w:ind w:firstLine="0"/>
      </w:pPr>
      <w:r>
        <w:t xml:space="preserve">Make available to inspection bodies, filling centres and competent authorities the </w:t>
      </w:r>
      <w:r w:rsidRPr="00B8339B">
        <w:t xml:space="preserve">specific technical characteristics of the cylinders </w:t>
      </w:r>
      <w:r w:rsidRPr="00EC211D">
        <w:rPr>
          <w:strike/>
        </w:rPr>
        <w:t>(</w:t>
      </w:r>
      <w:r>
        <w:t xml:space="preserve">consisting of at least the following: serial number, </w:t>
      </w:r>
      <w:r w:rsidRPr="00B8339B">
        <w:t>steel cylinder production batch</w:t>
      </w:r>
      <w:r>
        <w:t>, over-moulding</w:t>
      </w:r>
      <w:r w:rsidRPr="00B8339B">
        <w:t xml:space="preserve"> production batch, da</w:t>
      </w:r>
      <w:r>
        <w:t>te</w:t>
      </w:r>
      <w:r w:rsidRPr="00B8339B">
        <w:t xml:space="preserve"> of over-moulding</w:t>
      </w:r>
      <w:r w:rsidRPr="00EC211D">
        <w:rPr>
          <w:strike/>
        </w:rPr>
        <w:t>)</w:t>
      </w:r>
      <w:r>
        <w:t>;</w:t>
      </w:r>
      <w:r w:rsidRPr="00B8339B">
        <w:rPr>
          <w:spacing w:val="-5"/>
        </w:rPr>
        <w:t xml:space="preserve"> </w:t>
      </w:r>
    </w:p>
    <w:p w:rsidR="00B14AD8" w:rsidRPr="00B8339B" w:rsidRDefault="00B14AD8" w:rsidP="002253D8">
      <w:pPr>
        <w:pStyle w:val="Bullet1G"/>
        <w:tabs>
          <w:tab w:val="clear" w:pos="1701"/>
        </w:tabs>
        <w:ind w:firstLine="0"/>
      </w:pPr>
      <w:r w:rsidRPr="00B8339B">
        <w:t>Identify the cylinder by</w:t>
      </w:r>
      <w:r w:rsidR="008742BD">
        <w:t xml:space="preserve"> </w:t>
      </w:r>
      <w:r w:rsidR="008742BD" w:rsidRPr="00115DC9">
        <w:rPr>
          <w:u w:val="single"/>
        </w:rPr>
        <w:t>linking</w:t>
      </w:r>
      <w:r w:rsidRPr="00B8339B">
        <w:t xml:space="preserve"> </w:t>
      </w:r>
      <w:r w:rsidRPr="00115DC9">
        <w:rPr>
          <w:strike/>
        </w:rPr>
        <w:t>the serial number and</w:t>
      </w:r>
      <w:r w:rsidRPr="00B8339B">
        <w:t xml:space="preserve"> the electronic device </w:t>
      </w:r>
      <w:r w:rsidR="00771E1C" w:rsidRPr="00BD40D9">
        <w:rPr>
          <w:u w:val="single"/>
        </w:rPr>
        <w:t>to</w:t>
      </w:r>
      <w:r w:rsidRPr="00B8339B">
        <w:t xml:space="preserve"> the</w:t>
      </w:r>
      <w:r w:rsidRPr="00B8339B">
        <w:rPr>
          <w:spacing w:val="-25"/>
        </w:rPr>
        <w:t xml:space="preserve"> </w:t>
      </w:r>
      <w:r w:rsidRPr="00B8339B">
        <w:t>database</w:t>
      </w:r>
      <w:r w:rsidR="008742BD">
        <w:t xml:space="preserve"> </w:t>
      </w:r>
      <w:r w:rsidR="008742BD" w:rsidRPr="00EC211D">
        <w:rPr>
          <w:u w:val="single"/>
        </w:rPr>
        <w:t>with the serial number</w:t>
      </w:r>
    </w:p>
    <w:p w:rsidR="00B14AD8" w:rsidRPr="00B8339B" w:rsidRDefault="00B14AD8" w:rsidP="002253D8">
      <w:pPr>
        <w:pStyle w:val="Bullet1G"/>
        <w:tabs>
          <w:tab w:val="clear" w:pos="1701"/>
        </w:tabs>
        <w:ind w:firstLine="0"/>
      </w:pPr>
      <w:r w:rsidRPr="00B8339B">
        <w:t xml:space="preserve">Check </w:t>
      </w:r>
      <w:r>
        <w:t>individual cylinder history and determine measures</w:t>
      </w:r>
      <w:r w:rsidRPr="00B8339B">
        <w:t xml:space="preserve"> (</w:t>
      </w:r>
      <w:r>
        <w:t>e</w:t>
      </w:r>
      <w:r w:rsidR="001B0DC6">
        <w:t>.</w:t>
      </w:r>
      <w:r>
        <w:t>g</w:t>
      </w:r>
      <w:r w:rsidR="001B0DC6">
        <w:t>.</w:t>
      </w:r>
      <w:r>
        <w:t xml:space="preserve"> </w:t>
      </w:r>
      <w:r w:rsidRPr="00B8339B">
        <w:t xml:space="preserve">filling, </w:t>
      </w:r>
      <w:r>
        <w:t xml:space="preserve">sampling, </w:t>
      </w:r>
      <w:r w:rsidRPr="00B8339B">
        <w:t>retesting, withdrawal);</w:t>
      </w:r>
    </w:p>
    <w:p w:rsidR="00B14AD8" w:rsidRPr="00B8339B" w:rsidRDefault="00B14AD8" w:rsidP="002253D8">
      <w:pPr>
        <w:pStyle w:val="Bullet1G"/>
        <w:tabs>
          <w:tab w:val="clear" w:pos="1701"/>
        </w:tabs>
        <w:ind w:firstLine="0"/>
      </w:pPr>
      <w:r w:rsidRPr="00B8339B">
        <w:t>Record performed</w:t>
      </w:r>
      <w:r w:rsidRPr="00B8339B">
        <w:rPr>
          <w:spacing w:val="-16"/>
        </w:rPr>
        <w:t xml:space="preserve"> </w:t>
      </w:r>
      <w:r w:rsidRPr="00B8339B">
        <w:t xml:space="preserve">measures </w:t>
      </w:r>
      <w:r>
        <w:t xml:space="preserve">including the date and the address of where it </w:t>
      </w:r>
      <w:proofErr w:type="gramStart"/>
      <w:r>
        <w:t>was done</w:t>
      </w:r>
      <w:proofErr w:type="gramEnd"/>
      <w:r w:rsidRPr="00B8339B">
        <w:t>.</w:t>
      </w:r>
    </w:p>
    <w:p w:rsidR="00B14AD8" w:rsidRDefault="00B14AD8" w:rsidP="002253D8">
      <w:pPr>
        <w:pStyle w:val="SingleTxtG"/>
        <w:ind w:left="1701"/>
      </w:pPr>
      <w:r>
        <w:t xml:space="preserve">The recorded data </w:t>
      </w:r>
      <w:r w:rsidRPr="00B8339B">
        <w:t xml:space="preserve">shall be </w:t>
      </w:r>
      <w:r w:rsidRPr="00EC211D">
        <w:rPr>
          <w:strike/>
        </w:rPr>
        <w:t xml:space="preserve">made </w:t>
      </w:r>
      <w:r w:rsidR="001B0DC6" w:rsidRPr="00DD06EE">
        <w:rPr>
          <w:u w:val="single"/>
        </w:rPr>
        <w:t xml:space="preserve">kept </w:t>
      </w:r>
      <w:r w:rsidRPr="00B8339B">
        <w:t>available by the owner of the over-moulded cylinders for the entire life of the</w:t>
      </w:r>
      <w:r w:rsidRPr="00E34069">
        <w:t xml:space="preserve"> </w:t>
      </w:r>
      <w:r w:rsidRPr="00BD40D9">
        <w:rPr>
          <w:strike/>
        </w:rPr>
        <w:t>population</w:t>
      </w:r>
      <w:r w:rsidRPr="00E34069">
        <w:t xml:space="preserve"> </w:t>
      </w:r>
      <w:r w:rsidR="00346B3C" w:rsidRPr="00BD40D9">
        <w:rPr>
          <w:u w:val="single"/>
        </w:rPr>
        <w:t>sub</w:t>
      </w:r>
      <w:r w:rsidR="00346B3C">
        <w:t>-</w:t>
      </w:r>
      <w:r w:rsidRPr="00B8339B">
        <w:t>group.</w:t>
      </w:r>
    </w:p>
    <w:p w:rsidR="00B14AD8" w:rsidRPr="00B8339B" w:rsidRDefault="002253D8" w:rsidP="00450C73">
      <w:pPr>
        <w:pStyle w:val="SingleTxtG"/>
      </w:pPr>
      <w:r>
        <w:tab/>
      </w:r>
      <w:r w:rsidR="00450C73">
        <w:tab/>
        <w:t>(e)</w:t>
      </w:r>
      <w:r w:rsidR="00450C73">
        <w:tab/>
      </w:r>
      <w:r w:rsidR="00B14AD8" w:rsidRPr="00B8339B">
        <w:t>Sampling for statistical</w:t>
      </w:r>
      <w:r w:rsidR="00B14AD8" w:rsidRPr="00B8339B">
        <w:rPr>
          <w:spacing w:val="-21"/>
        </w:rPr>
        <w:t xml:space="preserve"> </w:t>
      </w:r>
      <w:r w:rsidR="00B14AD8" w:rsidRPr="00B8339B">
        <w:t>assessment</w:t>
      </w:r>
    </w:p>
    <w:p w:rsidR="00B14AD8" w:rsidRDefault="00B14AD8" w:rsidP="0014434B">
      <w:pPr>
        <w:pStyle w:val="SingleTxtG"/>
        <w:ind w:left="1701"/>
      </w:pPr>
      <w:r>
        <w:t>The s</w:t>
      </w:r>
      <w:r w:rsidRPr="00B8339B">
        <w:t xml:space="preserve">ampling shall be random </w:t>
      </w:r>
      <w:r>
        <w:t xml:space="preserve">among a </w:t>
      </w:r>
      <w:r w:rsidRPr="00EF0E55">
        <w:rPr>
          <w:strike/>
        </w:rPr>
        <w:t>population</w:t>
      </w:r>
      <w:r>
        <w:t xml:space="preserve"> </w:t>
      </w:r>
      <w:r w:rsidR="00346B3C" w:rsidRPr="00EF0E55">
        <w:rPr>
          <w:u w:val="single"/>
        </w:rPr>
        <w:t>sub</w:t>
      </w:r>
      <w:r w:rsidR="00346B3C">
        <w:t>-</w:t>
      </w:r>
      <w:r>
        <w:t>group as defined in (c)</w:t>
      </w:r>
      <w:r w:rsidRPr="00B8339B">
        <w:t xml:space="preserve">. The size of each sample per </w:t>
      </w:r>
      <w:r w:rsidRPr="00EF0E55">
        <w:rPr>
          <w:strike/>
        </w:rPr>
        <w:t>population</w:t>
      </w:r>
      <w:r w:rsidRPr="00B8339B">
        <w:t xml:space="preserve"> </w:t>
      </w:r>
      <w:r w:rsidR="00346B3C" w:rsidRPr="00EF0E55">
        <w:rPr>
          <w:u w:val="single"/>
        </w:rPr>
        <w:t>sub</w:t>
      </w:r>
      <w:r w:rsidR="00346B3C">
        <w:t>-</w:t>
      </w:r>
      <w:r w:rsidRPr="00B8339B">
        <w:t xml:space="preserve">group shall be in accordance with the table </w:t>
      </w:r>
      <w:r>
        <w:t>in</w:t>
      </w:r>
      <w:r w:rsidRPr="00B8339B">
        <w:t xml:space="preserve"> paragraph</w:t>
      </w:r>
      <w:r w:rsidRPr="00B8339B">
        <w:rPr>
          <w:spacing w:val="-17"/>
        </w:rPr>
        <w:t xml:space="preserve"> </w:t>
      </w:r>
      <w:r>
        <w:t>(g</w:t>
      </w:r>
      <w:r w:rsidRPr="00B8339B">
        <w:t>).</w:t>
      </w:r>
    </w:p>
    <w:p w:rsidR="00B14AD8" w:rsidRDefault="002253D8" w:rsidP="00450C73">
      <w:pPr>
        <w:pStyle w:val="SingleTxtG"/>
      </w:pPr>
      <w:r>
        <w:tab/>
      </w:r>
      <w:r>
        <w:tab/>
      </w:r>
      <w:r w:rsidR="0014434B">
        <w:t>(f)</w:t>
      </w:r>
      <w:r w:rsidR="0014434B">
        <w:tab/>
      </w:r>
      <w:r w:rsidR="00B14AD8" w:rsidRPr="00B8339B">
        <w:t xml:space="preserve">Test </w:t>
      </w:r>
      <w:r w:rsidR="00B14AD8">
        <w:t>procedure</w:t>
      </w:r>
      <w:r w:rsidR="00B14AD8" w:rsidRPr="00B8339B">
        <w:t xml:space="preserve"> for destructive</w:t>
      </w:r>
      <w:r w:rsidR="00B14AD8" w:rsidRPr="00B8339B">
        <w:rPr>
          <w:spacing w:val="-17"/>
        </w:rPr>
        <w:t xml:space="preserve"> </w:t>
      </w:r>
      <w:r w:rsidR="00B14AD8" w:rsidRPr="00B8339B">
        <w:t>testing</w:t>
      </w:r>
    </w:p>
    <w:p w:rsidR="00B14AD8" w:rsidRPr="00B8339B" w:rsidRDefault="00B14AD8" w:rsidP="0014434B">
      <w:pPr>
        <w:pStyle w:val="SingleTxtG"/>
        <w:ind w:left="1701"/>
      </w:pPr>
      <w:r w:rsidRPr="00B8339B">
        <w:t>The test</w:t>
      </w:r>
      <w:r w:rsidRPr="00082DBB">
        <w:rPr>
          <w:lang w:val="en-US"/>
        </w:rPr>
        <w:t>s</w:t>
      </w:r>
      <w:r w:rsidRPr="00B8339B">
        <w:t xml:space="preserve"> </w:t>
      </w:r>
      <w:r>
        <w:t xml:space="preserve">required by </w:t>
      </w:r>
      <w:r w:rsidRPr="00B8339B">
        <w:t xml:space="preserve">6.2.1.6.1 </w:t>
      </w:r>
      <w:r w:rsidRPr="00082DBB">
        <w:rPr>
          <w:lang w:val="en-US"/>
        </w:rPr>
        <w:t>shall</w:t>
      </w:r>
      <w:r>
        <w:rPr>
          <w:lang w:val="en-US"/>
        </w:rPr>
        <w:t xml:space="preserve"> be carried out</w:t>
      </w:r>
      <w:r w:rsidRPr="00082DBB">
        <w:rPr>
          <w:lang w:val="en-US"/>
        </w:rPr>
        <w:t xml:space="preserve"> </w:t>
      </w:r>
      <w:r>
        <w:rPr>
          <w:lang w:val="en-US"/>
        </w:rPr>
        <w:t xml:space="preserve">except </w:t>
      </w:r>
      <w:r w:rsidR="008E57F7">
        <w:rPr>
          <w:lang w:val="en-US"/>
        </w:rPr>
        <w:t>(</w:t>
      </w:r>
      <w:r w:rsidRPr="00B8339B">
        <w:t xml:space="preserve">d) </w:t>
      </w:r>
      <w:r w:rsidRPr="00082DBB">
        <w:rPr>
          <w:lang w:val="en-US"/>
        </w:rPr>
        <w:t xml:space="preserve">which </w:t>
      </w:r>
      <w:r w:rsidRPr="00B8339B">
        <w:t xml:space="preserve">shall be </w:t>
      </w:r>
      <w:r>
        <w:t>substituted</w:t>
      </w:r>
      <w:r w:rsidRPr="00B8339B">
        <w:t xml:space="preserve"> by the following</w:t>
      </w:r>
      <w:r w:rsidRPr="00B8339B">
        <w:rPr>
          <w:spacing w:val="-24"/>
        </w:rPr>
        <w:t xml:space="preserve"> </w:t>
      </w:r>
      <w:proofErr w:type="gramStart"/>
      <w:r w:rsidRPr="00843D47">
        <w:t>test</w:t>
      </w:r>
      <w:r w:rsidRPr="00082DBB">
        <w:rPr>
          <w:spacing w:val="-24"/>
          <w:lang w:val="en-US"/>
        </w:rPr>
        <w:t xml:space="preserve"> </w:t>
      </w:r>
      <w:r>
        <w:rPr>
          <w:spacing w:val="-24"/>
          <w:lang w:val="en-US"/>
        </w:rPr>
        <w:t xml:space="preserve"> </w:t>
      </w:r>
      <w:r w:rsidRPr="00B8339B">
        <w:t>procedure</w:t>
      </w:r>
      <w:proofErr w:type="gramEnd"/>
      <w:r w:rsidRPr="00B8339B">
        <w:t>:</w:t>
      </w:r>
    </w:p>
    <w:p w:rsidR="00B14AD8" w:rsidRPr="000E7B07" w:rsidRDefault="00B14AD8" w:rsidP="0039377E">
      <w:pPr>
        <w:pStyle w:val="Bullet1G"/>
        <w:tabs>
          <w:tab w:val="clear" w:pos="1701"/>
        </w:tabs>
        <w:ind w:firstLine="0"/>
      </w:pPr>
      <w:r>
        <w:t>B</w:t>
      </w:r>
      <w:r w:rsidRPr="00B8339B">
        <w:t xml:space="preserve">urst test (according </w:t>
      </w:r>
      <w:r>
        <w:t>to EN 1442:2014 or EN 14140:2015)</w:t>
      </w:r>
    </w:p>
    <w:p w:rsidR="00B14AD8" w:rsidRPr="00B8339B" w:rsidRDefault="0014434B" w:rsidP="00450C73">
      <w:pPr>
        <w:pStyle w:val="SingleTxtG"/>
      </w:pPr>
      <w:r>
        <w:rPr>
          <w:lang w:val="en-US"/>
        </w:rPr>
        <w:tab/>
      </w:r>
      <w:r>
        <w:rPr>
          <w:lang w:val="en-US"/>
        </w:rPr>
        <w:tab/>
      </w:r>
      <w:r w:rsidR="00B14AD8" w:rsidRPr="00082DBB">
        <w:rPr>
          <w:lang w:val="en-US"/>
        </w:rPr>
        <w:t xml:space="preserve">In addition, the following tests </w:t>
      </w:r>
      <w:proofErr w:type="gramStart"/>
      <w:r w:rsidR="00B14AD8">
        <w:rPr>
          <w:lang w:val="en-US"/>
        </w:rPr>
        <w:t>shall be performed</w:t>
      </w:r>
      <w:proofErr w:type="gramEnd"/>
      <w:r w:rsidR="00B14AD8" w:rsidRPr="00B8339B">
        <w:t>:</w:t>
      </w:r>
    </w:p>
    <w:p w:rsidR="00B14AD8" w:rsidRPr="000E7B07" w:rsidRDefault="00B14AD8" w:rsidP="0039377E">
      <w:pPr>
        <w:pStyle w:val="Bullet1G"/>
        <w:tabs>
          <w:tab w:val="clear" w:pos="1701"/>
        </w:tabs>
        <w:ind w:firstLine="0"/>
      </w:pPr>
      <w:r>
        <w:t>Adhesion test</w:t>
      </w:r>
      <w:r w:rsidRPr="00B8339B">
        <w:t xml:space="preserve"> (according to EN 1442</w:t>
      </w:r>
      <w:r>
        <w:t>:2014</w:t>
      </w:r>
      <w:r w:rsidRPr="00B8339B">
        <w:t xml:space="preserve"> </w:t>
      </w:r>
      <w:r>
        <w:t>or EN14140:2015</w:t>
      </w:r>
      <w:r w:rsidRPr="00B8339B">
        <w:t>)</w:t>
      </w:r>
    </w:p>
    <w:p w:rsidR="00B14AD8" w:rsidRPr="000E7B07" w:rsidRDefault="00B14AD8" w:rsidP="0039377E">
      <w:pPr>
        <w:pStyle w:val="Bullet1G"/>
        <w:tabs>
          <w:tab w:val="clear" w:pos="1701"/>
        </w:tabs>
        <w:ind w:firstLine="0"/>
      </w:pPr>
      <w:r>
        <w:t>P</w:t>
      </w:r>
      <w:r w:rsidRPr="00B8339B">
        <w:t xml:space="preserve">eeling </w:t>
      </w:r>
      <w:r>
        <w:t>and Corrosion tests</w:t>
      </w:r>
      <w:r w:rsidRPr="00B8339B">
        <w:t xml:space="preserve"> (a</w:t>
      </w:r>
      <w:r>
        <w:t>ccording to EN ISO 4628-3:2004)</w:t>
      </w:r>
    </w:p>
    <w:p w:rsidR="00B14AD8" w:rsidRPr="003D4D66" w:rsidRDefault="00B14AD8" w:rsidP="0014434B">
      <w:pPr>
        <w:pStyle w:val="SingleTxtG"/>
        <w:ind w:left="1701"/>
      </w:pPr>
      <w:r w:rsidRPr="003D4D66">
        <w:lastRenderedPageBreak/>
        <w:t xml:space="preserve">Adhesion test, Peeling </w:t>
      </w:r>
      <w:r w:rsidRPr="003D4D66">
        <w:rPr>
          <w:lang w:val="en-US"/>
        </w:rPr>
        <w:t xml:space="preserve">and Corrosion </w:t>
      </w:r>
      <w:r w:rsidRPr="003D4D66">
        <w:t>tests</w:t>
      </w:r>
      <w:r w:rsidRPr="003D4D66">
        <w:rPr>
          <w:lang w:val="en-US"/>
        </w:rPr>
        <w:t>,</w:t>
      </w:r>
      <w:r w:rsidRPr="003D4D66">
        <w:t xml:space="preserve"> and Burst test </w:t>
      </w:r>
      <w:proofErr w:type="gramStart"/>
      <w:r w:rsidRPr="003D4D66">
        <w:t>shall be performed</w:t>
      </w:r>
      <w:proofErr w:type="gramEnd"/>
      <w:r w:rsidRPr="003D4D66">
        <w:t xml:space="preserve"> on each related sample according to the table in paragraph (g) and shall be conducted after </w:t>
      </w:r>
      <w:r w:rsidRPr="003D4D66">
        <w:rPr>
          <w:lang w:val="en-US"/>
        </w:rPr>
        <w:t xml:space="preserve">the first </w:t>
      </w:r>
      <w:r w:rsidRPr="003D4D66">
        <w:t>3 years in service and every 5 years thereafter.</w:t>
      </w:r>
    </w:p>
    <w:p w:rsidR="00B14AD8" w:rsidRPr="003D4D66" w:rsidRDefault="002253D8" w:rsidP="0014434B">
      <w:pPr>
        <w:pStyle w:val="SingleTxtG"/>
      </w:pPr>
      <w:r>
        <w:tab/>
      </w:r>
      <w:r>
        <w:tab/>
      </w:r>
      <w:r w:rsidR="0014434B">
        <w:t>(g)</w:t>
      </w:r>
      <w:r w:rsidR="0014434B">
        <w:tab/>
      </w:r>
      <w:r w:rsidR="00B14AD8" w:rsidRPr="003D4D66">
        <w:t>Statistical evaluation of test results –</w:t>
      </w:r>
      <w:r w:rsidR="00B14AD8" w:rsidRPr="003D4D66">
        <w:rPr>
          <w:spacing w:val="-28"/>
        </w:rPr>
        <w:t xml:space="preserve"> </w:t>
      </w:r>
      <w:r w:rsidR="00B14AD8" w:rsidRPr="003D4D66">
        <w:t>Method and minimum requirements</w:t>
      </w:r>
    </w:p>
    <w:p w:rsidR="00B14AD8" w:rsidRDefault="00B14AD8" w:rsidP="00E25667">
      <w:pPr>
        <w:spacing w:after="120"/>
        <w:ind w:left="1701" w:right="1134"/>
        <w:jc w:val="both"/>
      </w:pPr>
      <w:r w:rsidRPr="008263FB">
        <w:t>The procedure for statistical evaluation</w:t>
      </w:r>
      <w:r>
        <w:t xml:space="preserve"> according to the related rejection criteria</w:t>
      </w:r>
      <w:r w:rsidRPr="008263FB">
        <w:t xml:space="preserve"> </w:t>
      </w:r>
      <w:proofErr w:type="gramStart"/>
      <w:r w:rsidRPr="008263FB">
        <w:t>is described</w:t>
      </w:r>
      <w:proofErr w:type="gramEnd"/>
      <w:r w:rsidRPr="008263FB">
        <w:t xml:space="preserve"> in the following </w:t>
      </w:r>
      <w:r w:rsidRPr="00EC211D">
        <w:rPr>
          <w:strike/>
        </w:rPr>
        <w:t>table, and its related comments</w:t>
      </w:r>
      <w:r>
        <w:t>.</w:t>
      </w:r>
      <w:r>
        <w:br w:type="page"/>
      </w:r>
    </w:p>
    <w:p w:rsidR="00B14AD8" w:rsidRPr="008263FB" w:rsidRDefault="00B14AD8" w:rsidP="00B14AD8">
      <w:pPr>
        <w:jc w:val="center"/>
        <w:rPr>
          <w:b/>
        </w:rPr>
      </w:pPr>
      <w:r w:rsidRPr="008263FB">
        <w:rPr>
          <w:b/>
        </w:rPr>
        <w:lastRenderedPageBreak/>
        <w:t>Table 1</w:t>
      </w:r>
    </w:p>
    <w:p w:rsidR="00B14AD8" w:rsidRPr="0014434B" w:rsidRDefault="00B14AD8" w:rsidP="00B14AD8"/>
    <w:tbl>
      <w:tblPr>
        <w:tblW w:w="9594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388"/>
        <w:gridCol w:w="1559"/>
        <w:gridCol w:w="3544"/>
        <w:gridCol w:w="1984"/>
      </w:tblGrid>
      <w:tr w:rsidR="00B14AD8" w:rsidRPr="0014434B" w:rsidTr="000072E9">
        <w:trPr>
          <w:trHeight w:hRule="exact" w:val="100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AD8" w:rsidRPr="0014434B" w:rsidRDefault="00B14AD8" w:rsidP="00DD06EE">
            <w:pPr>
              <w:spacing w:before="240" w:after="120" w:line="276" w:lineRule="auto"/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14434B">
              <w:rPr>
                <w:b/>
                <w:bCs/>
                <w:sz w:val="18"/>
                <w:szCs w:val="18"/>
                <w:lang w:val="en-IE"/>
              </w:rPr>
              <w:t>Test</w:t>
            </w:r>
            <w:r w:rsidRPr="0014434B">
              <w:rPr>
                <w:b/>
                <w:bCs/>
                <w:sz w:val="18"/>
                <w:szCs w:val="18"/>
                <w:lang w:val="en-IE"/>
              </w:rPr>
              <w:br/>
              <w:t>interval</w:t>
            </w:r>
            <w:r w:rsidRPr="0014434B">
              <w:rPr>
                <w:b/>
                <w:bCs/>
                <w:sz w:val="18"/>
                <w:szCs w:val="18"/>
                <w:lang w:val="en-IE"/>
              </w:rPr>
              <w:br/>
            </w:r>
            <w:r w:rsidRPr="0014434B">
              <w:rPr>
                <w:sz w:val="18"/>
                <w:szCs w:val="18"/>
                <w:lang w:val="en-IE"/>
              </w:rPr>
              <w:t>(years)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DD06EE">
            <w:pPr>
              <w:spacing w:before="240" w:after="120" w:line="276" w:lineRule="auto"/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DD06EE">
              <w:rPr>
                <w:b/>
                <w:bCs/>
                <w:sz w:val="18"/>
                <w:szCs w:val="18"/>
                <w:u w:val="single"/>
                <w:lang w:val="en-IE"/>
              </w:rPr>
              <w:t>T</w:t>
            </w:r>
            <w:r w:rsidR="00C43547" w:rsidRPr="00DD06EE">
              <w:rPr>
                <w:b/>
                <w:bCs/>
                <w:sz w:val="18"/>
                <w:szCs w:val="18"/>
                <w:u w:val="single"/>
                <w:lang w:val="en-IE"/>
              </w:rPr>
              <w:t>ype of test</w:t>
            </w:r>
            <w:r w:rsidR="00DD06EE">
              <w:rPr>
                <w:b/>
                <w:bCs/>
                <w:sz w:val="18"/>
                <w:szCs w:val="18"/>
                <w:lang w:val="en-IE"/>
              </w:rPr>
              <w:t xml:space="preserve"> </w:t>
            </w:r>
            <w:r w:rsidR="00DD06EE">
              <w:rPr>
                <w:b/>
                <w:bCs/>
                <w:sz w:val="18"/>
                <w:szCs w:val="18"/>
                <w:lang w:val="en-IE"/>
              </w:rPr>
              <w:br/>
            </w:r>
            <w:r w:rsidRPr="00DD06EE">
              <w:rPr>
                <w:b/>
                <w:bCs/>
                <w:strike/>
                <w:sz w:val="18"/>
                <w:szCs w:val="18"/>
                <w:lang w:val="en-IE"/>
              </w:rPr>
              <w:t>type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DD06EE">
            <w:pPr>
              <w:spacing w:before="240" w:after="120" w:line="276" w:lineRule="auto"/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14434B">
              <w:rPr>
                <w:b/>
                <w:bCs/>
                <w:sz w:val="18"/>
                <w:szCs w:val="18"/>
                <w:lang w:val="en-IE"/>
              </w:rPr>
              <w:t>Standard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DD06EE">
            <w:pPr>
              <w:spacing w:before="240" w:after="120" w:line="276" w:lineRule="auto"/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14434B">
              <w:rPr>
                <w:b/>
                <w:bCs/>
                <w:sz w:val="18"/>
                <w:szCs w:val="18"/>
                <w:lang w:val="en-IE"/>
              </w:rPr>
              <w:t>Rejection</w:t>
            </w:r>
            <w:r w:rsidRPr="0014434B">
              <w:rPr>
                <w:b/>
                <w:bCs/>
                <w:sz w:val="18"/>
                <w:szCs w:val="18"/>
                <w:lang w:val="en-IE"/>
              </w:rPr>
              <w:br/>
              <w:t>criteria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DD06EE">
            <w:pPr>
              <w:spacing w:before="240" w:after="120" w:line="276" w:lineRule="auto"/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DD06EE">
              <w:rPr>
                <w:b/>
                <w:bCs/>
                <w:strike/>
                <w:sz w:val="18"/>
                <w:szCs w:val="18"/>
                <w:lang w:val="en-IE"/>
              </w:rPr>
              <w:t>Population Group</w:t>
            </w:r>
            <w:r w:rsidRPr="0014434B">
              <w:rPr>
                <w:b/>
                <w:bCs/>
                <w:sz w:val="18"/>
                <w:szCs w:val="18"/>
                <w:lang w:val="en-IE"/>
              </w:rPr>
              <w:t xml:space="preserve"> </w:t>
            </w:r>
            <w:r w:rsidR="00C43547">
              <w:rPr>
                <w:b/>
                <w:bCs/>
                <w:sz w:val="18"/>
                <w:szCs w:val="18"/>
                <w:lang w:val="en-IE"/>
              </w:rPr>
              <w:t>S</w:t>
            </w:r>
            <w:r w:rsidRPr="0014434B">
              <w:rPr>
                <w:b/>
                <w:bCs/>
                <w:sz w:val="18"/>
                <w:szCs w:val="18"/>
                <w:lang w:val="en-IE"/>
              </w:rPr>
              <w:t xml:space="preserve">ampling </w:t>
            </w:r>
            <w:r w:rsidR="003C67BE">
              <w:rPr>
                <w:b/>
                <w:bCs/>
                <w:sz w:val="18"/>
                <w:szCs w:val="18"/>
                <w:u w:val="single"/>
                <w:lang w:val="en-IE"/>
              </w:rPr>
              <w:t>ou</w:t>
            </w:r>
            <w:r w:rsidR="00C43547" w:rsidRPr="00DD06EE">
              <w:rPr>
                <w:b/>
                <w:bCs/>
                <w:sz w:val="18"/>
                <w:szCs w:val="18"/>
                <w:u w:val="single"/>
                <w:lang w:val="en-IE"/>
              </w:rPr>
              <w:t xml:space="preserve">t of a </w:t>
            </w:r>
            <w:r w:rsidR="002E0788">
              <w:rPr>
                <w:b/>
                <w:bCs/>
                <w:sz w:val="18"/>
                <w:szCs w:val="18"/>
                <w:u w:val="single"/>
                <w:lang w:val="en-IE"/>
              </w:rPr>
              <w:t>sub-</w:t>
            </w:r>
            <w:r w:rsidR="00C43547" w:rsidRPr="00DD06EE">
              <w:rPr>
                <w:b/>
                <w:bCs/>
                <w:sz w:val="18"/>
                <w:szCs w:val="18"/>
                <w:u w:val="single"/>
                <w:lang w:val="en-IE"/>
              </w:rPr>
              <w:t>group</w:t>
            </w:r>
            <w:r w:rsidR="00C43547">
              <w:rPr>
                <w:b/>
                <w:bCs/>
                <w:sz w:val="18"/>
                <w:szCs w:val="18"/>
                <w:lang w:val="en-IE"/>
              </w:rPr>
              <w:t xml:space="preserve"> </w:t>
            </w:r>
            <w:r w:rsidRPr="00DD06EE">
              <w:rPr>
                <w:b/>
                <w:bCs/>
                <w:strike/>
                <w:sz w:val="18"/>
                <w:szCs w:val="18"/>
                <w:lang w:val="en-IE"/>
              </w:rPr>
              <w:t>level</w:t>
            </w:r>
          </w:p>
        </w:tc>
      </w:tr>
      <w:tr w:rsidR="00B14AD8" w:rsidRPr="0014434B" w:rsidTr="000072E9">
        <w:trPr>
          <w:cantSplit/>
          <w:trHeight w:val="1839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 xml:space="preserve">                       After 3 years in service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Burst test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 1442:2014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D06EE">
              <w:rPr>
                <w:strike/>
                <w:sz w:val="18"/>
                <w:szCs w:val="18"/>
                <w:lang w:val="en-IE"/>
              </w:rPr>
              <w:t xml:space="preserve">Representative </w:t>
            </w:r>
            <w:r w:rsidRPr="0014434B">
              <w:rPr>
                <w:sz w:val="18"/>
                <w:szCs w:val="18"/>
                <w:lang w:val="en-IE"/>
              </w:rPr>
              <w:t xml:space="preserve">Burst pressure point </w:t>
            </w:r>
            <w:r w:rsidRPr="0014434B">
              <w:rPr>
                <w:sz w:val="18"/>
                <w:szCs w:val="18"/>
                <w:lang w:val="en-US"/>
              </w:rPr>
              <w:t xml:space="preserve">of the </w:t>
            </w:r>
            <w:r w:rsidR="00C43547" w:rsidRPr="00DD06EE">
              <w:rPr>
                <w:sz w:val="18"/>
                <w:szCs w:val="18"/>
                <w:u w:val="single"/>
                <w:lang w:val="en-IE"/>
              </w:rPr>
              <w:t>representative</w:t>
            </w:r>
            <w:r w:rsidR="00BC4DCC" w:rsidRPr="0014434B">
              <w:rPr>
                <w:sz w:val="18"/>
                <w:szCs w:val="18"/>
                <w:lang w:val="en-IE"/>
              </w:rPr>
              <w:t xml:space="preserve"> </w:t>
            </w:r>
            <w:r w:rsidRPr="0014434B">
              <w:rPr>
                <w:sz w:val="18"/>
                <w:szCs w:val="18"/>
                <w:lang w:val="en-US"/>
              </w:rPr>
              <w:t>sample must be above the lower limit of tolerance interval on</w:t>
            </w:r>
            <w:r w:rsidRPr="0014434B">
              <w:rPr>
                <w:sz w:val="18"/>
                <w:szCs w:val="18"/>
                <w:lang w:val="en-IE"/>
              </w:rPr>
              <w:t xml:space="preserve"> the Sample Performance Chart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</w:rPr>
              <w:t>Ω</w:t>
            </w:r>
            <w:r w:rsidRPr="0014434B">
              <w:rPr>
                <w:sz w:val="18"/>
                <w:szCs w:val="18"/>
                <w:vertAlign w:val="subscript"/>
              </w:rPr>
              <w:t>m</w:t>
            </w:r>
            <w:r w:rsidRPr="0014434B" w:rsidDel="00250403">
              <w:rPr>
                <w:sz w:val="18"/>
                <w:szCs w:val="18"/>
                <w:lang w:val="en-US"/>
              </w:rPr>
              <w:t xml:space="preserve"> </w:t>
            </w:r>
            <w:r w:rsidRPr="0014434B">
              <w:rPr>
                <w:sz w:val="18"/>
                <w:szCs w:val="18"/>
                <w:lang w:val="en-US"/>
              </w:rPr>
              <w:t xml:space="preserve">≥ 1 + </w:t>
            </w:r>
            <w:r w:rsidRPr="0014434B">
              <w:rPr>
                <w:sz w:val="18"/>
                <w:szCs w:val="18"/>
              </w:rPr>
              <w:t>Ω</w:t>
            </w:r>
            <w:r w:rsidRPr="0014434B">
              <w:rPr>
                <w:sz w:val="18"/>
                <w:szCs w:val="18"/>
                <w:vertAlign w:val="subscript"/>
              </w:rPr>
              <w:t>s</w:t>
            </w:r>
            <w:r w:rsidRPr="0014434B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14434B">
              <w:rPr>
                <w:sz w:val="18"/>
                <w:szCs w:val="18"/>
                <w:lang w:val="en-US"/>
              </w:rPr>
              <w:t>× k3(n;p;1- α)</w:t>
            </w:r>
            <w:r w:rsidRPr="0014434B">
              <w:rPr>
                <w:sz w:val="18"/>
                <w:szCs w:val="18"/>
                <w:lang w:val="en-IE"/>
              </w:rPr>
              <w:t xml:space="preserve"> (*)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-</w:t>
            </w:r>
          </w:p>
          <w:p w:rsidR="00B14AD8" w:rsidRPr="0014434B" w:rsidRDefault="00B14AD8" w:rsidP="00DC1157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 xml:space="preserve">No individual </w:t>
            </w:r>
            <w:r w:rsidR="00DC1157" w:rsidRPr="00DD06EE">
              <w:rPr>
                <w:sz w:val="18"/>
                <w:szCs w:val="18"/>
                <w:u w:val="single"/>
                <w:lang w:val="en-IE"/>
              </w:rPr>
              <w:t>test result</w:t>
            </w:r>
            <w:r w:rsidR="00DC1157">
              <w:rPr>
                <w:sz w:val="18"/>
                <w:szCs w:val="18"/>
                <w:lang w:val="en-IE"/>
              </w:rPr>
              <w:t xml:space="preserve"> </w:t>
            </w:r>
            <w:r w:rsidRPr="00DD06EE">
              <w:rPr>
                <w:strike/>
                <w:sz w:val="18"/>
                <w:szCs w:val="18"/>
                <w:lang w:val="en-IE"/>
              </w:rPr>
              <w:t>sample shall exhibit a burst pressure</w:t>
            </w:r>
            <w:r w:rsidR="00DC1157">
              <w:rPr>
                <w:sz w:val="18"/>
                <w:szCs w:val="18"/>
                <w:lang w:val="en-IE"/>
              </w:rPr>
              <w:t xml:space="preserve"> </w:t>
            </w:r>
            <w:r w:rsidR="00DC1157" w:rsidRPr="00DD06EE">
              <w:rPr>
                <w:sz w:val="18"/>
                <w:szCs w:val="18"/>
                <w:u w:val="single"/>
                <w:lang w:val="en-IE"/>
              </w:rPr>
              <w:t>shall be</w:t>
            </w:r>
            <w:r w:rsidRPr="0014434B">
              <w:rPr>
                <w:sz w:val="18"/>
                <w:szCs w:val="18"/>
                <w:lang w:val="en-IE"/>
              </w:rPr>
              <w:t xml:space="preserve"> less than the test pressure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position w:val="-12"/>
                <w:sz w:val="18"/>
                <w:szCs w:val="18"/>
                <w:lang w:val="en-IE"/>
              </w:rPr>
              <w:object w:dxaOrig="480" w:dyaOrig="380" w14:anchorId="304790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.75pt" o:ole="">
                  <v:imagedata r:id="rId8" o:title=""/>
                </v:shape>
                <o:OLEObject Type="Embed" ProgID="Equation.3" ShapeID="_x0000_i1025" DrawAspect="Content" ObjectID="_1568012793" r:id="rId9"/>
              </w:object>
            </w:r>
            <w:r w:rsidRPr="0014434B">
              <w:rPr>
                <w:sz w:val="18"/>
                <w:szCs w:val="18"/>
                <w:lang w:val="en-IE"/>
              </w:rPr>
              <w:t xml:space="preserve"> or </w:t>
            </w:r>
            <w:r w:rsidRPr="0014434B">
              <w:rPr>
                <w:position w:val="-10"/>
                <w:sz w:val="18"/>
                <w:szCs w:val="18"/>
                <w:lang w:val="en-IE"/>
              </w:rPr>
              <w:object w:dxaOrig="680" w:dyaOrig="300" w14:anchorId="44738C0E">
                <v:shape id="_x0000_i1026" type="#_x0000_t75" style="width:34.5pt;height:15.75pt" o:ole="">
                  <v:imagedata r:id="rId10" o:title=""/>
                </v:shape>
                <o:OLEObject Type="Embed" ProgID="Equation.3" ShapeID="_x0000_i1026" DrawAspect="Content" ObjectID="_1568012794" r:id="rId11"/>
              </w:object>
            </w:r>
            <w:r w:rsidRPr="0014434B">
              <w:rPr>
                <w:sz w:val="18"/>
                <w:szCs w:val="18"/>
                <w:lang w:val="en-IE"/>
              </w:rPr>
              <w:br/>
              <w:t>whichever is lower,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 xml:space="preserve">and 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 xml:space="preserve">with a minimum of 20 per </w:t>
            </w:r>
            <w:r w:rsidRPr="00DD06EE">
              <w:rPr>
                <w:strike/>
                <w:sz w:val="18"/>
                <w:szCs w:val="18"/>
                <w:lang w:val="en-IE"/>
              </w:rPr>
              <w:t>population</w:t>
            </w:r>
            <w:r w:rsidRPr="0014434B">
              <w:rPr>
                <w:sz w:val="18"/>
                <w:szCs w:val="18"/>
                <w:lang w:val="en-IE"/>
              </w:rPr>
              <w:t xml:space="preserve"> </w:t>
            </w:r>
            <w:r w:rsidR="002E0788" w:rsidRPr="00EF0E55">
              <w:rPr>
                <w:sz w:val="18"/>
                <w:szCs w:val="18"/>
                <w:u w:val="single"/>
                <w:lang w:val="en-IE"/>
              </w:rPr>
              <w:t>sub</w:t>
            </w:r>
            <w:r w:rsidR="002E0788">
              <w:rPr>
                <w:sz w:val="18"/>
                <w:szCs w:val="18"/>
                <w:lang w:val="en-IE"/>
              </w:rPr>
              <w:t>-</w:t>
            </w:r>
            <w:r w:rsidRPr="0014434B">
              <w:rPr>
                <w:sz w:val="18"/>
                <w:szCs w:val="18"/>
                <w:lang w:val="en-IE"/>
              </w:rPr>
              <w:t>group (Q)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</w:p>
        </w:tc>
      </w:tr>
      <w:tr w:rsidR="00B14AD8" w:rsidRPr="0014434B" w:rsidTr="000072E9">
        <w:trPr>
          <w:trHeight w:hRule="exact" w:val="1057"/>
        </w:trPr>
        <w:tc>
          <w:tcPr>
            <w:tcW w:w="11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14AD8" w:rsidRPr="0014434B" w:rsidRDefault="00B14AD8" w:rsidP="000072E9">
            <w:pPr>
              <w:spacing w:after="120" w:line="276" w:lineRule="auto"/>
              <w:rPr>
                <w:sz w:val="18"/>
                <w:szCs w:val="18"/>
                <w:lang w:val="en-IE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Peeling</w:t>
            </w:r>
            <w:r w:rsidRPr="0014434B">
              <w:rPr>
                <w:rFonts w:ascii="Times New Roman" w:hAnsi="Times New Roman"/>
                <w:szCs w:val="18"/>
                <w:lang w:val="en-IE"/>
              </w:rPr>
              <w:br/>
              <w:t>and</w:t>
            </w:r>
            <w:r w:rsidRPr="0014434B">
              <w:rPr>
                <w:rFonts w:ascii="Times New Roman" w:hAnsi="Times New Roman"/>
                <w:szCs w:val="18"/>
                <w:lang w:val="en-IE"/>
              </w:rPr>
              <w:br/>
              <w:t>corrosion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 ISO 4628-3:2004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Max corrosion</w:t>
            </w:r>
            <w:r w:rsidRPr="0014434B">
              <w:rPr>
                <w:sz w:val="18"/>
                <w:szCs w:val="18"/>
                <w:lang w:val="en-IE"/>
              </w:rPr>
              <w:br/>
              <w:t>grade: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Ri2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iCs/>
                <w:w w:val="105"/>
                <w:sz w:val="18"/>
                <w:szCs w:val="18"/>
                <w:lang w:val="en-IE"/>
              </w:rPr>
              <w:t>Q</w:t>
            </w:r>
            <w:r w:rsidRPr="0014434B">
              <w:rPr>
                <w:sz w:val="18"/>
                <w:szCs w:val="18"/>
                <w:lang w:val="en-IE"/>
              </w:rPr>
              <w:t>/1 000</w:t>
            </w:r>
          </w:p>
        </w:tc>
      </w:tr>
      <w:tr w:rsidR="00B14AD8" w:rsidRPr="0014434B" w:rsidTr="000072E9">
        <w:trPr>
          <w:trHeight w:val="839"/>
        </w:trPr>
        <w:tc>
          <w:tcPr>
            <w:tcW w:w="1119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Adhesion of Polyurethane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ISO 2859-1:2000</w:t>
            </w:r>
          </w:p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 1442:2014</w:t>
            </w:r>
          </w:p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 14140:2015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Adhesion value &gt; 0.5 N/mm²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position w:val="-12"/>
                <w:sz w:val="18"/>
                <w:szCs w:val="18"/>
                <w:lang w:val="en-IE"/>
              </w:rPr>
            </w:pPr>
            <w:r w:rsidRPr="0014434B">
              <w:rPr>
                <w:position w:val="-12"/>
                <w:sz w:val="18"/>
                <w:szCs w:val="18"/>
                <w:lang w:val="en-IE"/>
              </w:rPr>
              <w:t>See ISO 2859-1:2000 applied to Q/1000</w:t>
            </w:r>
          </w:p>
        </w:tc>
      </w:tr>
      <w:tr w:rsidR="00B14AD8" w:rsidRPr="0014434B" w:rsidTr="000072E9">
        <w:trPr>
          <w:trHeight w:val="2151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 xml:space="preserve">Every </w:t>
            </w:r>
            <w:r w:rsidRPr="0014434B">
              <w:rPr>
                <w:rFonts w:ascii="Times New Roman" w:hAnsi="Times New Roman"/>
                <w:w w:val="105"/>
                <w:szCs w:val="18"/>
                <w:lang w:val="en-IE"/>
              </w:rPr>
              <w:t>5 years thereafter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Burst test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 1442:2014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850A8A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DD06EE">
              <w:rPr>
                <w:strike/>
                <w:sz w:val="18"/>
                <w:szCs w:val="18"/>
                <w:lang w:val="en-IE"/>
              </w:rPr>
              <w:t xml:space="preserve">Representative </w:t>
            </w:r>
            <w:r w:rsidRPr="0014434B">
              <w:rPr>
                <w:sz w:val="18"/>
                <w:szCs w:val="18"/>
                <w:lang w:val="en-IE"/>
              </w:rPr>
              <w:t xml:space="preserve">Burst pressure point </w:t>
            </w:r>
            <w:r w:rsidRPr="0014434B">
              <w:rPr>
                <w:sz w:val="18"/>
                <w:szCs w:val="18"/>
                <w:lang w:val="en-US"/>
              </w:rPr>
              <w:t xml:space="preserve">of the </w:t>
            </w:r>
            <w:r w:rsidRPr="00DD06EE">
              <w:rPr>
                <w:sz w:val="18"/>
                <w:szCs w:val="18"/>
                <w:u w:val="single"/>
                <w:lang w:val="en-IE"/>
              </w:rPr>
              <w:t>representative</w:t>
            </w:r>
            <w:r w:rsidRPr="0014434B">
              <w:rPr>
                <w:sz w:val="18"/>
                <w:szCs w:val="18"/>
                <w:lang w:val="en-IE"/>
              </w:rPr>
              <w:t xml:space="preserve"> </w:t>
            </w:r>
            <w:r w:rsidRPr="0014434B">
              <w:rPr>
                <w:sz w:val="18"/>
                <w:szCs w:val="18"/>
                <w:lang w:val="en-US"/>
              </w:rPr>
              <w:t>sample must be above the lower limit of tolerance interval on</w:t>
            </w:r>
            <w:r w:rsidRPr="0014434B">
              <w:rPr>
                <w:sz w:val="18"/>
                <w:szCs w:val="18"/>
                <w:lang w:val="en-IE"/>
              </w:rPr>
              <w:t xml:space="preserve"> the Sample Performance Chart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</w:rPr>
              <w:t>Ω</w:t>
            </w:r>
            <w:r w:rsidRPr="0014434B">
              <w:rPr>
                <w:sz w:val="18"/>
                <w:szCs w:val="18"/>
                <w:vertAlign w:val="subscript"/>
              </w:rPr>
              <w:t>m</w:t>
            </w:r>
            <w:r w:rsidRPr="0014434B" w:rsidDel="00250403">
              <w:rPr>
                <w:sz w:val="18"/>
                <w:szCs w:val="18"/>
                <w:lang w:val="en-US"/>
              </w:rPr>
              <w:t xml:space="preserve"> </w:t>
            </w:r>
            <w:r w:rsidRPr="0014434B">
              <w:rPr>
                <w:sz w:val="18"/>
                <w:szCs w:val="18"/>
                <w:lang w:val="en-US"/>
              </w:rPr>
              <w:t xml:space="preserve">≥ 1 + </w:t>
            </w:r>
            <w:r w:rsidRPr="0014434B">
              <w:rPr>
                <w:sz w:val="18"/>
                <w:szCs w:val="18"/>
              </w:rPr>
              <w:t>Ω</w:t>
            </w:r>
            <w:r w:rsidRPr="0014434B">
              <w:rPr>
                <w:sz w:val="18"/>
                <w:szCs w:val="18"/>
                <w:vertAlign w:val="subscript"/>
              </w:rPr>
              <w:t>s</w:t>
            </w:r>
            <w:r w:rsidRPr="0014434B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14434B">
              <w:rPr>
                <w:sz w:val="18"/>
                <w:szCs w:val="18"/>
                <w:lang w:val="en-US"/>
              </w:rPr>
              <w:t>× k3(n;p;1- α)</w:t>
            </w:r>
            <w:r w:rsidRPr="0014434B">
              <w:rPr>
                <w:sz w:val="18"/>
                <w:szCs w:val="18"/>
                <w:lang w:val="en-IE"/>
              </w:rPr>
              <w:t xml:space="preserve"> (*)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-</w:t>
            </w:r>
          </w:p>
          <w:p w:rsidR="00B14AD8" w:rsidRPr="0014434B" w:rsidRDefault="00850A8A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 xml:space="preserve">No individual </w:t>
            </w:r>
            <w:r w:rsidRPr="00DD06EE">
              <w:rPr>
                <w:sz w:val="18"/>
                <w:szCs w:val="18"/>
                <w:u w:val="single"/>
                <w:lang w:val="en-IE"/>
              </w:rPr>
              <w:t>test result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Pr="00DD06EE">
              <w:rPr>
                <w:strike/>
                <w:sz w:val="18"/>
                <w:szCs w:val="18"/>
                <w:lang w:val="en-IE"/>
              </w:rPr>
              <w:t>sample shall exhibit a burst pressure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Pr="00DD06EE">
              <w:rPr>
                <w:sz w:val="18"/>
                <w:szCs w:val="18"/>
                <w:u w:val="single"/>
                <w:lang w:val="en-IE"/>
              </w:rPr>
              <w:t>shall be</w:t>
            </w:r>
            <w:r w:rsidRPr="0014434B">
              <w:rPr>
                <w:sz w:val="18"/>
                <w:szCs w:val="18"/>
                <w:lang w:val="en-IE"/>
              </w:rPr>
              <w:t xml:space="preserve"> less than the test pressure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position w:val="-12"/>
                <w:sz w:val="18"/>
                <w:szCs w:val="18"/>
                <w:lang w:val="en-IE"/>
              </w:rPr>
              <w:object w:dxaOrig="480" w:dyaOrig="380" w14:anchorId="1FD0D047">
                <v:shape id="_x0000_i1027" type="#_x0000_t75" style="width:23.25pt;height:18.75pt" o:ole="">
                  <v:imagedata r:id="rId12" o:title=""/>
                </v:shape>
                <o:OLEObject Type="Embed" ProgID="Equation.3" ShapeID="_x0000_i1027" DrawAspect="Content" ObjectID="_1568012795" r:id="rId13"/>
              </w:object>
            </w:r>
            <w:r w:rsidRPr="0014434B">
              <w:rPr>
                <w:sz w:val="18"/>
                <w:szCs w:val="18"/>
                <w:lang w:val="en-IE"/>
              </w:rPr>
              <w:t xml:space="preserve"> or </w:t>
            </w:r>
            <w:r w:rsidRPr="0014434B">
              <w:rPr>
                <w:position w:val="-10"/>
                <w:sz w:val="18"/>
                <w:szCs w:val="18"/>
                <w:lang w:val="en-IE"/>
              </w:rPr>
              <w:object w:dxaOrig="660" w:dyaOrig="300" w14:anchorId="28D2E972">
                <v:shape id="_x0000_i1028" type="#_x0000_t75" style="width:33.75pt;height:15.75pt" o:ole="">
                  <v:imagedata r:id="rId14" o:title=""/>
                </v:shape>
                <o:OLEObject Type="Embed" ProgID="Equation.3" ShapeID="_x0000_i1028" DrawAspect="Content" ObjectID="_1568012796" r:id="rId15"/>
              </w:object>
            </w:r>
            <w:r w:rsidRPr="0014434B">
              <w:rPr>
                <w:sz w:val="18"/>
                <w:szCs w:val="18"/>
                <w:lang w:val="en-IE"/>
              </w:rPr>
              <w:t xml:space="preserve"> </w:t>
            </w:r>
            <w:r w:rsidRPr="0014434B">
              <w:rPr>
                <w:sz w:val="18"/>
                <w:szCs w:val="18"/>
                <w:lang w:val="en-IE"/>
              </w:rPr>
              <w:br/>
              <w:t>whichever is lower, 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 xml:space="preserve">and 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 xml:space="preserve">with a minimum of 40 per </w:t>
            </w:r>
            <w:r w:rsidRPr="00850A8A">
              <w:rPr>
                <w:strike/>
                <w:sz w:val="18"/>
                <w:szCs w:val="18"/>
                <w:lang w:val="en-IE"/>
              </w:rPr>
              <w:t>population</w:t>
            </w:r>
            <w:r w:rsidRPr="0014434B">
              <w:rPr>
                <w:sz w:val="18"/>
                <w:szCs w:val="18"/>
                <w:lang w:val="en-IE"/>
              </w:rPr>
              <w:t xml:space="preserve"> </w:t>
            </w:r>
            <w:r w:rsidR="002E0788" w:rsidRPr="00EF0E55">
              <w:rPr>
                <w:sz w:val="18"/>
                <w:szCs w:val="18"/>
                <w:u w:val="single"/>
                <w:lang w:val="en-IE"/>
              </w:rPr>
              <w:t>sub</w:t>
            </w:r>
            <w:r w:rsidR="002E0788">
              <w:rPr>
                <w:sz w:val="18"/>
                <w:szCs w:val="18"/>
                <w:lang w:val="en-IE"/>
              </w:rPr>
              <w:t>-</w:t>
            </w:r>
            <w:r w:rsidRPr="0014434B">
              <w:rPr>
                <w:sz w:val="18"/>
                <w:szCs w:val="18"/>
                <w:lang w:val="en-IE"/>
              </w:rPr>
              <w:t>group (Q)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</w:p>
        </w:tc>
      </w:tr>
      <w:tr w:rsidR="00B14AD8" w:rsidRPr="0014434B" w:rsidTr="000072E9">
        <w:trPr>
          <w:trHeight w:hRule="exact" w:val="957"/>
        </w:trPr>
        <w:tc>
          <w:tcPr>
            <w:tcW w:w="11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14AD8" w:rsidRPr="0014434B" w:rsidRDefault="00B14AD8" w:rsidP="000072E9">
            <w:pPr>
              <w:spacing w:after="120" w:line="276" w:lineRule="auto"/>
              <w:rPr>
                <w:sz w:val="18"/>
                <w:szCs w:val="18"/>
                <w:lang w:val="en-IE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Peeling</w:t>
            </w:r>
            <w:r w:rsidRPr="0014434B">
              <w:rPr>
                <w:rFonts w:ascii="Times New Roman" w:hAnsi="Times New Roman"/>
                <w:szCs w:val="18"/>
                <w:lang w:val="en-IE"/>
              </w:rPr>
              <w:br/>
              <w:t>and</w:t>
            </w:r>
            <w:r w:rsidRPr="0014434B">
              <w:rPr>
                <w:rFonts w:ascii="Times New Roman" w:hAnsi="Times New Roman"/>
                <w:szCs w:val="18"/>
                <w:lang w:val="en-IE"/>
              </w:rPr>
              <w:br/>
              <w:t>corrosion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 ISO 4628-3:2004</w:t>
            </w:r>
          </w:p>
          <w:p w:rsidR="00B14AD8" w:rsidRPr="0014434B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Max corrosion</w:t>
            </w:r>
            <w:r w:rsidRPr="0014434B">
              <w:rPr>
                <w:sz w:val="18"/>
                <w:szCs w:val="18"/>
                <w:lang w:val="en-IE"/>
              </w:rPr>
              <w:br/>
              <w:t>grade:</w:t>
            </w:r>
          </w:p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Ri2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iCs/>
                <w:w w:val="105"/>
                <w:sz w:val="18"/>
                <w:szCs w:val="18"/>
                <w:lang w:val="en-IE"/>
              </w:rPr>
              <w:t>Q</w:t>
            </w:r>
            <w:r w:rsidRPr="0014434B">
              <w:rPr>
                <w:sz w:val="18"/>
                <w:szCs w:val="18"/>
                <w:lang w:val="en-IE"/>
              </w:rPr>
              <w:t>/1 000</w:t>
            </w:r>
          </w:p>
        </w:tc>
      </w:tr>
      <w:tr w:rsidR="00B14AD8" w:rsidRPr="0014434B" w:rsidTr="000072E9">
        <w:trPr>
          <w:trHeight w:hRule="exact" w:val="957"/>
        </w:trPr>
        <w:tc>
          <w:tcPr>
            <w:tcW w:w="11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AD8" w:rsidRPr="0014434B" w:rsidRDefault="00B14AD8" w:rsidP="000072E9">
            <w:pPr>
              <w:spacing w:after="120" w:line="276" w:lineRule="auto"/>
              <w:rPr>
                <w:sz w:val="18"/>
                <w:szCs w:val="18"/>
                <w:lang w:val="en-IE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pStyle w:val="Tabletext9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Adhesion of Polyurethane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Default="00B14AD8" w:rsidP="000072E9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ISO 2859-1:2000</w:t>
            </w:r>
          </w:p>
          <w:p w:rsidR="00CE6E62" w:rsidRPr="0014434B" w:rsidRDefault="00CE6E62" w:rsidP="00CE6E62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 1442:2014</w:t>
            </w:r>
          </w:p>
          <w:p w:rsidR="00CE6E62" w:rsidRPr="0014434B" w:rsidRDefault="00CE6E62" w:rsidP="00CE6E62">
            <w:pPr>
              <w:pStyle w:val="Tabletext9"/>
              <w:jc w:val="left"/>
              <w:rPr>
                <w:rFonts w:ascii="Times New Roman" w:hAnsi="Times New Roman"/>
                <w:szCs w:val="18"/>
                <w:lang w:val="en-IE"/>
              </w:rPr>
            </w:pPr>
            <w:r w:rsidRPr="0014434B">
              <w:rPr>
                <w:rFonts w:ascii="Times New Roman" w:hAnsi="Times New Roman"/>
                <w:szCs w:val="18"/>
                <w:lang w:val="en-IE"/>
              </w:rPr>
              <w:t>EN 14140:2015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sz w:val="18"/>
                <w:szCs w:val="18"/>
                <w:lang w:val="en-IE"/>
              </w:rPr>
            </w:pPr>
            <w:r w:rsidRPr="0014434B">
              <w:rPr>
                <w:sz w:val="18"/>
                <w:szCs w:val="18"/>
                <w:lang w:val="en-IE"/>
              </w:rPr>
              <w:t>Adhesion value &gt; 0.5 N/mm²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D8" w:rsidRPr="0014434B" w:rsidRDefault="00B14AD8" w:rsidP="000072E9">
            <w:pPr>
              <w:spacing w:after="120" w:line="276" w:lineRule="auto"/>
              <w:jc w:val="center"/>
              <w:rPr>
                <w:position w:val="-12"/>
                <w:sz w:val="18"/>
                <w:szCs w:val="18"/>
                <w:lang w:val="en-IE"/>
              </w:rPr>
            </w:pPr>
            <w:r w:rsidRPr="0014434B">
              <w:rPr>
                <w:position w:val="-12"/>
                <w:sz w:val="18"/>
                <w:szCs w:val="18"/>
                <w:lang w:val="en-IE"/>
              </w:rPr>
              <w:t>See ISO 2859-1:2000 applied to Q/1000</w:t>
            </w:r>
          </w:p>
        </w:tc>
      </w:tr>
    </w:tbl>
    <w:p w:rsidR="00B14AD8" w:rsidRDefault="00B14AD8" w:rsidP="0014434B">
      <w:pPr>
        <w:pStyle w:val="SingleTxtG"/>
        <w:spacing w:before="120"/>
        <w:rPr>
          <w:lang w:val="en-US"/>
        </w:rPr>
      </w:pPr>
      <w:r>
        <w:rPr>
          <w:lang w:val="en-US"/>
        </w:rPr>
        <w:t xml:space="preserve">(*) </w:t>
      </w:r>
      <w:r w:rsidRPr="00DD06EE">
        <w:rPr>
          <w:strike/>
          <w:lang w:val="en-US"/>
        </w:rPr>
        <w:t xml:space="preserve">Representative </w:t>
      </w:r>
      <w:r w:rsidR="00C43547">
        <w:rPr>
          <w:lang w:val="en-US"/>
        </w:rPr>
        <w:t>B</w:t>
      </w:r>
      <w:r>
        <w:rPr>
          <w:lang w:val="en-US"/>
        </w:rPr>
        <w:t xml:space="preserve">urst pressure point </w:t>
      </w:r>
      <w:r w:rsidR="002F43BA" w:rsidRPr="00DD06EE">
        <w:rPr>
          <w:u w:val="single"/>
          <w:lang w:val="en-US"/>
        </w:rPr>
        <w:t>(BPP)</w:t>
      </w:r>
      <w:r w:rsidR="002F43BA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="00C43547" w:rsidRPr="00DD06EE">
        <w:rPr>
          <w:u w:val="single"/>
          <w:lang w:val="en-US"/>
        </w:rPr>
        <w:t>representative</w:t>
      </w:r>
      <w:r w:rsidR="00C43547">
        <w:rPr>
          <w:lang w:val="en-US"/>
        </w:rPr>
        <w:t xml:space="preserve"> </w:t>
      </w:r>
      <w:r>
        <w:rPr>
          <w:lang w:val="en-US"/>
        </w:rPr>
        <w:t>sample</w:t>
      </w:r>
      <w:r w:rsidR="002F43BA">
        <w:rPr>
          <w:lang w:val="en-US"/>
        </w:rPr>
        <w:t xml:space="preserve"> </w:t>
      </w:r>
      <w:r w:rsidR="002F43BA" w:rsidRPr="00DD06EE">
        <w:rPr>
          <w:u w:val="single"/>
          <w:lang w:val="en-US"/>
        </w:rPr>
        <w:t>is used</w:t>
      </w:r>
      <w:r w:rsidR="002F43BA">
        <w:rPr>
          <w:lang w:val="en-US"/>
        </w:rPr>
        <w:t xml:space="preserve"> </w:t>
      </w:r>
      <w:r w:rsidRPr="00DD06EE">
        <w:rPr>
          <w:strike/>
          <w:lang w:val="en-US"/>
        </w:rPr>
        <w:t xml:space="preserve">Procedure </w:t>
      </w:r>
      <w:r>
        <w:rPr>
          <w:lang w:val="en-US"/>
        </w:rPr>
        <w:t>f</w:t>
      </w:r>
      <w:r w:rsidRPr="0012564C">
        <w:rPr>
          <w:lang w:val="en-US"/>
        </w:rPr>
        <w:t xml:space="preserve">or </w:t>
      </w:r>
      <w:r>
        <w:rPr>
          <w:lang w:val="en-US"/>
        </w:rPr>
        <w:t>the</w:t>
      </w:r>
      <w:r w:rsidRPr="0012564C">
        <w:rPr>
          <w:lang w:val="en-US"/>
        </w:rPr>
        <w:t xml:space="preserve"> </w:t>
      </w:r>
      <w:r>
        <w:rPr>
          <w:lang w:val="en-US"/>
        </w:rPr>
        <w:t>evaluation of test results by using a Sample Performance Chart</w:t>
      </w:r>
      <w:r w:rsidR="00592460">
        <w:rPr>
          <w:rStyle w:val="FootnoteReference"/>
          <w:lang w:val="en-US"/>
        </w:rPr>
        <w:footnoteReference w:id="2"/>
      </w:r>
      <w:proofErr w:type="gramStart"/>
      <w:r w:rsidR="00117350">
        <w:rPr>
          <w:lang w:val="en-US"/>
        </w:rPr>
        <w:t>,</w:t>
      </w:r>
      <w:r w:rsidR="00117350">
        <w:rPr>
          <w:rStyle w:val="FootnoteReference"/>
          <w:lang w:val="en-US"/>
        </w:rPr>
        <w:footnoteReference w:id="3"/>
      </w:r>
      <w:r>
        <w:rPr>
          <w:lang w:val="en-US"/>
        </w:rPr>
        <w:t>:</w:t>
      </w:r>
      <w:proofErr w:type="gramEnd"/>
    </w:p>
    <w:p w:rsidR="00B14AD8" w:rsidRDefault="00B14AD8" w:rsidP="0014434B">
      <w:pPr>
        <w:pStyle w:val="SingleTxtG"/>
      </w:pPr>
      <w:r>
        <w:lastRenderedPageBreak/>
        <w:t xml:space="preserve">Step 1: Determination of the </w:t>
      </w:r>
      <w:r w:rsidRPr="00DD06EE">
        <w:rPr>
          <w:strike/>
        </w:rPr>
        <w:t>representative</w:t>
      </w:r>
      <w:r>
        <w:t xml:space="preserve"> burst pressure point (</w:t>
      </w:r>
      <w:r w:rsidRPr="00105004">
        <w:rPr>
          <w:strike/>
        </w:rPr>
        <w:t>R</w:t>
      </w:r>
      <w:r>
        <w:t xml:space="preserve">BPP) of a </w:t>
      </w:r>
      <w:r w:rsidR="002F43BA" w:rsidRPr="00105004">
        <w:rPr>
          <w:u w:val="single"/>
        </w:rPr>
        <w:t xml:space="preserve">representative </w:t>
      </w:r>
      <w:r>
        <w:t xml:space="preserve">sample </w:t>
      </w:r>
    </w:p>
    <w:p w:rsidR="00B14AD8" w:rsidRPr="00D90214" w:rsidRDefault="00B14AD8" w:rsidP="0014434B">
      <w:pPr>
        <w:pStyle w:val="SingleTxtG"/>
      </w:pPr>
      <w:proofErr w:type="gramStart"/>
      <w:r w:rsidRPr="00D90214">
        <w:t>Each sample is represented by a point</w:t>
      </w:r>
      <w:proofErr w:type="gramEnd"/>
      <w:r w:rsidRPr="00D90214">
        <w:t xml:space="preserve"> whose coordinates are the </w:t>
      </w:r>
      <w:r w:rsidRPr="00105004">
        <w:rPr>
          <w:strike/>
        </w:rPr>
        <w:t>Sample</w:t>
      </w:r>
      <w:r>
        <w:t xml:space="preserve"> </w:t>
      </w:r>
      <w:r w:rsidR="002F43BA">
        <w:t>m</w:t>
      </w:r>
      <w:r w:rsidRPr="00D90214">
        <w:t xml:space="preserve">ean </w:t>
      </w:r>
      <w:r w:rsidR="002F43BA" w:rsidRPr="00105004">
        <w:rPr>
          <w:u w:val="single"/>
        </w:rPr>
        <w:t>value</w:t>
      </w:r>
      <w:r w:rsidR="002F43BA">
        <w:t xml:space="preserve"> </w:t>
      </w:r>
      <w:r>
        <w:t xml:space="preserve">of burst test results </w:t>
      </w:r>
      <w:r w:rsidRPr="00D90214">
        <w:t xml:space="preserve">and </w:t>
      </w:r>
      <w:r>
        <w:t xml:space="preserve">the </w:t>
      </w:r>
      <w:r w:rsidRPr="00105004">
        <w:rPr>
          <w:strike/>
        </w:rPr>
        <w:t>Sample</w:t>
      </w:r>
      <w:r>
        <w:t xml:space="preserve"> </w:t>
      </w:r>
      <w:r w:rsidR="002F43BA">
        <w:t>s</w:t>
      </w:r>
      <w:r w:rsidRPr="00D90214">
        <w:t xml:space="preserve">tandard </w:t>
      </w:r>
      <w:r w:rsidR="002F43BA">
        <w:t>d</w:t>
      </w:r>
      <w:r w:rsidRPr="00D90214">
        <w:t xml:space="preserve">eviation of </w:t>
      </w:r>
      <w:r>
        <w:t>b</w:t>
      </w:r>
      <w:r w:rsidRPr="00D90214">
        <w:t xml:space="preserve">urst </w:t>
      </w:r>
      <w:r>
        <w:t>t</w:t>
      </w:r>
      <w:r w:rsidRPr="00D90214">
        <w:t>est results</w:t>
      </w:r>
      <w:r>
        <w:t xml:space="preserve">, each </w:t>
      </w:r>
      <w:r w:rsidRPr="00116A27">
        <w:rPr>
          <w:strike/>
        </w:rPr>
        <w:t xml:space="preserve">related </w:t>
      </w:r>
      <w:r w:rsidR="002F43BA" w:rsidRPr="00105004">
        <w:rPr>
          <w:u w:val="single"/>
        </w:rPr>
        <w:t>normalised</w:t>
      </w:r>
      <w:r w:rsidR="002F43BA">
        <w:t xml:space="preserve"> </w:t>
      </w:r>
      <w:r>
        <w:t>to the relevant test pressure.</w:t>
      </w:r>
    </w:p>
    <w:p w:rsidR="00B14AD8" w:rsidRPr="00FF20F6" w:rsidRDefault="000173A7" w:rsidP="00B14AD8">
      <w:pPr>
        <w:spacing w:after="120"/>
        <w:ind w:left="1701" w:right="1134"/>
        <w:jc w:val="center"/>
        <w:rPr>
          <w:sz w:val="24"/>
          <w:szCs w:val="24"/>
        </w:rPr>
      </w:pPr>
      <w:r w:rsidRPr="00116A27">
        <w:rPr>
          <w:strike/>
          <w:sz w:val="24"/>
          <w:szCs w:val="24"/>
        </w:rPr>
        <w:t>R</w:t>
      </w:r>
      <w:r w:rsidRPr="00FF20F6">
        <w:rPr>
          <w:sz w:val="24"/>
          <w:szCs w:val="24"/>
        </w:rPr>
        <w:t>BPP:</w:t>
      </w:r>
      <w:r w:rsidR="00B14AD8" w:rsidRPr="00FF20F6">
        <w:rPr>
          <w:sz w:val="24"/>
          <w:szCs w:val="24"/>
        </w:rPr>
        <w:t xml:space="preserve"> </w:t>
      </w:r>
      <w:proofErr w:type="gramStart"/>
      <w:r w:rsidR="00B14AD8" w:rsidRPr="00FF20F6">
        <w:rPr>
          <w:sz w:val="24"/>
          <w:szCs w:val="24"/>
        </w:rPr>
        <w:t xml:space="preserve">( </w:t>
      </w:r>
      <w:r w:rsidR="00B14AD8" w:rsidRPr="00105004">
        <w:rPr>
          <w:strike/>
          <w:sz w:val="24"/>
          <w:szCs w:val="24"/>
        </w:rPr>
        <w:t>Ω</w:t>
      </w:r>
      <w:proofErr w:type="gramEnd"/>
      <w:r w:rsidR="00B14AD8" w:rsidRPr="00105004">
        <w:rPr>
          <w:strike/>
          <w:sz w:val="24"/>
          <w:szCs w:val="24"/>
          <w:vertAlign w:val="subscript"/>
        </w:rPr>
        <w:t xml:space="preserve">m </w:t>
      </w:r>
      <w:r w:rsidR="00B14AD8" w:rsidRPr="00105004">
        <w:rPr>
          <w:strike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trike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trike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trike/>
                <w:sz w:val="24"/>
                <w:szCs w:val="24"/>
              </w:rPr>
              <m:t>PH</m:t>
            </m:r>
          </m:den>
        </m:f>
        <m:r>
          <w:rPr>
            <w:rFonts w:ascii="Cambria Math" w:hAnsi="Cambria Math"/>
            <w:strike/>
            <w:sz w:val="24"/>
            <w:szCs w:val="24"/>
          </w:rPr>
          <m:t xml:space="preserve"> </m:t>
        </m:r>
      </m:oMath>
      <w:r w:rsidR="00B14AD8" w:rsidRPr="00105004">
        <w:rPr>
          <w:strike/>
          <w:sz w:val="24"/>
          <w:szCs w:val="24"/>
        </w:rPr>
        <w:t>;</w:t>
      </w:r>
      <w:r w:rsidR="00B14AD8" w:rsidRPr="00FF20F6">
        <w:rPr>
          <w:sz w:val="24"/>
          <w:szCs w:val="24"/>
        </w:rPr>
        <w:t xml:space="preserve"> Ω</w:t>
      </w:r>
      <w:r w:rsidR="00B14AD8" w:rsidRPr="00FF20F6">
        <w:rPr>
          <w:sz w:val="24"/>
          <w:szCs w:val="24"/>
          <w:vertAlign w:val="subscript"/>
        </w:rPr>
        <w:t xml:space="preserve">s </w:t>
      </w:r>
      <w:r w:rsidR="00B14AD8" w:rsidRPr="00FF20F6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PH</m:t>
            </m:r>
          </m:den>
        </m:f>
      </m:oMath>
      <w:r w:rsidR="00B14AD8" w:rsidRPr="00FF20F6">
        <w:rPr>
          <w:sz w:val="24"/>
          <w:szCs w:val="24"/>
        </w:rPr>
        <w:t xml:space="preserve"> </w:t>
      </w:r>
      <w:r w:rsidR="002F43BA">
        <w:rPr>
          <w:sz w:val="24"/>
          <w:szCs w:val="24"/>
        </w:rPr>
        <w:t xml:space="preserve">; </w:t>
      </w:r>
      <w:r w:rsidR="002F43BA" w:rsidRPr="00105004">
        <w:rPr>
          <w:sz w:val="24"/>
          <w:szCs w:val="24"/>
          <w:u w:val="single"/>
        </w:rPr>
        <w:t>Ω</w:t>
      </w:r>
      <w:r w:rsidR="002F43BA" w:rsidRPr="00105004">
        <w:rPr>
          <w:sz w:val="24"/>
          <w:szCs w:val="24"/>
          <w:u w:val="single"/>
          <w:vertAlign w:val="subscript"/>
        </w:rPr>
        <w:t xml:space="preserve">m </w:t>
      </w:r>
      <w:r w:rsidR="002F43BA" w:rsidRPr="00105004">
        <w:rPr>
          <w:sz w:val="24"/>
          <w:szCs w:val="24"/>
          <w:u w:val="single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PH</m:t>
            </m:r>
          </m:den>
        </m:f>
        <m:r>
          <w:rPr>
            <w:rFonts w:ascii="Cambria Math" w:hAnsi="Cambria Math"/>
            <w:sz w:val="24"/>
            <w:szCs w:val="24"/>
            <w:u w:val="single"/>
          </w:rPr>
          <m:t xml:space="preserve"> </m:t>
        </m:r>
      </m:oMath>
      <w:r w:rsidR="00B14AD8" w:rsidRPr="00FF20F6">
        <w:rPr>
          <w:sz w:val="24"/>
          <w:szCs w:val="24"/>
        </w:rPr>
        <w:t>)</w:t>
      </w:r>
    </w:p>
    <w:p w:rsidR="00B14AD8" w:rsidRPr="0012564C" w:rsidRDefault="00B14AD8" w:rsidP="0014434B">
      <w:pPr>
        <w:pStyle w:val="SingleTxtG"/>
        <w:rPr>
          <w:lang w:val="en-US"/>
        </w:rPr>
      </w:pPr>
      <w:proofErr w:type="gramStart"/>
      <w:r w:rsidRPr="0012564C">
        <w:rPr>
          <w:lang w:val="en-US"/>
        </w:rPr>
        <w:t>with</w:t>
      </w:r>
      <w:proofErr w:type="gramEnd"/>
    </w:p>
    <w:p w:rsidR="00B14AD8" w:rsidRPr="0014434B" w:rsidRDefault="00B14AD8" w:rsidP="0014434B">
      <w:pPr>
        <w:pStyle w:val="SingleTxtG"/>
      </w:pPr>
      <w:proofErr w:type="gramStart"/>
      <w:r w:rsidRPr="0014434B">
        <w:t>x</w:t>
      </w:r>
      <w:proofErr w:type="gramEnd"/>
      <w:r w:rsidRPr="0014434B">
        <w:t>: sample mean</w:t>
      </w:r>
      <w:r w:rsidR="002E7339">
        <w:t xml:space="preserve"> </w:t>
      </w:r>
      <w:r w:rsidR="002E7339" w:rsidRPr="00EF0E55">
        <w:rPr>
          <w:u w:val="single"/>
        </w:rPr>
        <w:t>value</w:t>
      </w:r>
      <w:r w:rsidRPr="0014434B">
        <w:t>;</w:t>
      </w:r>
    </w:p>
    <w:p w:rsidR="00B14AD8" w:rsidRPr="0014434B" w:rsidRDefault="00B14AD8" w:rsidP="0014434B">
      <w:pPr>
        <w:pStyle w:val="SingleTxtG"/>
      </w:pPr>
      <w:proofErr w:type="gramStart"/>
      <w:r w:rsidRPr="0014434B">
        <w:t>s</w:t>
      </w:r>
      <w:proofErr w:type="gramEnd"/>
      <w:r w:rsidRPr="0014434B">
        <w:t>: sample standard deviation;</w:t>
      </w:r>
    </w:p>
    <w:p w:rsidR="00B14AD8" w:rsidRPr="0014434B" w:rsidRDefault="00B14AD8" w:rsidP="0014434B">
      <w:pPr>
        <w:pStyle w:val="SingleTxtG"/>
      </w:pPr>
      <w:r w:rsidRPr="0014434B">
        <w:t>PH: test pressure</w:t>
      </w:r>
    </w:p>
    <w:p w:rsidR="00B14AD8" w:rsidRDefault="00B14AD8" w:rsidP="0014434B">
      <w:pPr>
        <w:pStyle w:val="SingleTxtG"/>
      </w:pPr>
      <w:r w:rsidRPr="003F114D">
        <w:rPr>
          <w:lang w:val="en-US"/>
        </w:rPr>
        <w:t xml:space="preserve">Step 2: </w:t>
      </w:r>
      <w:r w:rsidRPr="003F114D">
        <w:t>Plotting on a Sample Performance Chart</w:t>
      </w:r>
    </w:p>
    <w:p w:rsidR="00B14AD8" w:rsidRPr="003F114D" w:rsidRDefault="00B14AD8" w:rsidP="0014434B">
      <w:pPr>
        <w:pStyle w:val="SingleTxtG"/>
      </w:pPr>
      <w:r w:rsidRPr="003F114D">
        <w:t xml:space="preserve">Each RBPP </w:t>
      </w:r>
      <w:proofErr w:type="gramStart"/>
      <w:r w:rsidR="0044499C">
        <w:t>is</w:t>
      </w:r>
      <w:r w:rsidR="0044499C" w:rsidRPr="003F114D">
        <w:t xml:space="preserve"> </w:t>
      </w:r>
      <w:r w:rsidRPr="003F114D">
        <w:t>plotted</w:t>
      </w:r>
      <w:proofErr w:type="gramEnd"/>
      <w:r w:rsidRPr="003F114D">
        <w:t xml:space="preserve"> on a Sample Performance Chart with following axis:</w:t>
      </w:r>
    </w:p>
    <w:p w:rsidR="00B14AD8" w:rsidRPr="00FF20F6" w:rsidRDefault="00B14AD8" w:rsidP="0014434B">
      <w:pPr>
        <w:pStyle w:val="Bullet1G"/>
      </w:pPr>
      <w:r w:rsidRPr="00FF20F6">
        <w:t xml:space="preserve">Abscissa : Standard Deviation </w:t>
      </w:r>
      <w:r w:rsidR="00AD2DFF" w:rsidRPr="00105004">
        <w:rPr>
          <w:u w:val="single"/>
        </w:rPr>
        <w:t>normalised</w:t>
      </w:r>
      <w:r w:rsidR="00AD2DFF">
        <w:t xml:space="preserve"> </w:t>
      </w:r>
      <w:r w:rsidRPr="00105004">
        <w:rPr>
          <w:strike/>
        </w:rPr>
        <w:t>related</w:t>
      </w:r>
      <w:r w:rsidRPr="00FF20F6">
        <w:t xml:space="preserve"> to test pressure ( Ω</w:t>
      </w:r>
      <w:r w:rsidR="0046134A" w:rsidRPr="00105004">
        <w:rPr>
          <w:vertAlign w:val="subscript"/>
        </w:rPr>
        <w:t>s</w:t>
      </w:r>
      <w:r w:rsidRPr="00FF20F6">
        <w:t xml:space="preserve"> )</w:t>
      </w:r>
    </w:p>
    <w:p w:rsidR="00B14AD8" w:rsidRPr="00FF20F6" w:rsidRDefault="00B14AD8" w:rsidP="0014434B">
      <w:pPr>
        <w:pStyle w:val="Bullet1G"/>
      </w:pPr>
      <w:r w:rsidRPr="00FF20F6">
        <w:t xml:space="preserve">Ordinate : Mean </w:t>
      </w:r>
      <w:r w:rsidR="00AD2DFF" w:rsidRPr="00105004">
        <w:rPr>
          <w:u w:val="single"/>
        </w:rPr>
        <w:t>val</w:t>
      </w:r>
      <w:r w:rsidR="002E7339">
        <w:rPr>
          <w:u w:val="single"/>
        </w:rPr>
        <w:t>u</w:t>
      </w:r>
      <w:r w:rsidR="00AD2DFF" w:rsidRPr="00105004">
        <w:rPr>
          <w:u w:val="single"/>
        </w:rPr>
        <w:t>e normalised</w:t>
      </w:r>
      <w:r w:rsidR="00AD2DFF">
        <w:t xml:space="preserve"> </w:t>
      </w:r>
      <w:r w:rsidRPr="00105004">
        <w:rPr>
          <w:strike/>
        </w:rPr>
        <w:t>related</w:t>
      </w:r>
      <w:r w:rsidRPr="00FF20F6">
        <w:t xml:space="preserve"> to test pressure ( Ω</w:t>
      </w:r>
      <w:r w:rsidR="0046134A" w:rsidRPr="00105004">
        <w:rPr>
          <w:vertAlign w:val="subscript"/>
        </w:rPr>
        <w:t>m</w:t>
      </w:r>
      <w:r w:rsidRPr="00FF20F6">
        <w:t xml:space="preserve"> )</w:t>
      </w:r>
    </w:p>
    <w:p w:rsidR="00B14AD8" w:rsidRPr="008263FB" w:rsidRDefault="00B14AD8" w:rsidP="0014434B">
      <w:pPr>
        <w:pStyle w:val="SingleTxtG"/>
      </w:pPr>
      <w:r w:rsidRPr="008263FB">
        <w:t xml:space="preserve">Step </w:t>
      </w:r>
      <w:r>
        <w:t>3</w:t>
      </w:r>
      <w:r w:rsidRPr="008263FB">
        <w:t xml:space="preserve">: Determination of </w:t>
      </w:r>
      <w:r>
        <w:t>the relevant lower limit of tolerance interval in the Sample Performance Chart</w:t>
      </w:r>
    </w:p>
    <w:p w:rsidR="00B14AD8" w:rsidRPr="008263FB" w:rsidRDefault="00B14AD8" w:rsidP="0014434B">
      <w:pPr>
        <w:pStyle w:val="SingleTxtG"/>
      </w:pPr>
      <w:r w:rsidRPr="00F778D3">
        <w:t xml:space="preserve">Results for burst pressure shall </w:t>
      </w:r>
      <w:r>
        <w:t xml:space="preserve">first </w:t>
      </w:r>
      <w:r w:rsidRPr="00F778D3">
        <w:t>be checked according to the Joint Test (multidirectional test) using a significance level of α=0.05 (see paragraph 7 of ISO 5479:1997) to determine whether the distribution of results for each sample is normal or non-normal.</w:t>
      </w:r>
    </w:p>
    <w:p w:rsidR="00B14AD8" w:rsidRPr="008263FB" w:rsidRDefault="00B14AD8" w:rsidP="0014434B">
      <w:pPr>
        <w:pStyle w:val="Bullet1G"/>
      </w:pPr>
      <w:r w:rsidRPr="008263FB">
        <w:t xml:space="preserve">For </w:t>
      </w:r>
      <w:r>
        <w:t xml:space="preserve">a </w:t>
      </w:r>
      <w:r w:rsidRPr="008263FB">
        <w:t xml:space="preserve">normal distribution, the </w:t>
      </w:r>
      <w:r w:rsidRPr="00FF20F6">
        <w:t xml:space="preserve">determination of the relevant lower limit of tolerance </w:t>
      </w:r>
      <w:r w:rsidRPr="008263FB">
        <w:t xml:space="preserve">is given in step </w:t>
      </w:r>
      <w:r>
        <w:t>3</w:t>
      </w:r>
      <w:r w:rsidRPr="008263FB">
        <w:t>.1</w:t>
      </w:r>
    </w:p>
    <w:p w:rsidR="00B14AD8" w:rsidRPr="008263FB" w:rsidRDefault="00B14AD8" w:rsidP="0014434B">
      <w:pPr>
        <w:pStyle w:val="Bullet1G"/>
      </w:pPr>
      <w:r w:rsidRPr="008263FB">
        <w:t xml:space="preserve">For </w:t>
      </w:r>
      <w:r>
        <w:t xml:space="preserve">a </w:t>
      </w:r>
      <w:r w:rsidRPr="008263FB">
        <w:t xml:space="preserve">non-normal distribution, the </w:t>
      </w:r>
      <w:r w:rsidRPr="00FF20F6">
        <w:t xml:space="preserve">determination of the relevant lower limit of tolerance </w:t>
      </w:r>
      <w:r w:rsidRPr="008263FB">
        <w:t xml:space="preserve">is given in step </w:t>
      </w:r>
      <w:r>
        <w:t>3</w:t>
      </w:r>
      <w:r w:rsidRPr="008263FB">
        <w:t>.2</w:t>
      </w:r>
    </w:p>
    <w:p w:rsidR="00B14AD8" w:rsidRPr="00D22710" w:rsidRDefault="00B14AD8" w:rsidP="0014434B">
      <w:pPr>
        <w:pStyle w:val="SingleTxtG"/>
      </w:pPr>
      <w:r w:rsidRPr="00FF20F6">
        <w:t>Step 3</w:t>
      </w:r>
      <w:r w:rsidRPr="00175A7E">
        <w:t xml:space="preserve">.1: </w:t>
      </w:r>
      <w:r>
        <w:t>L</w:t>
      </w:r>
      <w:r w:rsidRPr="00175A7E">
        <w:t xml:space="preserve">ower limit of tolerance </w:t>
      </w:r>
      <w:r>
        <w:t xml:space="preserve">interval </w:t>
      </w:r>
      <w:r w:rsidRPr="00476CF7">
        <w:t>for results following a normal distribution</w:t>
      </w:r>
    </w:p>
    <w:p w:rsidR="00B14AD8" w:rsidRPr="00D22710" w:rsidRDefault="00B14AD8" w:rsidP="0014434B">
      <w:pPr>
        <w:pStyle w:val="SingleTxtG"/>
        <w:rPr>
          <w:lang w:val="en-US"/>
        </w:rPr>
      </w:pPr>
      <w:r w:rsidRPr="00FF20F6">
        <w:t>I</w:t>
      </w:r>
      <w:proofErr w:type="spellStart"/>
      <w:r w:rsidRPr="00FF20F6">
        <w:rPr>
          <w:lang w:val="en-US"/>
        </w:rPr>
        <w:t>n</w:t>
      </w:r>
      <w:proofErr w:type="spellEnd"/>
      <w:r w:rsidRPr="00FF20F6">
        <w:rPr>
          <w:lang w:val="en-US"/>
        </w:rPr>
        <w:t xml:space="preserve"> accordance with the standard ISO 16269-6:2005, and considering that the variance is unknown,</w:t>
      </w:r>
      <w:r w:rsidRPr="00FF20F6" w:rsidDel="009648B0">
        <w:rPr>
          <w:lang w:val="en-US"/>
        </w:rPr>
        <w:t xml:space="preserve"> </w:t>
      </w:r>
      <w:r w:rsidRPr="00FF20F6">
        <w:rPr>
          <w:lang w:val="en-US"/>
        </w:rPr>
        <w:t xml:space="preserve">the unilateral statistical tolerance interval </w:t>
      </w:r>
      <w:proofErr w:type="gramStart"/>
      <w:r w:rsidRPr="00FF20F6">
        <w:rPr>
          <w:lang w:val="en-US"/>
        </w:rPr>
        <w:t>shall be considered</w:t>
      </w:r>
      <w:proofErr w:type="gramEnd"/>
      <w:r w:rsidRPr="00FF20F6">
        <w:rPr>
          <w:lang w:val="en-US"/>
        </w:rPr>
        <w:t xml:space="preserve"> for a confidence level of 95% and a fraction of population equal to 99</w:t>
      </w:r>
      <w:r w:rsidR="00990008">
        <w:rPr>
          <w:lang w:val="en-US"/>
        </w:rPr>
        <w:t>.</w:t>
      </w:r>
      <w:r w:rsidRPr="00FF20F6">
        <w:rPr>
          <w:lang w:val="en-US"/>
        </w:rPr>
        <w:t>9999%.</w:t>
      </w:r>
    </w:p>
    <w:p w:rsidR="00B14AD8" w:rsidRPr="009A7146" w:rsidRDefault="00B14AD8" w:rsidP="0014434B">
      <w:pPr>
        <w:pStyle w:val="SingleTxtG"/>
        <w:rPr>
          <w:lang w:val="en-US"/>
        </w:rPr>
      </w:pPr>
      <w:r>
        <w:rPr>
          <w:lang w:val="en-US"/>
        </w:rPr>
        <w:t>By application in the Sample Performance Chart, t</w:t>
      </w:r>
      <w:r w:rsidRPr="00250403">
        <w:rPr>
          <w:lang w:val="en-US"/>
        </w:rPr>
        <w:t>he lower limit</w:t>
      </w:r>
      <w:r>
        <w:rPr>
          <w:lang w:val="en-US"/>
        </w:rPr>
        <w:t xml:space="preserve"> of tolerance interval </w:t>
      </w:r>
      <w:proofErr w:type="gramStart"/>
      <w:r>
        <w:rPr>
          <w:lang w:val="en-US"/>
        </w:rPr>
        <w:t>is</w:t>
      </w:r>
      <w:r w:rsidRPr="00476CF7">
        <w:rPr>
          <w:lang w:val="en-US"/>
        </w:rPr>
        <w:t xml:space="preserve"> </w:t>
      </w:r>
      <w:r>
        <w:rPr>
          <w:lang w:val="en-US"/>
        </w:rPr>
        <w:t>represented</w:t>
      </w:r>
      <w:proofErr w:type="gramEnd"/>
      <w:r>
        <w:rPr>
          <w:lang w:val="en-US"/>
        </w:rPr>
        <w:t xml:space="preserve"> </w:t>
      </w:r>
      <w:r w:rsidRPr="00476CF7">
        <w:rPr>
          <w:lang w:val="en-US"/>
        </w:rPr>
        <w:t xml:space="preserve">by </w:t>
      </w:r>
      <w:r>
        <w:rPr>
          <w:lang w:val="en-US"/>
        </w:rPr>
        <w:t xml:space="preserve">a line of constant survival rate </w:t>
      </w:r>
      <w:r w:rsidRPr="00476CF7">
        <w:rPr>
          <w:lang w:val="en-US"/>
        </w:rPr>
        <w:t xml:space="preserve">defined </w:t>
      </w:r>
      <w:r>
        <w:rPr>
          <w:lang w:val="en-US"/>
        </w:rPr>
        <w:t xml:space="preserve">by </w:t>
      </w:r>
      <w:r w:rsidRPr="00476CF7">
        <w:rPr>
          <w:lang w:val="en-US"/>
        </w:rPr>
        <w:t>th</w:t>
      </w:r>
      <w:r>
        <w:rPr>
          <w:lang w:val="en-US"/>
        </w:rPr>
        <w:t>e</w:t>
      </w:r>
      <w:r w:rsidRPr="00476CF7">
        <w:rPr>
          <w:lang w:val="en-US"/>
        </w:rPr>
        <w:t xml:space="preserve"> formula:</w:t>
      </w:r>
    </w:p>
    <w:p w:rsidR="00B14AD8" w:rsidRPr="00687F09" w:rsidRDefault="00B14AD8" w:rsidP="00B14AD8">
      <w:pPr>
        <w:pStyle w:val="SingleTxtG"/>
        <w:ind w:left="1689"/>
        <w:jc w:val="center"/>
        <w:rPr>
          <w:b/>
          <w:lang w:val="en-US"/>
        </w:rPr>
      </w:pPr>
      <w:r w:rsidRPr="00FF20F6">
        <w:rPr>
          <w:b/>
        </w:rPr>
        <w:t>Ω</w:t>
      </w:r>
      <w:r w:rsidRPr="00FF20F6">
        <w:rPr>
          <w:b/>
          <w:vertAlign w:val="subscript"/>
        </w:rPr>
        <w:t>m</w:t>
      </w:r>
      <w:r w:rsidRPr="00250403" w:rsidDel="00250403">
        <w:rPr>
          <w:b/>
          <w:lang w:val="en-US"/>
        </w:rPr>
        <w:t xml:space="preserve"> </w:t>
      </w:r>
      <w:r w:rsidRPr="00250403">
        <w:rPr>
          <w:b/>
          <w:lang w:val="en-US"/>
        </w:rPr>
        <w:t>= 1</w:t>
      </w:r>
      <w:r w:rsidRPr="00687F09">
        <w:rPr>
          <w:b/>
          <w:lang w:val="en-US"/>
        </w:rPr>
        <w:t xml:space="preserve"> + </w:t>
      </w:r>
      <w:r w:rsidRPr="00FF20F6">
        <w:rPr>
          <w:b/>
        </w:rPr>
        <w:t>Ω</w:t>
      </w:r>
      <w:r w:rsidRPr="00FF20F6">
        <w:rPr>
          <w:b/>
          <w:vertAlign w:val="subscript"/>
        </w:rPr>
        <w:t>s</w:t>
      </w:r>
      <w:r w:rsidRPr="00671DDD">
        <w:rPr>
          <w:b/>
          <w:vertAlign w:val="subscript"/>
          <w:lang w:val="en-US"/>
        </w:rPr>
        <w:t xml:space="preserve"> </w:t>
      </w:r>
      <w:r w:rsidRPr="00250403">
        <w:rPr>
          <w:b/>
          <w:lang w:val="en-US"/>
        </w:rPr>
        <w:t xml:space="preserve">× </w:t>
      </w:r>
      <w:proofErr w:type="gramStart"/>
      <w:r w:rsidRPr="00250403">
        <w:rPr>
          <w:b/>
          <w:lang w:val="en-US"/>
        </w:rPr>
        <w:t>k3(</w:t>
      </w:r>
      <w:proofErr w:type="gramEnd"/>
      <w:r w:rsidRPr="00250403">
        <w:rPr>
          <w:b/>
          <w:lang w:val="en-US"/>
        </w:rPr>
        <w:t>n;p;1-α)</w:t>
      </w:r>
    </w:p>
    <w:p w:rsidR="00B14AD8" w:rsidRPr="0014434B" w:rsidRDefault="00B14AD8" w:rsidP="0014434B">
      <w:pPr>
        <w:pStyle w:val="SingleTxtG"/>
      </w:pPr>
      <w:proofErr w:type="gramStart"/>
      <w:r w:rsidRPr="0014434B">
        <w:t>with</w:t>
      </w:r>
      <w:proofErr w:type="gramEnd"/>
    </w:p>
    <w:p w:rsidR="00B14AD8" w:rsidRPr="0014434B" w:rsidRDefault="00B14AD8" w:rsidP="0014434B">
      <w:pPr>
        <w:pStyle w:val="SingleTxtG"/>
      </w:pPr>
      <w:r w:rsidRPr="0014434B">
        <w:t xml:space="preserve">k3:  tabulated factor function of n, p and </w:t>
      </w:r>
      <w:proofErr w:type="gramStart"/>
      <w:r w:rsidRPr="0014434B">
        <w:t>1-</w:t>
      </w:r>
      <w:proofErr w:type="gramEnd"/>
      <w:r w:rsidRPr="0014434B">
        <w:t>α;</w:t>
      </w:r>
    </w:p>
    <w:p w:rsidR="00B14AD8" w:rsidRPr="0014434B" w:rsidRDefault="00B14AD8" w:rsidP="0014434B">
      <w:pPr>
        <w:pStyle w:val="SingleTxtG"/>
      </w:pPr>
      <w:proofErr w:type="gramStart"/>
      <w:r w:rsidRPr="0014434B">
        <w:t>p</w:t>
      </w:r>
      <w:proofErr w:type="gramEnd"/>
      <w:r w:rsidRPr="0014434B">
        <w:t>: proportion of the population selected for the tolerance interval (99.9999%);</w:t>
      </w:r>
    </w:p>
    <w:p w:rsidR="00B14AD8" w:rsidRPr="0014434B" w:rsidRDefault="00B14AD8" w:rsidP="0014434B">
      <w:pPr>
        <w:pStyle w:val="SingleTxtG"/>
      </w:pPr>
      <w:r w:rsidRPr="0014434B">
        <w:t xml:space="preserve">1- </w:t>
      </w:r>
      <w:proofErr w:type="gramStart"/>
      <w:r w:rsidRPr="0014434B">
        <w:t>α</w:t>
      </w:r>
      <w:proofErr w:type="gramEnd"/>
      <w:r w:rsidRPr="0014434B">
        <w:t>: confidence level (95%);</w:t>
      </w:r>
    </w:p>
    <w:p w:rsidR="00B14AD8" w:rsidRPr="0014434B" w:rsidRDefault="00B14AD8" w:rsidP="0014434B">
      <w:pPr>
        <w:pStyle w:val="SingleTxtG"/>
      </w:pPr>
      <w:proofErr w:type="gramStart"/>
      <w:r w:rsidRPr="0014434B">
        <w:t>n</w:t>
      </w:r>
      <w:proofErr w:type="gramEnd"/>
      <w:r w:rsidRPr="0014434B">
        <w:t>: sample size.</w:t>
      </w:r>
    </w:p>
    <w:p w:rsidR="00B14AD8" w:rsidRPr="0014434B" w:rsidRDefault="00B14AD8" w:rsidP="0014434B">
      <w:pPr>
        <w:pStyle w:val="SingleTxtG"/>
      </w:pPr>
      <w:r w:rsidRPr="0014434B">
        <w:t xml:space="preserve">The value for k3 dedicated to Normal Distributions </w:t>
      </w:r>
      <w:proofErr w:type="gramStart"/>
      <w:r w:rsidRPr="0014434B">
        <w:t>shall be taken</w:t>
      </w:r>
      <w:proofErr w:type="gramEnd"/>
      <w:r w:rsidRPr="0014434B">
        <w:t xml:space="preserve"> from the table at end of Step 3.</w:t>
      </w:r>
    </w:p>
    <w:p w:rsidR="00B14AD8" w:rsidRPr="00FF20F6" w:rsidRDefault="00B14AD8" w:rsidP="0014434B">
      <w:pPr>
        <w:pStyle w:val="SingleTxtG"/>
      </w:pPr>
      <w:r w:rsidRPr="00687F09">
        <w:t xml:space="preserve">Step </w:t>
      </w:r>
      <w:r w:rsidRPr="00D01AFF">
        <w:t>3</w:t>
      </w:r>
      <w:r w:rsidRPr="00175A7E">
        <w:t xml:space="preserve">.2: lower limit of tolerance </w:t>
      </w:r>
      <w:r>
        <w:t xml:space="preserve">interval </w:t>
      </w:r>
      <w:r w:rsidRPr="002F63F6">
        <w:t>for results following a non-normal distribution</w:t>
      </w:r>
    </w:p>
    <w:p w:rsidR="00B14AD8" w:rsidRPr="0014434B" w:rsidRDefault="00B14AD8" w:rsidP="0014434B">
      <w:pPr>
        <w:pStyle w:val="SingleTxtG"/>
      </w:pPr>
      <w:r w:rsidRPr="0014434B">
        <w:t xml:space="preserve">The unilateral statistical tolerance interval </w:t>
      </w:r>
      <w:proofErr w:type="gramStart"/>
      <w:r w:rsidRPr="0014434B">
        <w:t>shall be calculated</w:t>
      </w:r>
      <w:proofErr w:type="gramEnd"/>
      <w:r w:rsidRPr="0014434B">
        <w:t xml:space="preserve"> for a confidence level of 95% and a fraction of population equal to 99.9999%.</w:t>
      </w:r>
    </w:p>
    <w:p w:rsidR="00B14AD8" w:rsidRPr="0014434B" w:rsidRDefault="00B14AD8" w:rsidP="0014434B">
      <w:pPr>
        <w:pStyle w:val="SingleTxtG"/>
      </w:pPr>
      <w:r w:rsidRPr="0014434B">
        <w:lastRenderedPageBreak/>
        <w:t xml:space="preserve">The lower limit of tolerance </w:t>
      </w:r>
      <w:proofErr w:type="gramStart"/>
      <w:r w:rsidRPr="0014434B">
        <w:t>is represented</w:t>
      </w:r>
      <w:proofErr w:type="gramEnd"/>
      <w:r w:rsidRPr="0014434B">
        <w:t xml:space="preserve"> by a line of constant survival rate defined by the formula given in previous step 3.1, with factors k3 based and calculated on the properties of a Weibull Distribution.</w:t>
      </w:r>
    </w:p>
    <w:p w:rsidR="00B14AD8" w:rsidRPr="0014434B" w:rsidRDefault="00B14AD8" w:rsidP="0014434B">
      <w:pPr>
        <w:pStyle w:val="SingleTxtG"/>
      </w:pPr>
      <w:r w:rsidRPr="0014434B">
        <w:t xml:space="preserve">The value for k3 dedicated to Weibull Distributions </w:t>
      </w:r>
      <w:proofErr w:type="gramStart"/>
      <w:r w:rsidRPr="0014434B">
        <w:t>shall be taken</w:t>
      </w:r>
      <w:proofErr w:type="gramEnd"/>
      <w:r w:rsidRPr="0014434B">
        <w:t xml:space="preserve"> from the table at end of Step 3.</w:t>
      </w:r>
    </w:p>
    <w:p w:rsidR="00B14AD8" w:rsidRDefault="00B14AD8" w:rsidP="00B14AD8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B14AD8" w:rsidRPr="0014434B" w:rsidRDefault="00B14AD8" w:rsidP="00B14AD8">
      <w:pPr>
        <w:pStyle w:val="SingleTxtG"/>
        <w:ind w:left="1689"/>
        <w:rPr>
          <w:lang w:val="en-US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1699"/>
        <w:gridCol w:w="1417"/>
        <w:gridCol w:w="1418"/>
      </w:tblGrid>
      <w:tr w:rsidR="00B14AD8" w:rsidRPr="0014434B" w:rsidTr="000072E9">
        <w:tc>
          <w:tcPr>
            <w:tcW w:w="4534" w:type="dxa"/>
            <w:gridSpan w:val="3"/>
          </w:tcPr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b/>
                <w:sz w:val="18"/>
                <w:szCs w:val="18"/>
              </w:rPr>
            </w:pPr>
            <w:r w:rsidRPr="0014434B">
              <w:rPr>
                <w:b/>
                <w:sz w:val="18"/>
                <w:szCs w:val="18"/>
              </w:rPr>
              <w:t>Table for k3</w:t>
            </w:r>
          </w:p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sz w:val="18"/>
                <w:szCs w:val="18"/>
              </w:rPr>
            </w:pPr>
            <w:r w:rsidRPr="0014434B">
              <w:rPr>
                <w:sz w:val="18"/>
                <w:szCs w:val="18"/>
              </w:rPr>
              <w:t>p=99.9999% and (1-</w:t>
            </w:r>
            <w:r w:rsidRPr="0014434B">
              <w:rPr>
                <w:sz w:val="18"/>
                <w:szCs w:val="18"/>
                <w:lang w:val="en-US"/>
              </w:rPr>
              <w:t xml:space="preserve"> α)=0.95</w:t>
            </w:r>
          </w:p>
        </w:tc>
      </w:tr>
      <w:tr w:rsidR="00B14AD8" w:rsidRPr="0014434B" w:rsidTr="000072E9">
        <w:tc>
          <w:tcPr>
            <w:tcW w:w="1699" w:type="dxa"/>
          </w:tcPr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b/>
                <w:sz w:val="18"/>
                <w:szCs w:val="18"/>
              </w:rPr>
            </w:pPr>
            <w:r w:rsidRPr="0014434B">
              <w:rPr>
                <w:b/>
                <w:sz w:val="18"/>
                <w:szCs w:val="18"/>
              </w:rPr>
              <w:t>Sample Size</w:t>
            </w:r>
          </w:p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b/>
                <w:sz w:val="18"/>
                <w:szCs w:val="18"/>
              </w:rPr>
            </w:pPr>
            <w:r w:rsidRPr="0014434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417" w:type="dxa"/>
          </w:tcPr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b/>
                <w:sz w:val="18"/>
                <w:szCs w:val="18"/>
              </w:rPr>
            </w:pPr>
            <w:r w:rsidRPr="0014434B">
              <w:rPr>
                <w:b/>
                <w:sz w:val="18"/>
                <w:szCs w:val="18"/>
              </w:rPr>
              <w:t>Normal Distribution</w:t>
            </w:r>
          </w:p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b/>
                <w:sz w:val="18"/>
                <w:szCs w:val="18"/>
              </w:rPr>
            </w:pPr>
            <w:r w:rsidRPr="0014434B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1418" w:type="dxa"/>
          </w:tcPr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b/>
                <w:sz w:val="18"/>
                <w:szCs w:val="18"/>
              </w:rPr>
            </w:pPr>
            <w:r w:rsidRPr="0014434B">
              <w:rPr>
                <w:b/>
                <w:sz w:val="18"/>
                <w:szCs w:val="18"/>
              </w:rPr>
              <w:t>Weibull Distribution</w:t>
            </w:r>
          </w:p>
          <w:p w:rsidR="00B14AD8" w:rsidRPr="0014434B" w:rsidRDefault="00B14AD8" w:rsidP="000072E9">
            <w:pPr>
              <w:tabs>
                <w:tab w:val="left" w:pos="2423"/>
              </w:tabs>
              <w:spacing w:before="121"/>
              <w:jc w:val="center"/>
              <w:rPr>
                <w:b/>
                <w:sz w:val="18"/>
                <w:szCs w:val="18"/>
              </w:rPr>
            </w:pPr>
            <w:r w:rsidRPr="0014434B">
              <w:rPr>
                <w:b/>
                <w:sz w:val="18"/>
                <w:szCs w:val="18"/>
              </w:rPr>
              <w:t>k3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6,901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16,021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15,722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6,651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15,472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  <w:lang w:val="en-US" w:eastAsia="fr-FR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6,553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15,258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  <w:lang w:val="en-US" w:eastAsia="fr-FR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15,072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  <w:lang w:val="en-US" w:eastAsia="fr-FR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6,393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14,909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6,241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14,578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14,321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6,028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14,116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5,949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13,947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5,827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13,683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13,485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5,662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13,329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5,603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13,203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13,098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5,393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12,754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12,557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12,426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12,330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12,199</w:t>
            </w:r>
          </w:p>
        </w:tc>
      </w:tr>
      <w:tr w:rsidR="00B14AD8" w:rsidRPr="0014434B" w:rsidTr="000072E9">
        <w:trPr>
          <w:trHeight w:val="300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5,089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12,111</w:t>
            </w:r>
          </w:p>
        </w:tc>
      </w:tr>
      <w:tr w:rsidR="00B14AD8" w:rsidRPr="0014434B" w:rsidTr="000072E9">
        <w:trPr>
          <w:trHeight w:val="315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4,988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</w:rPr>
              <w:t>11,897</w:t>
            </w:r>
          </w:p>
        </w:tc>
      </w:tr>
      <w:tr w:rsidR="00B14AD8" w:rsidRPr="0014434B" w:rsidTr="000072E9">
        <w:trPr>
          <w:trHeight w:val="375"/>
        </w:trPr>
        <w:tc>
          <w:tcPr>
            <w:tcW w:w="1699" w:type="dxa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14434B">
              <w:rPr>
                <w:color w:val="000000"/>
                <w:sz w:val="18"/>
                <w:szCs w:val="18"/>
                <w:lang w:val="fr-FR" w:eastAsia="fr-FR"/>
              </w:rPr>
              <w:t>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34B">
              <w:rPr>
                <w:color w:val="000000"/>
                <w:sz w:val="18"/>
                <w:szCs w:val="18"/>
              </w:rPr>
              <w:t>4,753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AD8" w:rsidRPr="0014434B" w:rsidRDefault="00B14AD8" w:rsidP="000072E9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34B">
              <w:rPr>
                <w:color w:val="000000"/>
                <w:sz w:val="18"/>
                <w:szCs w:val="18"/>
              </w:rPr>
              <w:t>11,408</w:t>
            </w:r>
          </w:p>
        </w:tc>
      </w:tr>
    </w:tbl>
    <w:p w:rsidR="00B14AD8" w:rsidRPr="00567F98" w:rsidRDefault="00B14AD8" w:rsidP="0014434B">
      <w:pPr>
        <w:pStyle w:val="SingleTxtG"/>
        <w:spacing w:before="120"/>
      </w:pPr>
      <w:proofErr w:type="gramStart"/>
      <w:r>
        <w:t>Note :</w:t>
      </w:r>
      <w:proofErr w:type="gramEnd"/>
      <w:r>
        <w:t xml:space="preserve"> </w:t>
      </w:r>
      <w:r w:rsidR="00B84168">
        <w:t>I</w:t>
      </w:r>
      <w:r>
        <w:t>f sample size is between two values, the closest lower sample size shall be selected</w:t>
      </w:r>
    </w:p>
    <w:p w:rsidR="00B14AD8" w:rsidRPr="003D4D66" w:rsidRDefault="0014434B" w:rsidP="0014434B">
      <w:pPr>
        <w:pStyle w:val="SingleTxtG"/>
      </w:pPr>
      <w:r>
        <w:t>(h)</w:t>
      </w:r>
      <w:r>
        <w:tab/>
      </w:r>
      <w:r w:rsidR="00B14AD8" w:rsidRPr="003D4D66">
        <w:t>Measures if the acceptance criteria are not met</w:t>
      </w:r>
    </w:p>
    <w:p w:rsidR="00B14AD8" w:rsidRPr="003D4D66" w:rsidRDefault="00B14AD8" w:rsidP="001C4931">
      <w:pPr>
        <w:pStyle w:val="SingleTxtG"/>
        <w:ind w:left="1701"/>
      </w:pPr>
      <w:r w:rsidRPr="003D4D66">
        <w:t xml:space="preserve">If a result of the burst test, peeling </w:t>
      </w:r>
      <w:r w:rsidRPr="003D4D66">
        <w:rPr>
          <w:lang w:val="en-US"/>
        </w:rPr>
        <w:t xml:space="preserve">and corrosion </w:t>
      </w:r>
      <w:r w:rsidRPr="003D4D66">
        <w:t>test or adhesion test does not comply with the criteria detailed in the table</w:t>
      </w:r>
      <w:r w:rsidR="00B84168">
        <w:t xml:space="preserve"> in paragraph (g)</w:t>
      </w:r>
      <w:r w:rsidRPr="003D4D66">
        <w:t xml:space="preserve">, </w:t>
      </w:r>
      <w:r w:rsidRPr="003D4D66">
        <w:rPr>
          <w:lang w:val="en-US"/>
        </w:rPr>
        <w:t xml:space="preserve">the </w:t>
      </w:r>
      <w:r w:rsidRPr="003D4D66">
        <w:t xml:space="preserve">potentially affected </w:t>
      </w:r>
      <w:r w:rsidRPr="00116A27">
        <w:rPr>
          <w:strike/>
          <w:lang w:val="en-US"/>
        </w:rPr>
        <w:t>p</w:t>
      </w:r>
      <w:r w:rsidRPr="00116A27">
        <w:rPr>
          <w:strike/>
        </w:rPr>
        <w:t>op</w:t>
      </w:r>
      <w:r w:rsidRPr="00116A27">
        <w:rPr>
          <w:strike/>
          <w:lang w:val="en-US"/>
        </w:rPr>
        <w:t>u</w:t>
      </w:r>
      <w:r w:rsidRPr="00116A27">
        <w:rPr>
          <w:strike/>
        </w:rPr>
        <w:t>l</w:t>
      </w:r>
      <w:r w:rsidRPr="00116A27">
        <w:rPr>
          <w:strike/>
          <w:lang w:val="en-US"/>
        </w:rPr>
        <w:t>a</w:t>
      </w:r>
      <w:proofErr w:type="spellStart"/>
      <w:r w:rsidRPr="00116A27">
        <w:rPr>
          <w:strike/>
        </w:rPr>
        <w:t>tion</w:t>
      </w:r>
      <w:proofErr w:type="spellEnd"/>
      <w:r w:rsidRPr="003D4D66">
        <w:t xml:space="preserve"> </w:t>
      </w:r>
      <w:r w:rsidR="002E0788" w:rsidRPr="00EF0E55">
        <w:rPr>
          <w:u w:val="single"/>
        </w:rPr>
        <w:t>sub</w:t>
      </w:r>
      <w:r w:rsidR="002E0788">
        <w:t>-</w:t>
      </w:r>
      <w:r w:rsidRPr="003D4D66">
        <w:t xml:space="preserve">group </w:t>
      </w:r>
      <w:r w:rsidR="00262318" w:rsidRPr="00116A27">
        <w:rPr>
          <w:u w:val="single"/>
        </w:rPr>
        <w:t>within</w:t>
      </w:r>
      <w:r w:rsidR="00116A27">
        <w:rPr>
          <w:u w:val="single"/>
        </w:rPr>
        <w:t xml:space="preserve"> </w:t>
      </w:r>
      <w:r w:rsidRPr="00116A27">
        <w:rPr>
          <w:strike/>
          <w:u w:val="single"/>
        </w:rPr>
        <w:t>of</w:t>
      </w:r>
      <w:r w:rsidRPr="00116A27">
        <w:rPr>
          <w:u w:val="single"/>
        </w:rPr>
        <w:t xml:space="preserve"> </w:t>
      </w:r>
      <w:r w:rsidR="00262318" w:rsidRPr="00116A27">
        <w:rPr>
          <w:u w:val="single"/>
        </w:rPr>
        <w:t>a basic population of</w:t>
      </w:r>
      <w:r w:rsidR="00262318">
        <w:t xml:space="preserve"> </w:t>
      </w:r>
      <w:r w:rsidRPr="003D4D66">
        <w:t xml:space="preserve">over-moulded cylinders shall </w:t>
      </w:r>
      <w:r w:rsidRPr="003D4D66">
        <w:rPr>
          <w:lang w:val="en-US"/>
        </w:rPr>
        <w:t xml:space="preserve">be segregated for further investigations and </w:t>
      </w:r>
      <w:r w:rsidRPr="003D4D66">
        <w:t xml:space="preserve">not be </w:t>
      </w:r>
      <w:r w:rsidRPr="003D4D66">
        <w:rPr>
          <w:lang w:val="en-US"/>
        </w:rPr>
        <w:t xml:space="preserve">filled or </w:t>
      </w:r>
      <w:r w:rsidRPr="003D4D66">
        <w:t>made available for transport and use.</w:t>
      </w:r>
    </w:p>
    <w:p w:rsidR="00B14AD8" w:rsidRPr="003D4D66" w:rsidRDefault="00B14AD8" w:rsidP="001C4931">
      <w:pPr>
        <w:pStyle w:val="SingleTxtG"/>
        <w:ind w:left="1701"/>
      </w:pPr>
      <w:r w:rsidRPr="003D4D66">
        <w:t xml:space="preserve">In agreement with the competent authority, its delegates or the </w:t>
      </w:r>
      <w:proofErr w:type="spellStart"/>
      <w:r w:rsidRPr="003D4D66">
        <w:t>Xa</w:t>
      </w:r>
      <w:proofErr w:type="spellEnd"/>
      <w:r w:rsidRPr="003D4D66">
        <w:t>-</w:t>
      </w:r>
      <w:proofErr w:type="gramStart"/>
      <w:r w:rsidRPr="003D4D66">
        <w:t>body which</w:t>
      </w:r>
      <w:proofErr w:type="gramEnd"/>
      <w:r w:rsidRPr="003D4D66">
        <w:t xml:space="preserve"> issued the design approval, additional tests </w:t>
      </w:r>
      <w:r w:rsidRPr="003D4D66">
        <w:rPr>
          <w:lang w:val="en-US"/>
        </w:rPr>
        <w:t>may</w:t>
      </w:r>
      <w:r w:rsidRPr="003D4D66">
        <w:t xml:space="preserve"> be performed to determine the root cause of the failure</w:t>
      </w:r>
      <w:r w:rsidR="00972FE7">
        <w:t xml:space="preserve">. </w:t>
      </w:r>
      <w:r w:rsidR="00972FE7" w:rsidRPr="00972FE7">
        <w:rPr>
          <w:u w:val="single"/>
        </w:rPr>
        <w:t>If</w:t>
      </w:r>
      <w:r w:rsidRPr="003D4D66">
        <w:rPr>
          <w:lang w:val="en-US"/>
        </w:rPr>
        <w:t xml:space="preserve"> </w:t>
      </w:r>
      <w:r w:rsidRPr="00972FE7">
        <w:rPr>
          <w:strike/>
        </w:rPr>
        <w:t>and the</w:t>
      </w:r>
      <w:r w:rsidRPr="003D4D66">
        <w:t xml:space="preserve"> </w:t>
      </w:r>
      <w:r w:rsidRPr="003D4D66">
        <w:rPr>
          <w:lang w:val="en-US"/>
        </w:rPr>
        <w:t xml:space="preserve">parts of that </w:t>
      </w:r>
      <w:r w:rsidRPr="00116A27">
        <w:rPr>
          <w:strike/>
          <w:lang w:val="en-US"/>
        </w:rPr>
        <w:t>population</w:t>
      </w:r>
      <w:r w:rsidRPr="003D4D66">
        <w:rPr>
          <w:lang w:val="en-US"/>
        </w:rPr>
        <w:t xml:space="preserve"> </w:t>
      </w:r>
      <w:r w:rsidR="002E0788" w:rsidRPr="00EF0E55">
        <w:rPr>
          <w:u w:val="single"/>
          <w:lang w:val="en-US"/>
        </w:rPr>
        <w:t>sub</w:t>
      </w:r>
      <w:r w:rsidR="002E0788">
        <w:rPr>
          <w:lang w:val="en-US"/>
        </w:rPr>
        <w:t>-</w:t>
      </w:r>
      <w:r w:rsidRPr="003D4D66">
        <w:rPr>
          <w:lang w:val="en-US"/>
        </w:rPr>
        <w:t xml:space="preserve">group </w:t>
      </w:r>
      <w:r w:rsidRPr="00972FE7">
        <w:rPr>
          <w:strike/>
          <w:lang w:val="en-US"/>
        </w:rPr>
        <w:t>which is</w:t>
      </w:r>
      <w:r w:rsidR="00116A27" w:rsidRPr="00972FE7">
        <w:rPr>
          <w:strike/>
          <w:lang w:val="en-US"/>
        </w:rPr>
        <w:t xml:space="preserve"> </w:t>
      </w:r>
      <w:r w:rsidRPr="00972FE7">
        <w:rPr>
          <w:strike/>
          <w:lang w:val="en-US"/>
        </w:rPr>
        <w:t>(are)</w:t>
      </w:r>
      <w:r w:rsidRPr="003D4D66">
        <w:rPr>
          <w:lang w:val="en-US"/>
        </w:rPr>
        <w:t xml:space="preserve"> </w:t>
      </w:r>
      <w:r w:rsidR="00972FE7" w:rsidRPr="00972FE7">
        <w:rPr>
          <w:u w:val="single"/>
          <w:lang w:val="en-US"/>
        </w:rPr>
        <w:t xml:space="preserve">can be proved to be not </w:t>
      </w:r>
      <w:r w:rsidRPr="003D4D66">
        <w:t>affected</w:t>
      </w:r>
      <w:r w:rsidR="00972FE7">
        <w:rPr>
          <w:lang w:val="en-US"/>
        </w:rPr>
        <w:t xml:space="preserve"> </w:t>
      </w:r>
      <w:r w:rsidR="00972FE7" w:rsidRPr="00972FE7">
        <w:rPr>
          <w:u w:val="single"/>
          <w:lang w:val="en-US"/>
        </w:rPr>
        <w:t>and behave like the rest of the basic population, those</w:t>
      </w:r>
      <w:r w:rsidRPr="003D4D66">
        <w:rPr>
          <w:lang w:val="en-US"/>
        </w:rPr>
        <w:t xml:space="preserve"> parts of the </w:t>
      </w:r>
      <w:r w:rsidRPr="00116A27">
        <w:rPr>
          <w:strike/>
          <w:lang w:val="en-US"/>
        </w:rPr>
        <w:lastRenderedPageBreak/>
        <w:t>population</w:t>
      </w:r>
      <w:r w:rsidRPr="003D4D66">
        <w:rPr>
          <w:lang w:val="en-US"/>
        </w:rPr>
        <w:t xml:space="preserve"> </w:t>
      </w:r>
      <w:r w:rsidR="002E0788" w:rsidRPr="00EF0E55">
        <w:rPr>
          <w:u w:val="single"/>
          <w:lang w:val="en-US"/>
        </w:rPr>
        <w:t>sub</w:t>
      </w:r>
      <w:r w:rsidR="002E0788">
        <w:rPr>
          <w:lang w:val="en-US"/>
        </w:rPr>
        <w:t>-</w:t>
      </w:r>
      <w:r w:rsidRPr="003D4D66">
        <w:rPr>
          <w:lang w:val="en-US"/>
        </w:rPr>
        <w:t>group</w:t>
      </w:r>
      <w:r w:rsidRPr="003D4D66">
        <w:t xml:space="preserve"> </w:t>
      </w:r>
      <w:r w:rsidRPr="00972FE7">
        <w:rPr>
          <w:strike/>
        </w:rPr>
        <w:t>not</w:t>
      </w:r>
      <w:r w:rsidRPr="00972FE7">
        <w:rPr>
          <w:strike/>
          <w:spacing w:val="-3"/>
        </w:rPr>
        <w:t xml:space="preserve"> </w:t>
      </w:r>
      <w:r w:rsidRPr="00972FE7">
        <w:rPr>
          <w:strike/>
          <w:lang w:val="en-US"/>
        </w:rPr>
        <w:t>affected</w:t>
      </w:r>
      <w:r w:rsidRPr="00972FE7">
        <w:rPr>
          <w:strike/>
          <w:spacing w:val="-3"/>
        </w:rPr>
        <w:t xml:space="preserve"> by the root cause of the failure</w:t>
      </w:r>
      <w:r w:rsidRPr="003D4D66">
        <w:rPr>
          <w:spacing w:val="-3"/>
        </w:rPr>
        <w:t xml:space="preserve"> </w:t>
      </w:r>
      <w:r w:rsidRPr="003D4D66">
        <w:t>may</w:t>
      </w:r>
      <w:r w:rsidRPr="003D4D66">
        <w:rPr>
          <w:spacing w:val="-3"/>
        </w:rPr>
        <w:t xml:space="preserve"> </w:t>
      </w:r>
      <w:r w:rsidRPr="003D4D66">
        <w:t>be</w:t>
      </w:r>
      <w:r w:rsidRPr="003D4D66">
        <w:rPr>
          <w:spacing w:val="-3"/>
        </w:rPr>
        <w:t xml:space="preserve"> authorized by the </w:t>
      </w:r>
      <w:r w:rsidRPr="003D4D66">
        <w:t xml:space="preserve">competent authority to </w:t>
      </w:r>
      <w:r w:rsidRPr="003D4D66">
        <w:rPr>
          <w:lang w:val="en-US"/>
        </w:rPr>
        <w:t>return to</w:t>
      </w:r>
      <w:r w:rsidRPr="003D4D66">
        <w:t xml:space="preserve"> service.</w:t>
      </w:r>
    </w:p>
    <w:p w:rsidR="00B14AD8" w:rsidRPr="003D4D66" w:rsidRDefault="001C4931" w:rsidP="001C4931">
      <w:pPr>
        <w:pStyle w:val="SingleTxtG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B14AD8" w:rsidRPr="003D4D66">
        <w:t>Filling centre</w:t>
      </w:r>
      <w:r w:rsidR="00B14AD8" w:rsidRPr="003D4D66">
        <w:rPr>
          <w:spacing w:val="-19"/>
        </w:rPr>
        <w:t xml:space="preserve"> </w:t>
      </w:r>
      <w:r w:rsidR="00B14AD8" w:rsidRPr="003D4D66">
        <w:t>requirements</w:t>
      </w:r>
    </w:p>
    <w:p w:rsidR="00B14AD8" w:rsidRPr="003D4D66" w:rsidRDefault="00B14AD8" w:rsidP="001C4931">
      <w:pPr>
        <w:pStyle w:val="SingleTxtG"/>
        <w:ind w:left="1701"/>
        <w:rPr>
          <w:lang w:val="en-US"/>
        </w:rPr>
      </w:pPr>
      <w:r w:rsidRPr="003D4D66">
        <w:t xml:space="preserve">The owner shall make available to the competent authority </w:t>
      </w:r>
      <w:r w:rsidRPr="003D4D66">
        <w:rPr>
          <w:lang w:val="en-US"/>
        </w:rPr>
        <w:t xml:space="preserve">documentary evidence </w:t>
      </w:r>
      <w:r w:rsidRPr="003D4D66">
        <w:t xml:space="preserve">that the filling </w:t>
      </w:r>
      <w:proofErr w:type="spellStart"/>
      <w:r w:rsidRPr="003D4D66">
        <w:t>centr</w:t>
      </w:r>
      <w:proofErr w:type="spellEnd"/>
      <w:r w:rsidRPr="003D4D66">
        <w:rPr>
          <w:lang w:val="en-US"/>
        </w:rPr>
        <w:t>e</w:t>
      </w:r>
      <w:r w:rsidRPr="003D4D66">
        <w:t>s</w:t>
      </w:r>
      <w:r w:rsidRPr="003D4D66">
        <w:rPr>
          <w:lang w:val="en-US"/>
        </w:rPr>
        <w:t>:</w:t>
      </w:r>
    </w:p>
    <w:p w:rsidR="00B14AD8" w:rsidRPr="003D4D66" w:rsidRDefault="00B14AD8" w:rsidP="001C4931">
      <w:pPr>
        <w:pStyle w:val="Bullet1G"/>
      </w:pPr>
      <w:r w:rsidRPr="003D4D66">
        <w:rPr>
          <w:lang w:val="en-US"/>
        </w:rPr>
        <w:t>C</w:t>
      </w:r>
      <w:proofErr w:type="spellStart"/>
      <w:r w:rsidRPr="003D4D66">
        <w:t>omply</w:t>
      </w:r>
      <w:proofErr w:type="spellEnd"/>
      <w:r w:rsidRPr="003D4D66">
        <w:t xml:space="preserve"> with the provision of packing instruction P200 (7) </w:t>
      </w:r>
      <w:r w:rsidR="0041748E">
        <w:t xml:space="preserve">of 4.1.4.1 </w:t>
      </w:r>
      <w:r w:rsidRPr="003D4D66">
        <w:t>and that the requirements of the standard on pre-fill inspections referenced in table P200 (11)</w:t>
      </w:r>
      <w:r w:rsidR="0041748E">
        <w:t xml:space="preserve"> of 4.1.4.1</w:t>
      </w:r>
      <w:r w:rsidRPr="003D4D66">
        <w:t xml:space="preserve"> are fulfilled and correctly applied;</w:t>
      </w:r>
    </w:p>
    <w:p w:rsidR="00B14AD8" w:rsidRPr="003D4D66" w:rsidRDefault="00B14AD8" w:rsidP="001C4931">
      <w:pPr>
        <w:pStyle w:val="Bullet1G"/>
      </w:pPr>
      <w:r w:rsidRPr="003D4D66">
        <w:t>Have the appropriate means to identify over-moulded cylinders through the electronic identification device;</w:t>
      </w:r>
    </w:p>
    <w:p w:rsidR="00B14AD8" w:rsidRPr="003D4D66" w:rsidRDefault="00B14AD8" w:rsidP="001C4931">
      <w:pPr>
        <w:pStyle w:val="Bullet1G"/>
      </w:pPr>
      <w:r w:rsidRPr="003D4D66">
        <w:t>Have access to the database as defined in (d);</w:t>
      </w:r>
    </w:p>
    <w:p w:rsidR="00B14AD8" w:rsidRPr="003D4D66" w:rsidRDefault="00B14AD8" w:rsidP="001C4931">
      <w:pPr>
        <w:pStyle w:val="Bullet1G"/>
      </w:pPr>
      <w:r w:rsidRPr="003D4D66">
        <w:t>Have the capacity to update the database;</w:t>
      </w:r>
    </w:p>
    <w:p w:rsidR="00B14AD8" w:rsidRPr="003D4D66" w:rsidRDefault="00B14AD8" w:rsidP="001C4931">
      <w:pPr>
        <w:pStyle w:val="Bullet1G"/>
      </w:pPr>
      <w:r w:rsidRPr="003D4D66">
        <w:t xml:space="preserve">Apply a quality system, according to the </w:t>
      </w:r>
      <w:r w:rsidR="0005625A">
        <w:t xml:space="preserve">standard </w:t>
      </w:r>
      <w:r w:rsidRPr="003D4D66">
        <w:t>ISO 9000 (series) or equivalent, certified by an accredited independent body recognized by the competent authority.</w:t>
      </w:r>
    </w:p>
    <w:p w:rsidR="00B14AD8" w:rsidRPr="00156154" w:rsidRDefault="008E57F7" w:rsidP="001C4931">
      <w:pPr>
        <w:pStyle w:val="SingleTxtG"/>
      </w:pPr>
      <w:r>
        <w:t>1</w:t>
      </w:r>
      <w:r w:rsidR="00C30677">
        <w:t>9</w:t>
      </w:r>
      <w:r w:rsidR="001C4931">
        <w:t>.</w:t>
      </w:r>
      <w:r w:rsidR="001C4931">
        <w:tab/>
      </w:r>
      <w:r w:rsidR="00B14AD8" w:rsidRPr="00B8339B">
        <w:t xml:space="preserve">Remove the </w:t>
      </w:r>
      <w:r w:rsidR="00B14AD8">
        <w:t>exception</w:t>
      </w:r>
      <w:r w:rsidR="00B14AD8" w:rsidRPr="00B8339B">
        <w:t xml:space="preserve"> </w:t>
      </w:r>
      <w:r w:rsidR="00B14AD8">
        <w:t>about</w:t>
      </w:r>
      <w:r w:rsidR="00B14AD8" w:rsidRPr="00B8339B">
        <w:t xml:space="preserve"> </w:t>
      </w:r>
      <w:r w:rsidR="00B14AD8">
        <w:t>“</w:t>
      </w:r>
      <w:r w:rsidR="00B14AD8" w:rsidRPr="00B8339B">
        <w:t>3.5 and annex G</w:t>
      </w:r>
      <w:r w:rsidR="00B14AD8">
        <w:t>”</w:t>
      </w:r>
      <w:r w:rsidR="00B14AD8" w:rsidRPr="00B8339B">
        <w:t xml:space="preserve"> for EN 1439:</w:t>
      </w:r>
      <w:r w:rsidR="00B14AD8">
        <w:t xml:space="preserve">2008 in table </w:t>
      </w:r>
      <w:r w:rsidR="00B14AD8" w:rsidRPr="00B8339B">
        <w:t>P200</w:t>
      </w:r>
      <w:r w:rsidR="00B14AD8">
        <w:t xml:space="preserve"> (11)</w:t>
      </w:r>
      <w:r w:rsidR="00B14AD8" w:rsidRPr="00B8339B">
        <w:t>.</w:t>
      </w:r>
    </w:p>
    <w:p w:rsidR="00B14AD8" w:rsidRDefault="00C30677" w:rsidP="001C4931">
      <w:pPr>
        <w:pStyle w:val="SingleTxtG"/>
      </w:pPr>
      <w:r>
        <w:t>20</w:t>
      </w:r>
      <w:r w:rsidR="001C4931">
        <w:t>.</w:t>
      </w:r>
      <w:r w:rsidR="001C4931">
        <w:tab/>
      </w:r>
      <w:r w:rsidR="00B14AD8" w:rsidRPr="00B8339B">
        <w:t xml:space="preserve">Remove the </w:t>
      </w:r>
      <w:r w:rsidR="00B14AD8">
        <w:t>exception</w:t>
      </w:r>
      <w:r w:rsidR="00B14AD8" w:rsidRPr="00B8339B">
        <w:t xml:space="preserve"> </w:t>
      </w:r>
      <w:r w:rsidR="00B14AD8">
        <w:t>about “Over-moulded cylinders”</w:t>
      </w:r>
      <w:r w:rsidR="00B14AD8" w:rsidRPr="00B8339B">
        <w:t xml:space="preserve"> for EN </w:t>
      </w:r>
      <w:r w:rsidR="00B14AD8">
        <w:t>14140</w:t>
      </w:r>
      <w:r w:rsidR="00B14AD8" w:rsidRPr="00B8339B">
        <w:t>:20</w:t>
      </w:r>
      <w:r w:rsidR="00B14AD8">
        <w:t>14+AC</w:t>
      </w:r>
      <w:proofErr w:type="gramStart"/>
      <w:r w:rsidR="00B14AD8">
        <w:t>:2015</w:t>
      </w:r>
      <w:proofErr w:type="gramEnd"/>
      <w:r w:rsidR="00B14AD8" w:rsidRPr="00B8339B">
        <w:t xml:space="preserve"> in the table in sub-section</w:t>
      </w:r>
      <w:r w:rsidR="00B14AD8" w:rsidRPr="00B8339B">
        <w:rPr>
          <w:spacing w:val="-22"/>
        </w:rPr>
        <w:t xml:space="preserve"> </w:t>
      </w:r>
      <w:r w:rsidR="00B14AD8">
        <w:t>6.2.4.1</w:t>
      </w:r>
    </w:p>
    <w:p w:rsidR="00B14AD8" w:rsidRDefault="008E57F7" w:rsidP="001C4931">
      <w:pPr>
        <w:pStyle w:val="SingleTxtG"/>
      </w:pPr>
      <w:r>
        <w:t>2</w:t>
      </w:r>
      <w:r w:rsidR="00C30677">
        <w:t>1</w:t>
      </w:r>
      <w:r w:rsidR="001C4931">
        <w:t>.</w:t>
      </w:r>
      <w:r w:rsidR="001C4931">
        <w:tab/>
      </w:r>
      <w:r w:rsidR="00B14AD8" w:rsidRPr="00B8339B">
        <w:t xml:space="preserve">Remove the </w:t>
      </w:r>
      <w:r w:rsidR="00B14AD8">
        <w:t>exception</w:t>
      </w:r>
      <w:r w:rsidR="00B14AD8" w:rsidRPr="00B8339B">
        <w:t xml:space="preserve"> </w:t>
      </w:r>
      <w:r w:rsidR="00B14AD8">
        <w:t>about “clause 3.5, Annex F and Annex G”</w:t>
      </w:r>
      <w:r w:rsidR="00B14AD8" w:rsidRPr="00B8339B">
        <w:t xml:space="preserve"> for EN </w:t>
      </w:r>
      <w:r w:rsidR="00B14AD8">
        <w:t>16728</w:t>
      </w:r>
      <w:r w:rsidR="00B14AD8" w:rsidRPr="00B8339B">
        <w:t>:20</w:t>
      </w:r>
      <w:r w:rsidR="00B14AD8">
        <w:t>16</w:t>
      </w:r>
      <w:r w:rsidR="00B14AD8" w:rsidRPr="00B8339B">
        <w:t xml:space="preserve"> in the table in sub-section</w:t>
      </w:r>
      <w:r w:rsidR="00B14AD8" w:rsidRPr="00B8339B">
        <w:rPr>
          <w:spacing w:val="-22"/>
        </w:rPr>
        <w:t xml:space="preserve"> </w:t>
      </w:r>
      <w:r w:rsidR="00B14AD8">
        <w:t>6.2.4.2, awaiting the ongoing update.</w:t>
      </w:r>
    </w:p>
    <w:p w:rsidR="007A4FC2" w:rsidRDefault="007A4FC2" w:rsidP="007A4FC2">
      <w:pPr>
        <w:spacing w:after="120"/>
        <w:ind w:left="1120" w:right="1120"/>
        <w:jc w:val="center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__________</w:t>
      </w:r>
    </w:p>
    <w:sectPr w:rsidR="007A4FC2" w:rsidSect="007A4FC2">
      <w:headerReference w:type="even" r:id="rId16"/>
      <w:headerReference w:type="default" r:id="rId17"/>
      <w:footerReference w:type="even" r:id="rId18"/>
      <w:footerReference w:type="default" r:id="rId19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AF" w:rsidRDefault="00A132AF"/>
  </w:endnote>
  <w:endnote w:type="continuationSeparator" w:id="0">
    <w:p w:rsidR="00A132AF" w:rsidRDefault="00A132AF"/>
  </w:endnote>
  <w:endnote w:type="continuationNotice" w:id="1">
    <w:p w:rsidR="00A132AF" w:rsidRDefault="00A13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9D2A5B" w:rsidRDefault="00B8416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E0160">
      <w:rPr>
        <w:b/>
        <w:noProof/>
        <w:sz w:val="18"/>
      </w:rPr>
      <w:t>10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9D2A5B" w:rsidRDefault="00B8416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E0160">
      <w:rPr>
        <w:b/>
        <w:noProof/>
        <w:sz w:val="18"/>
      </w:rPr>
      <w:t>9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AF" w:rsidRPr="000B175B" w:rsidRDefault="00A132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32AF" w:rsidRPr="00FC68B7" w:rsidRDefault="00A132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132AF" w:rsidRDefault="00A132AF"/>
  </w:footnote>
  <w:footnote w:id="2">
    <w:p w:rsidR="00592460" w:rsidRPr="00D26F40" w:rsidRDefault="00592460" w:rsidP="0046748D">
      <w:pPr>
        <w:tabs>
          <w:tab w:val="left" w:pos="284"/>
        </w:tabs>
        <w:suppressAutoHyphens w:val="0"/>
        <w:spacing w:line="240" w:lineRule="auto"/>
        <w:ind w:left="284" w:hanging="284"/>
        <w:rPr>
          <w:i/>
          <w:u w:val="single"/>
          <w:lang w:val="de-DE"/>
        </w:rPr>
      </w:pPr>
      <w:r w:rsidRPr="0046748D">
        <w:rPr>
          <w:rStyle w:val="FootnoteReference"/>
          <w:rFonts w:ascii="Arial" w:hAnsi="Arial" w:cs="Arial"/>
          <w:sz w:val="20"/>
        </w:rPr>
        <w:footnoteRef/>
      </w:r>
      <w:r w:rsidRPr="0046748D">
        <w:rPr>
          <w:rFonts w:ascii="Arial" w:hAnsi="Arial" w:cs="Arial"/>
        </w:rPr>
        <w:t xml:space="preserve"> </w:t>
      </w:r>
      <w:r w:rsidR="0046748D" w:rsidRPr="0046748D">
        <w:rPr>
          <w:rFonts w:ascii="Arial" w:hAnsi="Arial" w:cs="Arial"/>
        </w:rPr>
        <w:tab/>
      </w:r>
      <w:hyperlink r:id="rId1" w:tgtFrame="_blank" w:tooltip="BAM-GGR 021" w:history="1">
        <w:r w:rsidR="0046748D" w:rsidRPr="00D26F40">
          <w:rPr>
            <w:rStyle w:val="Hyperlink"/>
            <w:i/>
          </w:rPr>
          <w:t>BAM-GGR 021</w:t>
        </w:r>
      </w:hyperlink>
      <w:r w:rsidR="0046748D" w:rsidRPr="00D26F40">
        <w:rPr>
          <w:i/>
          <w:u w:val="single"/>
        </w:rPr>
        <w:t xml:space="preserve"> Design Type Specific Determination of the Safe Service Life for Composite Pressure Receptacles on the basis of the Concept Additional Tests (CAT)* (from 21st Sept. 2017) </w:t>
      </w:r>
      <w:r w:rsidR="0046748D" w:rsidRPr="00D26F40">
        <w:rPr>
          <w:i/>
          <w:u w:val="single"/>
        </w:rPr>
        <w:br/>
        <w:t>https://www.tes.bam.de/en/regelwerke/amtliche_mitteilungen/index.htm</w:t>
      </w:r>
    </w:p>
  </w:footnote>
  <w:footnote w:id="3">
    <w:p w:rsidR="00117350" w:rsidRPr="00D26F40" w:rsidRDefault="00117350" w:rsidP="00117350">
      <w:pPr>
        <w:pStyle w:val="FootnoteText"/>
        <w:tabs>
          <w:tab w:val="clear" w:pos="1021"/>
          <w:tab w:val="left" w:pos="284"/>
        </w:tabs>
        <w:ind w:left="284" w:hanging="284"/>
        <w:rPr>
          <w:i/>
          <w:sz w:val="20"/>
          <w:u w:val="single"/>
          <w:lang w:val="de-DE"/>
        </w:rPr>
      </w:pPr>
      <w:r w:rsidRPr="00D26F40">
        <w:rPr>
          <w:rStyle w:val="FootnoteReference"/>
          <w:i/>
          <w:sz w:val="20"/>
          <w:u w:val="single"/>
        </w:rPr>
        <w:footnoteRef/>
      </w:r>
      <w:r w:rsidRPr="00D26F40">
        <w:rPr>
          <w:i/>
          <w:sz w:val="20"/>
          <w:u w:val="single"/>
        </w:rPr>
        <w:t xml:space="preserve"> </w:t>
      </w:r>
      <w:r w:rsidRPr="00D26F40">
        <w:rPr>
          <w:i/>
          <w:sz w:val="20"/>
          <w:u w:val="single"/>
        </w:rPr>
        <w:tab/>
      </w:r>
      <w:r w:rsidRPr="00D26F40">
        <w:rPr>
          <w:i/>
          <w:sz w:val="20"/>
          <w:u w:val="single"/>
          <w:lang w:val="de-DE" w:eastAsia="de-DE"/>
        </w:rPr>
        <w:t xml:space="preserve">Mair, Georg W.: </w:t>
      </w:r>
      <w:proofErr w:type="spellStart"/>
      <w:r w:rsidRPr="00D26F40">
        <w:rPr>
          <w:i/>
          <w:sz w:val="20"/>
          <w:u w:val="single"/>
          <w:lang w:val="de-DE" w:eastAsia="de-DE"/>
        </w:rPr>
        <w:t>Safety</w:t>
      </w:r>
      <w:proofErr w:type="spellEnd"/>
      <w:r w:rsidRPr="00D26F40">
        <w:rPr>
          <w:i/>
          <w:sz w:val="20"/>
          <w:u w:val="single"/>
          <w:lang w:val="de-DE" w:eastAsia="de-DE"/>
        </w:rPr>
        <w:t xml:space="preserve"> Assessment </w:t>
      </w:r>
      <w:proofErr w:type="spellStart"/>
      <w:r w:rsidRPr="00D26F40">
        <w:rPr>
          <w:i/>
          <w:sz w:val="20"/>
          <w:u w:val="single"/>
          <w:lang w:val="de-DE" w:eastAsia="de-DE"/>
        </w:rPr>
        <w:t>of</w:t>
      </w:r>
      <w:proofErr w:type="spellEnd"/>
      <w:r w:rsidRPr="00D26F40">
        <w:rPr>
          <w:i/>
          <w:sz w:val="20"/>
          <w:u w:val="single"/>
          <w:lang w:val="de-DE" w:eastAsia="de-DE"/>
        </w:rPr>
        <w:t xml:space="preserve"> Composite </w:t>
      </w:r>
      <w:proofErr w:type="spellStart"/>
      <w:r w:rsidRPr="00D26F40">
        <w:rPr>
          <w:i/>
          <w:sz w:val="20"/>
          <w:u w:val="single"/>
          <w:lang w:val="de-DE" w:eastAsia="de-DE"/>
        </w:rPr>
        <w:t>Cylinders</w:t>
      </w:r>
      <w:proofErr w:type="spellEnd"/>
      <w:r w:rsidRPr="00D26F40">
        <w:rPr>
          <w:i/>
          <w:sz w:val="20"/>
          <w:u w:val="single"/>
          <w:lang w:val="de-DE" w:eastAsia="de-DE"/>
        </w:rPr>
        <w:t xml:space="preserve"> </w:t>
      </w:r>
      <w:proofErr w:type="spellStart"/>
      <w:r w:rsidRPr="00D26F40">
        <w:rPr>
          <w:i/>
          <w:sz w:val="20"/>
          <w:u w:val="single"/>
          <w:lang w:val="de-DE" w:eastAsia="de-DE"/>
        </w:rPr>
        <w:t>for</w:t>
      </w:r>
      <w:proofErr w:type="spellEnd"/>
      <w:r w:rsidRPr="00D26F40">
        <w:rPr>
          <w:i/>
          <w:sz w:val="20"/>
          <w:u w:val="single"/>
          <w:lang w:val="de-DE" w:eastAsia="de-DE"/>
        </w:rPr>
        <w:t xml:space="preserve"> Gas Storage </w:t>
      </w:r>
      <w:proofErr w:type="spellStart"/>
      <w:r w:rsidRPr="00D26F40">
        <w:rPr>
          <w:i/>
          <w:sz w:val="20"/>
          <w:u w:val="single"/>
          <w:lang w:val="de-DE" w:eastAsia="de-DE"/>
        </w:rPr>
        <w:t>by</w:t>
      </w:r>
      <w:proofErr w:type="spellEnd"/>
      <w:r w:rsidRPr="00D26F40">
        <w:rPr>
          <w:i/>
          <w:sz w:val="20"/>
          <w:u w:val="single"/>
          <w:lang w:val="de-DE" w:eastAsia="de-DE"/>
        </w:rPr>
        <w:t xml:space="preserve"> Statistical </w:t>
      </w:r>
      <w:proofErr w:type="spellStart"/>
      <w:proofErr w:type="gramStart"/>
      <w:r w:rsidRPr="00D26F40">
        <w:rPr>
          <w:i/>
          <w:sz w:val="20"/>
          <w:u w:val="single"/>
          <w:lang w:val="de-DE" w:eastAsia="de-DE"/>
        </w:rPr>
        <w:t>Methods</w:t>
      </w:r>
      <w:proofErr w:type="spellEnd"/>
      <w:r w:rsidRPr="00D26F40">
        <w:rPr>
          <w:i/>
          <w:sz w:val="20"/>
          <w:u w:val="single"/>
          <w:lang w:val="de-DE" w:eastAsia="de-DE"/>
        </w:rPr>
        <w:t>:,</w:t>
      </w:r>
      <w:proofErr w:type="gramEnd"/>
      <w:r w:rsidRPr="00D26F40">
        <w:rPr>
          <w:i/>
          <w:sz w:val="20"/>
          <w:u w:val="single"/>
          <w:lang w:val="de-DE" w:eastAsia="de-DE"/>
        </w:rPr>
        <w:t xml:space="preserve"> London : Springer Ltd.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9D2A5B" w:rsidRDefault="00592460" w:rsidP="009D2A5B">
    <w:pPr>
      <w:pStyle w:val="Header"/>
    </w:pPr>
    <w:r>
      <w:t>INF.</w:t>
    </w:r>
    <w:r w:rsidR="000E0160">
      <w:t>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0E0160" w:rsidRDefault="000E0160" w:rsidP="000E0160">
    <w:pPr>
      <w:pStyle w:val="Header"/>
      <w:jc w:val="right"/>
    </w:pPr>
    <w:r>
      <w:t>INF.55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7B5E68"/>
    <w:multiLevelType w:val="hybridMultilevel"/>
    <w:tmpl w:val="14A2E63A"/>
    <w:lvl w:ilvl="0" w:tplc="BAAC110E">
      <w:start w:val="1"/>
      <w:numFmt w:val="decimal"/>
      <w:lvlText w:val="%1."/>
      <w:lvlJc w:val="left"/>
      <w:pPr>
        <w:ind w:left="1288" w:hanging="56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3B6E27E">
      <w:start w:val="1"/>
      <w:numFmt w:val="lowerLetter"/>
      <w:lvlText w:val="(%2)"/>
      <w:lvlJc w:val="left"/>
      <w:pPr>
        <w:ind w:left="1288" w:hanging="567"/>
      </w:pPr>
      <w:rPr>
        <w:rFonts w:ascii="Times New Roman" w:eastAsia="Times New Roman" w:hAnsi="Times New Roman" w:hint="default"/>
        <w:b/>
        <w:bCs/>
        <w:spacing w:val="-1"/>
        <w:w w:val="100"/>
        <w:sz w:val="20"/>
        <w:szCs w:val="20"/>
      </w:rPr>
    </w:lvl>
    <w:lvl w:ilvl="2" w:tplc="A0CA036C">
      <w:start w:val="1"/>
      <w:numFmt w:val="bullet"/>
      <w:lvlText w:val="•"/>
      <w:lvlJc w:val="left"/>
      <w:pPr>
        <w:ind w:left="3012" w:hanging="567"/>
      </w:pPr>
      <w:rPr>
        <w:rFonts w:hint="default"/>
      </w:rPr>
    </w:lvl>
    <w:lvl w:ilvl="3" w:tplc="B1965F44">
      <w:start w:val="1"/>
      <w:numFmt w:val="bullet"/>
      <w:lvlText w:val="•"/>
      <w:lvlJc w:val="left"/>
      <w:pPr>
        <w:ind w:left="3879" w:hanging="567"/>
      </w:pPr>
      <w:rPr>
        <w:rFonts w:hint="default"/>
      </w:rPr>
    </w:lvl>
    <w:lvl w:ilvl="4" w:tplc="4288BCB8">
      <w:start w:val="1"/>
      <w:numFmt w:val="bullet"/>
      <w:lvlText w:val="•"/>
      <w:lvlJc w:val="left"/>
      <w:pPr>
        <w:ind w:left="4745" w:hanging="567"/>
      </w:pPr>
      <w:rPr>
        <w:rFonts w:hint="default"/>
      </w:rPr>
    </w:lvl>
    <w:lvl w:ilvl="5" w:tplc="62942518">
      <w:start w:val="1"/>
      <w:numFmt w:val="bullet"/>
      <w:lvlText w:val="•"/>
      <w:lvlJc w:val="left"/>
      <w:pPr>
        <w:ind w:left="5612" w:hanging="567"/>
      </w:pPr>
      <w:rPr>
        <w:rFonts w:hint="default"/>
      </w:rPr>
    </w:lvl>
    <w:lvl w:ilvl="6" w:tplc="7A80FF1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A712CEC0">
      <w:start w:val="1"/>
      <w:numFmt w:val="bullet"/>
      <w:lvlText w:val="•"/>
      <w:lvlJc w:val="left"/>
      <w:pPr>
        <w:ind w:left="7345" w:hanging="567"/>
      </w:pPr>
      <w:rPr>
        <w:rFonts w:hint="default"/>
      </w:rPr>
    </w:lvl>
    <w:lvl w:ilvl="8" w:tplc="3094152E">
      <w:start w:val="1"/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463ED6"/>
    <w:multiLevelType w:val="hybridMultilevel"/>
    <w:tmpl w:val="9B4E69C6"/>
    <w:lvl w:ilvl="0" w:tplc="2CC0407A">
      <w:start w:val="7"/>
      <w:numFmt w:val="lowerLetter"/>
      <w:lvlText w:val="(%1)"/>
      <w:lvlJc w:val="left"/>
      <w:pPr>
        <w:ind w:left="2422" w:hanging="567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EE442E0E">
      <w:start w:val="1"/>
      <w:numFmt w:val="bullet"/>
      <w:lvlText w:val="-"/>
      <w:lvlJc w:val="left"/>
      <w:pPr>
        <w:ind w:left="2422" w:hanging="569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1B6A2BAA">
      <w:start w:val="1"/>
      <w:numFmt w:val="bullet"/>
      <w:lvlText w:val="•"/>
      <w:lvlJc w:val="left"/>
      <w:pPr>
        <w:ind w:left="3924" w:hanging="569"/>
      </w:pPr>
      <w:rPr>
        <w:rFonts w:hint="default"/>
      </w:rPr>
    </w:lvl>
    <w:lvl w:ilvl="3" w:tplc="7ED2C226">
      <w:start w:val="1"/>
      <w:numFmt w:val="bullet"/>
      <w:lvlText w:val="•"/>
      <w:lvlJc w:val="left"/>
      <w:pPr>
        <w:ind w:left="4677" w:hanging="569"/>
      </w:pPr>
      <w:rPr>
        <w:rFonts w:hint="default"/>
      </w:rPr>
    </w:lvl>
    <w:lvl w:ilvl="4" w:tplc="E67EFFEC">
      <w:start w:val="1"/>
      <w:numFmt w:val="bullet"/>
      <w:lvlText w:val="•"/>
      <w:lvlJc w:val="left"/>
      <w:pPr>
        <w:ind w:left="5429" w:hanging="569"/>
      </w:pPr>
      <w:rPr>
        <w:rFonts w:hint="default"/>
      </w:rPr>
    </w:lvl>
    <w:lvl w:ilvl="5" w:tplc="947A808C">
      <w:start w:val="1"/>
      <w:numFmt w:val="bullet"/>
      <w:lvlText w:val="•"/>
      <w:lvlJc w:val="left"/>
      <w:pPr>
        <w:ind w:left="6182" w:hanging="569"/>
      </w:pPr>
      <w:rPr>
        <w:rFonts w:hint="default"/>
      </w:rPr>
    </w:lvl>
    <w:lvl w:ilvl="6" w:tplc="1F1A8678">
      <w:start w:val="1"/>
      <w:numFmt w:val="bullet"/>
      <w:lvlText w:val="•"/>
      <w:lvlJc w:val="left"/>
      <w:pPr>
        <w:ind w:left="6934" w:hanging="569"/>
      </w:pPr>
      <w:rPr>
        <w:rFonts w:hint="default"/>
      </w:rPr>
    </w:lvl>
    <w:lvl w:ilvl="7" w:tplc="19D44746">
      <w:start w:val="1"/>
      <w:numFmt w:val="bullet"/>
      <w:lvlText w:val="•"/>
      <w:lvlJc w:val="left"/>
      <w:pPr>
        <w:ind w:left="7687" w:hanging="569"/>
      </w:pPr>
      <w:rPr>
        <w:rFonts w:hint="default"/>
      </w:rPr>
    </w:lvl>
    <w:lvl w:ilvl="8" w:tplc="D422AB74">
      <w:start w:val="1"/>
      <w:numFmt w:val="bullet"/>
      <w:lvlText w:val="•"/>
      <w:lvlJc w:val="left"/>
      <w:pPr>
        <w:ind w:left="8439" w:hanging="569"/>
      </w:pPr>
      <w:rPr>
        <w:rFonts w:hint="default"/>
      </w:rPr>
    </w:lvl>
  </w:abstractNum>
  <w:abstractNum w:abstractNumId="15" w15:restartNumberingAfterBreak="0">
    <w:nsid w:val="1A8516A3"/>
    <w:multiLevelType w:val="hybridMultilevel"/>
    <w:tmpl w:val="3DFE920A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94A58"/>
    <w:multiLevelType w:val="hybridMultilevel"/>
    <w:tmpl w:val="B542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6B5219"/>
    <w:multiLevelType w:val="hybridMultilevel"/>
    <w:tmpl w:val="823E20F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2473F32"/>
    <w:multiLevelType w:val="hybridMultilevel"/>
    <w:tmpl w:val="23385D10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0066C75"/>
    <w:multiLevelType w:val="hybridMultilevel"/>
    <w:tmpl w:val="3918C356"/>
    <w:lvl w:ilvl="0" w:tplc="62E8EFF4">
      <w:start w:val="1"/>
      <w:numFmt w:val="lowerLetter"/>
      <w:lvlText w:val="(%1)"/>
      <w:lvlJc w:val="left"/>
      <w:pPr>
        <w:ind w:left="2422" w:hanging="567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D24BF8">
      <w:start w:val="1"/>
      <w:numFmt w:val="bullet"/>
      <w:lvlText w:val="-"/>
      <w:lvlJc w:val="left"/>
      <w:pPr>
        <w:ind w:left="2422" w:hanging="569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E366CDA">
      <w:start w:val="1"/>
      <w:numFmt w:val="bullet"/>
      <w:lvlText w:val="•"/>
      <w:lvlJc w:val="left"/>
      <w:pPr>
        <w:ind w:left="3924" w:hanging="569"/>
      </w:pPr>
      <w:rPr>
        <w:rFonts w:hint="default"/>
      </w:rPr>
    </w:lvl>
    <w:lvl w:ilvl="3" w:tplc="47B66356">
      <w:start w:val="1"/>
      <w:numFmt w:val="bullet"/>
      <w:lvlText w:val="•"/>
      <w:lvlJc w:val="left"/>
      <w:pPr>
        <w:ind w:left="4677" w:hanging="569"/>
      </w:pPr>
      <w:rPr>
        <w:rFonts w:hint="default"/>
      </w:rPr>
    </w:lvl>
    <w:lvl w:ilvl="4" w:tplc="5770CC24">
      <w:start w:val="1"/>
      <w:numFmt w:val="bullet"/>
      <w:lvlText w:val="•"/>
      <w:lvlJc w:val="left"/>
      <w:pPr>
        <w:ind w:left="5429" w:hanging="569"/>
      </w:pPr>
      <w:rPr>
        <w:rFonts w:hint="default"/>
      </w:rPr>
    </w:lvl>
    <w:lvl w:ilvl="5" w:tplc="078E568C">
      <w:start w:val="1"/>
      <w:numFmt w:val="bullet"/>
      <w:lvlText w:val="•"/>
      <w:lvlJc w:val="left"/>
      <w:pPr>
        <w:ind w:left="6182" w:hanging="569"/>
      </w:pPr>
      <w:rPr>
        <w:rFonts w:hint="default"/>
      </w:rPr>
    </w:lvl>
    <w:lvl w:ilvl="6" w:tplc="A4641E02">
      <w:start w:val="1"/>
      <w:numFmt w:val="bullet"/>
      <w:lvlText w:val="•"/>
      <w:lvlJc w:val="left"/>
      <w:pPr>
        <w:ind w:left="6934" w:hanging="569"/>
      </w:pPr>
      <w:rPr>
        <w:rFonts w:hint="default"/>
      </w:rPr>
    </w:lvl>
    <w:lvl w:ilvl="7" w:tplc="7714A110">
      <w:start w:val="1"/>
      <w:numFmt w:val="bullet"/>
      <w:lvlText w:val="•"/>
      <w:lvlJc w:val="left"/>
      <w:pPr>
        <w:ind w:left="7687" w:hanging="569"/>
      </w:pPr>
      <w:rPr>
        <w:rFonts w:hint="default"/>
      </w:rPr>
    </w:lvl>
    <w:lvl w:ilvl="8" w:tplc="4CD86F28">
      <w:start w:val="1"/>
      <w:numFmt w:val="bullet"/>
      <w:lvlText w:val="•"/>
      <w:lvlJc w:val="left"/>
      <w:pPr>
        <w:ind w:left="8439" w:hanging="5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2"/>
  </w:num>
  <w:num w:numId="15">
    <w:abstractNumId w:val="13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23"/>
  </w:num>
  <w:num w:numId="21">
    <w:abstractNumId w:val="11"/>
  </w:num>
  <w:num w:numId="22">
    <w:abstractNumId w:val="21"/>
  </w:num>
  <w:num w:numId="23">
    <w:abstractNumId w:val="20"/>
  </w:num>
  <w:num w:numId="24">
    <w:abstractNumId w:val="17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72E9"/>
    <w:rsid w:val="00016E2A"/>
    <w:rsid w:val="000173A7"/>
    <w:rsid w:val="00034A36"/>
    <w:rsid w:val="00037F90"/>
    <w:rsid w:val="0004238C"/>
    <w:rsid w:val="00046B1F"/>
    <w:rsid w:val="000509A7"/>
    <w:rsid w:val="00050F6B"/>
    <w:rsid w:val="0005583C"/>
    <w:rsid w:val="0005625A"/>
    <w:rsid w:val="00057E97"/>
    <w:rsid w:val="00072C8C"/>
    <w:rsid w:val="000733B5"/>
    <w:rsid w:val="00080491"/>
    <w:rsid w:val="0008179C"/>
    <w:rsid w:val="00081815"/>
    <w:rsid w:val="000931C0"/>
    <w:rsid w:val="000971E8"/>
    <w:rsid w:val="000B0595"/>
    <w:rsid w:val="000B1333"/>
    <w:rsid w:val="000B175B"/>
    <w:rsid w:val="000B3A0F"/>
    <w:rsid w:val="000B4293"/>
    <w:rsid w:val="000B4EF7"/>
    <w:rsid w:val="000C2C03"/>
    <w:rsid w:val="000C2D2E"/>
    <w:rsid w:val="000C2EEA"/>
    <w:rsid w:val="000C4D51"/>
    <w:rsid w:val="000C686C"/>
    <w:rsid w:val="000C7E8F"/>
    <w:rsid w:val="000D45A0"/>
    <w:rsid w:val="000E0160"/>
    <w:rsid w:val="000E0415"/>
    <w:rsid w:val="00105004"/>
    <w:rsid w:val="001103AA"/>
    <w:rsid w:val="00115DC9"/>
    <w:rsid w:val="0011666B"/>
    <w:rsid w:val="00116A27"/>
    <w:rsid w:val="00117350"/>
    <w:rsid w:val="001208E2"/>
    <w:rsid w:val="0014434B"/>
    <w:rsid w:val="00155068"/>
    <w:rsid w:val="00165F3A"/>
    <w:rsid w:val="00175081"/>
    <w:rsid w:val="0017587F"/>
    <w:rsid w:val="001A23DC"/>
    <w:rsid w:val="001B0DC6"/>
    <w:rsid w:val="001B13A5"/>
    <w:rsid w:val="001B4B04"/>
    <w:rsid w:val="001C4931"/>
    <w:rsid w:val="001C6663"/>
    <w:rsid w:val="001C7895"/>
    <w:rsid w:val="001D0C8C"/>
    <w:rsid w:val="001D1419"/>
    <w:rsid w:val="001D26DF"/>
    <w:rsid w:val="001D3A03"/>
    <w:rsid w:val="001D70FB"/>
    <w:rsid w:val="001D7F46"/>
    <w:rsid w:val="001E0B9E"/>
    <w:rsid w:val="001E1D65"/>
    <w:rsid w:val="001E7B67"/>
    <w:rsid w:val="001F7435"/>
    <w:rsid w:val="00202DA8"/>
    <w:rsid w:val="0021157B"/>
    <w:rsid w:val="00211B97"/>
    <w:rsid w:val="00211E0B"/>
    <w:rsid w:val="002253D8"/>
    <w:rsid w:val="00262318"/>
    <w:rsid w:val="0026575C"/>
    <w:rsid w:val="00267F5F"/>
    <w:rsid w:val="00277C12"/>
    <w:rsid w:val="00286B4D"/>
    <w:rsid w:val="00293909"/>
    <w:rsid w:val="002A5FF3"/>
    <w:rsid w:val="002A603B"/>
    <w:rsid w:val="002D4643"/>
    <w:rsid w:val="002D4B6C"/>
    <w:rsid w:val="002E0788"/>
    <w:rsid w:val="002E4249"/>
    <w:rsid w:val="002E7339"/>
    <w:rsid w:val="002E7E8E"/>
    <w:rsid w:val="002F175C"/>
    <w:rsid w:val="002F43BA"/>
    <w:rsid w:val="00302E18"/>
    <w:rsid w:val="00312506"/>
    <w:rsid w:val="003229D8"/>
    <w:rsid w:val="003373DF"/>
    <w:rsid w:val="00346B3C"/>
    <w:rsid w:val="00352709"/>
    <w:rsid w:val="00371178"/>
    <w:rsid w:val="00381475"/>
    <w:rsid w:val="00384140"/>
    <w:rsid w:val="0039377E"/>
    <w:rsid w:val="003A6810"/>
    <w:rsid w:val="003C2CC4"/>
    <w:rsid w:val="003C67BE"/>
    <w:rsid w:val="003D041C"/>
    <w:rsid w:val="003D4B23"/>
    <w:rsid w:val="004059B4"/>
    <w:rsid w:val="00410C89"/>
    <w:rsid w:val="0041748E"/>
    <w:rsid w:val="00422E03"/>
    <w:rsid w:val="00426B9B"/>
    <w:rsid w:val="00426D2C"/>
    <w:rsid w:val="00430EFE"/>
    <w:rsid w:val="004325CB"/>
    <w:rsid w:val="00441896"/>
    <w:rsid w:val="00442A83"/>
    <w:rsid w:val="00443AB5"/>
    <w:rsid w:val="0044499C"/>
    <w:rsid w:val="00450C73"/>
    <w:rsid w:val="0045495B"/>
    <w:rsid w:val="0046134A"/>
    <w:rsid w:val="0046748D"/>
    <w:rsid w:val="0048397A"/>
    <w:rsid w:val="004A12F2"/>
    <w:rsid w:val="004B68AA"/>
    <w:rsid w:val="004C2461"/>
    <w:rsid w:val="004C7462"/>
    <w:rsid w:val="004D2C53"/>
    <w:rsid w:val="004D31EA"/>
    <w:rsid w:val="004D4A0C"/>
    <w:rsid w:val="004D4E04"/>
    <w:rsid w:val="004D5426"/>
    <w:rsid w:val="004D5CF4"/>
    <w:rsid w:val="004E0C05"/>
    <w:rsid w:val="004E77B2"/>
    <w:rsid w:val="004F6ED8"/>
    <w:rsid w:val="00503DEB"/>
    <w:rsid w:val="00504B2D"/>
    <w:rsid w:val="00511A9B"/>
    <w:rsid w:val="0052136D"/>
    <w:rsid w:val="00522B58"/>
    <w:rsid w:val="0052775E"/>
    <w:rsid w:val="00535C90"/>
    <w:rsid w:val="00540471"/>
    <w:rsid w:val="005420F2"/>
    <w:rsid w:val="00543785"/>
    <w:rsid w:val="00545927"/>
    <w:rsid w:val="00546993"/>
    <w:rsid w:val="00546AD4"/>
    <w:rsid w:val="005628B6"/>
    <w:rsid w:val="00592460"/>
    <w:rsid w:val="00597EDC"/>
    <w:rsid w:val="005A575C"/>
    <w:rsid w:val="005B3DB3"/>
    <w:rsid w:val="005B4E13"/>
    <w:rsid w:val="005C0229"/>
    <w:rsid w:val="005D3606"/>
    <w:rsid w:val="005E6A77"/>
    <w:rsid w:val="005E6B8F"/>
    <w:rsid w:val="005F7549"/>
    <w:rsid w:val="005F7B75"/>
    <w:rsid w:val="006001EE"/>
    <w:rsid w:val="00605042"/>
    <w:rsid w:val="00605A9A"/>
    <w:rsid w:val="00611FC4"/>
    <w:rsid w:val="006176FB"/>
    <w:rsid w:val="00617F6C"/>
    <w:rsid w:val="0062377A"/>
    <w:rsid w:val="00640B26"/>
    <w:rsid w:val="006415DF"/>
    <w:rsid w:val="00652D0A"/>
    <w:rsid w:val="00656B98"/>
    <w:rsid w:val="006623D5"/>
    <w:rsid w:val="00662BB6"/>
    <w:rsid w:val="00667F8F"/>
    <w:rsid w:val="00684C21"/>
    <w:rsid w:val="0069232B"/>
    <w:rsid w:val="006A2530"/>
    <w:rsid w:val="006A7EDC"/>
    <w:rsid w:val="006C3589"/>
    <w:rsid w:val="006D37AF"/>
    <w:rsid w:val="006D51D0"/>
    <w:rsid w:val="006E4EF0"/>
    <w:rsid w:val="006E5117"/>
    <w:rsid w:val="006E564B"/>
    <w:rsid w:val="006E7191"/>
    <w:rsid w:val="00703577"/>
    <w:rsid w:val="00705894"/>
    <w:rsid w:val="0072632A"/>
    <w:rsid w:val="00731FF0"/>
    <w:rsid w:val="007327D5"/>
    <w:rsid w:val="00755B16"/>
    <w:rsid w:val="007611CF"/>
    <w:rsid w:val="007629C8"/>
    <w:rsid w:val="0077047D"/>
    <w:rsid w:val="00771E1C"/>
    <w:rsid w:val="00776D68"/>
    <w:rsid w:val="007A4FC2"/>
    <w:rsid w:val="007B0157"/>
    <w:rsid w:val="007B3CAA"/>
    <w:rsid w:val="007B6BA5"/>
    <w:rsid w:val="007C3390"/>
    <w:rsid w:val="007C3EC0"/>
    <w:rsid w:val="007C4F4B"/>
    <w:rsid w:val="007C588D"/>
    <w:rsid w:val="007D46D5"/>
    <w:rsid w:val="007D4D60"/>
    <w:rsid w:val="007E01E9"/>
    <w:rsid w:val="007E63F3"/>
    <w:rsid w:val="007F6611"/>
    <w:rsid w:val="007F7106"/>
    <w:rsid w:val="00811920"/>
    <w:rsid w:val="00815AD0"/>
    <w:rsid w:val="008242D7"/>
    <w:rsid w:val="008257B1"/>
    <w:rsid w:val="00843767"/>
    <w:rsid w:val="00850A8A"/>
    <w:rsid w:val="008521A5"/>
    <w:rsid w:val="008679D9"/>
    <w:rsid w:val="00871389"/>
    <w:rsid w:val="00872308"/>
    <w:rsid w:val="008742BD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D3BFE"/>
    <w:rsid w:val="008E0678"/>
    <w:rsid w:val="008E57F7"/>
    <w:rsid w:val="008E7526"/>
    <w:rsid w:val="008F0E7B"/>
    <w:rsid w:val="00901B81"/>
    <w:rsid w:val="0092212D"/>
    <w:rsid w:val="009223CA"/>
    <w:rsid w:val="009352CD"/>
    <w:rsid w:val="0093707F"/>
    <w:rsid w:val="00940F93"/>
    <w:rsid w:val="0094558F"/>
    <w:rsid w:val="00961690"/>
    <w:rsid w:val="00972FE7"/>
    <w:rsid w:val="009760F3"/>
    <w:rsid w:val="00986931"/>
    <w:rsid w:val="00990008"/>
    <w:rsid w:val="00994E8B"/>
    <w:rsid w:val="009A0E8D"/>
    <w:rsid w:val="009B1518"/>
    <w:rsid w:val="009B26E7"/>
    <w:rsid w:val="009B6669"/>
    <w:rsid w:val="009C3EED"/>
    <w:rsid w:val="009C454F"/>
    <w:rsid w:val="009D2A5B"/>
    <w:rsid w:val="009D3549"/>
    <w:rsid w:val="00A00A3F"/>
    <w:rsid w:val="00A01489"/>
    <w:rsid w:val="00A132AF"/>
    <w:rsid w:val="00A3009E"/>
    <w:rsid w:val="00A3026E"/>
    <w:rsid w:val="00A338F1"/>
    <w:rsid w:val="00A43545"/>
    <w:rsid w:val="00A72F22"/>
    <w:rsid w:val="00A7360F"/>
    <w:rsid w:val="00A748A6"/>
    <w:rsid w:val="00A769F4"/>
    <w:rsid w:val="00A76F72"/>
    <w:rsid w:val="00A776B4"/>
    <w:rsid w:val="00A81407"/>
    <w:rsid w:val="00A9093D"/>
    <w:rsid w:val="00A90A1B"/>
    <w:rsid w:val="00A9142D"/>
    <w:rsid w:val="00A92CF6"/>
    <w:rsid w:val="00A94361"/>
    <w:rsid w:val="00AA293C"/>
    <w:rsid w:val="00AC3AB4"/>
    <w:rsid w:val="00AD2DFF"/>
    <w:rsid w:val="00AE08DA"/>
    <w:rsid w:val="00AE6935"/>
    <w:rsid w:val="00AF3993"/>
    <w:rsid w:val="00AF6347"/>
    <w:rsid w:val="00B06D66"/>
    <w:rsid w:val="00B1139F"/>
    <w:rsid w:val="00B11BB4"/>
    <w:rsid w:val="00B14AD8"/>
    <w:rsid w:val="00B175D8"/>
    <w:rsid w:val="00B22BC2"/>
    <w:rsid w:val="00B30179"/>
    <w:rsid w:val="00B32242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4168"/>
    <w:rsid w:val="00B857E8"/>
    <w:rsid w:val="00BB7CD1"/>
    <w:rsid w:val="00BC3FA0"/>
    <w:rsid w:val="00BC4DCC"/>
    <w:rsid w:val="00BC74E9"/>
    <w:rsid w:val="00BD40D9"/>
    <w:rsid w:val="00BD4443"/>
    <w:rsid w:val="00BF68A8"/>
    <w:rsid w:val="00C10FE6"/>
    <w:rsid w:val="00C11A03"/>
    <w:rsid w:val="00C22C0C"/>
    <w:rsid w:val="00C255AF"/>
    <w:rsid w:val="00C30677"/>
    <w:rsid w:val="00C30C61"/>
    <w:rsid w:val="00C3172E"/>
    <w:rsid w:val="00C35502"/>
    <w:rsid w:val="00C40B11"/>
    <w:rsid w:val="00C43547"/>
    <w:rsid w:val="00C4527F"/>
    <w:rsid w:val="00C463DD"/>
    <w:rsid w:val="00C4724C"/>
    <w:rsid w:val="00C563BF"/>
    <w:rsid w:val="00C629A0"/>
    <w:rsid w:val="00C64629"/>
    <w:rsid w:val="00C745C3"/>
    <w:rsid w:val="00C76F8B"/>
    <w:rsid w:val="00C84193"/>
    <w:rsid w:val="00C92461"/>
    <w:rsid w:val="00CB3E03"/>
    <w:rsid w:val="00CE4A8F"/>
    <w:rsid w:val="00CE6E62"/>
    <w:rsid w:val="00CF3A08"/>
    <w:rsid w:val="00D2031B"/>
    <w:rsid w:val="00D25FE2"/>
    <w:rsid w:val="00D26F40"/>
    <w:rsid w:val="00D30EFA"/>
    <w:rsid w:val="00D43252"/>
    <w:rsid w:val="00D47EEA"/>
    <w:rsid w:val="00D550D4"/>
    <w:rsid w:val="00D773DF"/>
    <w:rsid w:val="00D872AC"/>
    <w:rsid w:val="00D9255F"/>
    <w:rsid w:val="00D95303"/>
    <w:rsid w:val="00D96850"/>
    <w:rsid w:val="00D978C6"/>
    <w:rsid w:val="00DA3C1C"/>
    <w:rsid w:val="00DB2951"/>
    <w:rsid w:val="00DC1157"/>
    <w:rsid w:val="00DD06EE"/>
    <w:rsid w:val="00DD29BD"/>
    <w:rsid w:val="00DD79E7"/>
    <w:rsid w:val="00DE1D53"/>
    <w:rsid w:val="00DF0F1A"/>
    <w:rsid w:val="00E04062"/>
    <w:rsid w:val="00E046DF"/>
    <w:rsid w:val="00E15557"/>
    <w:rsid w:val="00E240D2"/>
    <w:rsid w:val="00E25667"/>
    <w:rsid w:val="00E27346"/>
    <w:rsid w:val="00E509A0"/>
    <w:rsid w:val="00E563D2"/>
    <w:rsid w:val="00E71610"/>
    <w:rsid w:val="00E71BC8"/>
    <w:rsid w:val="00E7260F"/>
    <w:rsid w:val="00E73F5D"/>
    <w:rsid w:val="00E77E4E"/>
    <w:rsid w:val="00E8771C"/>
    <w:rsid w:val="00E96630"/>
    <w:rsid w:val="00EC106A"/>
    <w:rsid w:val="00EC1E8A"/>
    <w:rsid w:val="00EC211D"/>
    <w:rsid w:val="00EC496E"/>
    <w:rsid w:val="00ED7A2A"/>
    <w:rsid w:val="00EE6B3A"/>
    <w:rsid w:val="00EF0E55"/>
    <w:rsid w:val="00EF1D7F"/>
    <w:rsid w:val="00EF5C71"/>
    <w:rsid w:val="00F31E5F"/>
    <w:rsid w:val="00F32BB7"/>
    <w:rsid w:val="00F47EDC"/>
    <w:rsid w:val="00F6100A"/>
    <w:rsid w:val="00F63C9D"/>
    <w:rsid w:val="00F65AE4"/>
    <w:rsid w:val="00F66565"/>
    <w:rsid w:val="00F75A16"/>
    <w:rsid w:val="00F909AE"/>
    <w:rsid w:val="00F92A22"/>
    <w:rsid w:val="00F93781"/>
    <w:rsid w:val="00FA3495"/>
    <w:rsid w:val="00FA55C9"/>
    <w:rsid w:val="00FA6814"/>
    <w:rsid w:val="00FA6DA6"/>
    <w:rsid w:val="00FB613B"/>
    <w:rsid w:val="00FC68B7"/>
    <w:rsid w:val="00FE106A"/>
    <w:rsid w:val="00FE351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9267D8"/>
  <w15:docId w15:val="{352460FA-D66D-4F89-AE61-00536AD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C496E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C496E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C496E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C496E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C496E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C496E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C496E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C496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C496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C496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EC496E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EC496E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96E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EC496E"/>
  </w:style>
  <w:style w:type="paragraph" w:styleId="BodyTextIndent">
    <w:name w:val="Body Text Indent"/>
    <w:basedOn w:val="Normal"/>
    <w:semiHidden/>
    <w:rsid w:val="00EC496E"/>
    <w:pPr>
      <w:spacing w:after="120"/>
      <w:ind w:left="283"/>
    </w:pPr>
  </w:style>
  <w:style w:type="paragraph" w:styleId="BlockText">
    <w:name w:val="Block Text"/>
    <w:basedOn w:val="Normal"/>
    <w:semiHidden/>
    <w:rsid w:val="00EC496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EC496E"/>
    <w:rPr>
      <w:sz w:val="6"/>
    </w:rPr>
  </w:style>
  <w:style w:type="paragraph" w:styleId="CommentText">
    <w:name w:val="annotation text"/>
    <w:basedOn w:val="Normal"/>
    <w:link w:val="CommentTextChar"/>
    <w:semiHidden/>
    <w:rsid w:val="00EC496E"/>
  </w:style>
  <w:style w:type="character" w:styleId="LineNumber">
    <w:name w:val="line number"/>
    <w:semiHidden/>
    <w:rsid w:val="00EC496E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C496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C496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C496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C496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B14AD8"/>
    <w:rPr>
      <w:lang w:eastAsia="en-US"/>
    </w:rPr>
  </w:style>
  <w:style w:type="paragraph" w:customStyle="1" w:styleId="Tabletext9">
    <w:name w:val="Table text (9)"/>
    <w:basedOn w:val="Normal"/>
    <w:rsid w:val="00B14AD8"/>
    <w:pPr>
      <w:suppressAutoHyphens w:val="0"/>
      <w:spacing w:before="60" w:after="60" w:line="210" w:lineRule="atLeast"/>
      <w:jc w:val="both"/>
    </w:pPr>
    <w:rPr>
      <w:rFonts w:ascii="Arial" w:eastAsia="MS Mincho" w:hAnsi="Arial"/>
      <w:sz w:val="18"/>
      <w:lang w:eastAsia="fr-FR"/>
    </w:rPr>
  </w:style>
  <w:style w:type="paragraph" w:styleId="ListParagraph">
    <w:name w:val="List Paragraph"/>
    <w:basedOn w:val="Normal"/>
    <w:uiPriority w:val="1"/>
    <w:qFormat/>
    <w:rsid w:val="00B14AD8"/>
    <w:pPr>
      <w:ind w:left="720"/>
      <w:contextualSpacing/>
    </w:pPr>
  </w:style>
  <w:style w:type="character" w:customStyle="1" w:styleId="H23GChar">
    <w:name w:val="_ H_2/3_G Char"/>
    <w:link w:val="H23G"/>
    <w:locked/>
    <w:rsid w:val="00175081"/>
    <w:rPr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E62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6E6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E6E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s.bam.de/de/regelwerke/downloads/bam-ggr_021_2017-09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C5B9-3827-44E5-977B-8DC73E1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2358</Words>
  <Characters>13441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2017-07-06T11:17:00Z</cp:lastPrinted>
  <dcterms:created xsi:type="dcterms:W3CDTF">2017-09-27T08:19:00Z</dcterms:created>
  <dcterms:modified xsi:type="dcterms:W3CDTF">2017-09-27T08:20:00Z</dcterms:modified>
</cp:coreProperties>
</file>