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DF301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DF301C" w:rsidP="00DF301C">
            <w:pPr>
              <w:jc w:val="right"/>
            </w:pPr>
            <w:r w:rsidRPr="00DF301C">
              <w:rPr>
                <w:sz w:val="40"/>
              </w:rPr>
              <w:t>ECE</w:t>
            </w:r>
            <w:r>
              <w:t>/TRANS/WP.15/AC.1/2017/33</w:t>
            </w:r>
          </w:p>
        </w:tc>
      </w:tr>
      <w:tr w:rsidR="002D5AAC" w:rsidRPr="0041700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DF301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DF301C" w:rsidRDefault="00DF301C" w:rsidP="00DF301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July 2017</w:t>
            </w:r>
          </w:p>
          <w:p w:rsidR="00DF301C" w:rsidRDefault="00DF301C" w:rsidP="00DF301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DF301C" w:rsidRPr="008D53B6" w:rsidRDefault="00DF301C" w:rsidP="00DF301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F301C" w:rsidRPr="006C4309" w:rsidRDefault="00DF301C" w:rsidP="006C4309">
      <w:pPr>
        <w:pStyle w:val="SingleTxtGR"/>
        <w:spacing w:before="120"/>
        <w:ind w:left="0"/>
        <w:rPr>
          <w:bCs/>
          <w:sz w:val="28"/>
        </w:rPr>
      </w:pPr>
      <w:r w:rsidRPr="006C4309">
        <w:rPr>
          <w:bCs/>
          <w:sz w:val="28"/>
        </w:rPr>
        <w:t>Комитет по внутреннему транспорту</w:t>
      </w:r>
    </w:p>
    <w:p w:rsidR="00DF301C" w:rsidRPr="00771EDA" w:rsidRDefault="00DF301C" w:rsidP="006C4309">
      <w:pPr>
        <w:pStyle w:val="SingleTxtGR"/>
        <w:ind w:left="0"/>
        <w:rPr>
          <w:b/>
          <w:bCs/>
          <w:sz w:val="24"/>
        </w:rPr>
      </w:pPr>
      <w:r w:rsidRPr="00771EDA">
        <w:rPr>
          <w:b/>
          <w:bCs/>
          <w:sz w:val="24"/>
        </w:rPr>
        <w:t>Рабочая группа по перевозкам опасных грузов</w:t>
      </w:r>
    </w:p>
    <w:p w:rsidR="00DF301C" w:rsidRPr="00DF301C" w:rsidRDefault="00DF301C" w:rsidP="00771EDA">
      <w:pPr>
        <w:pStyle w:val="SingleTxtGR"/>
        <w:ind w:left="0"/>
        <w:jc w:val="left"/>
        <w:rPr>
          <w:b/>
          <w:bCs/>
        </w:rPr>
      </w:pPr>
      <w:r w:rsidRPr="00DF301C">
        <w:rPr>
          <w:b/>
          <w:bCs/>
        </w:rPr>
        <w:t xml:space="preserve">Совместное совещание Комиссии экспертов МПОГ </w:t>
      </w:r>
      <w:r w:rsidR="00771EDA" w:rsidRPr="00771EDA">
        <w:rPr>
          <w:b/>
          <w:bCs/>
        </w:rPr>
        <w:br/>
      </w:r>
      <w:r w:rsidR="00771EDA" w:rsidRPr="00DF301C">
        <w:rPr>
          <w:b/>
          <w:bCs/>
        </w:rPr>
        <w:t xml:space="preserve">и </w:t>
      </w:r>
      <w:r w:rsidRPr="00DF301C">
        <w:rPr>
          <w:b/>
          <w:bCs/>
        </w:rPr>
        <w:t>Рабочей группы по перевозкам опасных грузов</w:t>
      </w:r>
      <w:r w:rsidR="00771EDA" w:rsidRPr="00771EDA">
        <w:rPr>
          <w:b/>
          <w:bCs/>
        </w:rPr>
        <w:br/>
      </w:r>
      <w:r w:rsidRPr="00DF301C">
        <w:t>Женева, 19–29 сентября 2017 года</w:t>
      </w:r>
      <w:r w:rsidR="00771EDA" w:rsidRPr="00771EDA">
        <w:br/>
      </w:r>
      <w:r w:rsidRPr="00DF301C">
        <w:t>Пункт 7 предварительной повестки дня</w:t>
      </w:r>
      <w:r w:rsidR="00771EDA" w:rsidRPr="00771EDA">
        <w:br/>
      </w:r>
      <w:r w:rsidRPr="00DF301C">
        <w:rPr>
          <w:b/>
          <w:bCs/>
        </w:rPr>
        <w:t xml:space="preserve">Доклады неофициальных рабочих групп </w:t>
      </w:r>
    </w:p>
    <w:p w:rsidR="00DF301C" w:rsidRPr="00DF301C" w:rsidRDefault="00DF301C" w:rsidP="00771EDA">
      <w:pPr>
        <w:pStyle w:val="HChGR"/>
      </w:pPr>
      <w:r w:rsidRPr="00DF301C">
        <w:tab/>
      </w:r>
      <w:r w:rsidRPr="00DF301C">
        <w:tab/>
        <w:t xml:space="preserve">Доклад неофициальной рабочей группы </w:t>
      </w:r>
      <w:r w:rsidR="00771EDA" w:rsidRPr="00771EDA">
        <w:br/>
      </w:r>
      <w:r w:rsidRPr="00DF301C">
        <w:t>по альтернативным методам периодической проверки</w:t>
      </w:r>
    </w:p>
    <w:p w:rsidR="00DF301C" w:rsidRPr="00DF301C" w:rsidRDefault="00DF301C" w:rsidP="00771EDA">
      <w:pPr>
        <w:pStyle w:val="HChGR"/>
      </w:pPr>
      <w:r w:rsidRPr="00DF301C">
        <w:tab/>
      </w:r>
      <w:r w:rsidRPr="00DF301C">
        <w:tab/>
        <w:t>Альтернативные методы периодической проверки сосудов под давлением многоразового использования</w:t>
      </w:r>
    </w:p>
    <w:p w:rsidR="00DF301C" w:rsidRPr="00DF301C" w:rsidRDefault="00DF301C" w:rsidP="00771EDA">
      <w:pPr>
        <w:pStyle w:val="H1GR"/>
      </w:pPr>
      <w:r w:rsidRPr="00DF301C">
        <w:tab/>
      </w:r>
      <w:r w:rsidRPr="00DF301C">
        <w:tab/>
        <w:t xml:space="preserve">Передано Европейской ассоциацией по сжиженным нефтяным газам (ЕАСНГ) от имени неофициальной рабочей группы </w:t>
      </w:r>
      <w:r w:rsidR="00771EDA" w:rsidRPr="00771EDA">
        <w:br/>
      </w:r>
      <w:r w:rsidRPr="00DF301C">
        <w:t>по альтернативным методам периодической проверки</w:t>
      </w:r>
      <w:r w:rsidR="00771EDA" w:rsidRPr="00771EDA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="00771EDA" w:rsidRPr="00771EDA">
        <w:rPr>
          <w:b w:val="0"/>
        </w:rPr>
        <w:t xml:space="preserve"> </w:t>
      </w:r>
      <w:r w:rsidR="00771EDA" w:rsidRPr="00771EDA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  <w:r w:rsidRPr="00DF301C">
        <w:t xml:space="preserve"> </w:t>
      </w:r>
    </w:p>
    <w:p w:rsidR="00DF301C" w:rsidRPr="00DF301C" w:rsidRDefault="00DF301C" w:rsidP="00771EDA">
      <w:pPr>
        <w:pStyle w:val="HChGR"/>
      </w:pPr>
      <w:r w:rsidRPr="00DF301C">
        <w:br w:type="page"/>
      </w:r>
      <w:r w:rsidRPr="00DF301C">
        <w:lastRenderedPageBreak/>
        <w:tab/>
      </w:r>
      <w:r w:rsidRPr="00DF301C">
        <w:tab/>
        <w:t>Введение</w:t>
      </w:r>
    </w:p>
    <w:p w:rsidR="00DF301C" w:rsidRPr="00DF301C" w:rsidRDefault="00DF301C" w:rsidP="00DF301C">
      <w:pPr>
        <w:pStyle w:val="SingleTxtGR"/>
      </w:pPr>
      <w:r w:rsidRPr="00DF301C">
        <w:t>1.</w:t>
      </w:r>
      <w:r w:rsidRPr="00DF301C">
        <w:tab/>
        <w:t>Неофициальная рабочая группа по альтернативным методам периодической проверки сосудов под давлением многоразового использования провела совещание в Париже 3 и 4 мая 2017 года. В ходе этого совещания обсуждались вызывающие озабоченность вопросы, которые были подняты на сессии Совместного совещания, состоявшейся весной 2017 года в Берне, и были представлены соответствующие пояснения. В предложении 1 содержится предложение по новому общему положению, а в предложении 2 – предложение по специальному положению по баллонам с формованным защитным кожухом (OMC).</w:t>
      </w:r>
    </w:p>
    <w:p w:rsidR="00DF301C" w:rsidRPr="00DF301C" w:rsidRDefault="00DF301C" w:rsidP="00DF301C">
      <w:pPr>
        <w:pStyle w:val="SingleTxtGR"/>
        <w:rPr>
          <w:i/>
        </w:rPr>
      </w:pPr>
      <w:r w:rsidRPr="00DF301C">
        <w:rPr>
          <w:i/>
          <w:iCs/>
        </w:rPr>
        <w:t>Примечание:</w:t>
      </w:r>
      <w:r w:rsidRPr="00DF301C">
        <w:t xml:space="preserve"> </w:t>
      </w:r>
      <w:r w:rsidRPr="00DF301C">
        <w:rPr>
          <w:i/>
          <w:iCs/>
        </w:rPr>
        <w:t>Бывшее предложение 2, содержащееся в неофициальном документе INF.9 (весенняя сессия 2017 года)</w:t>
      </w:r>
      <w:r w:rsidR="00417007">
        <w:rPr>
          <w:i/>
          <w:iCs/>
        </w:rPr>
        <w:t>,</w:t>
      </w:r>
      <w:r w:rsidRPr="00DF301C">
        <w:rPr>
          <w:i/>
          <w:iCs/>
        </w:rPr>
        <w:t xml:space="preserve"> было отложено; см. раздел B части I ниже.</w:t>
      </w:r>
    </w:p>
    <w:p w:rsidR="00DF301C" w:rsidRPr="00DF301C" w:rsidRDefault="00DF301C" w:rsidP="00771EDA">
      <w:pPr>
        <w:pStyle w:val="HChGR"/>
      </w:pPr>
      <w:r w:rsidRPr="00DF301C">
        <w:tab/>
        <w:t>I.</w:t>
      </w:r>
      <w:r w:rsidRPr="00DF301C">
        <w:tab/>
        <w:t>Обсуждение</w:t>
      </w:r>
    </w:p>
    <w:p w:rsidR="00DF301C" w:rsidRPr="00DF301C" w:rsidRDefault="00DF301C" w:rsidP="00771EDA">
      <w:pPr>
        <w:pStyle w:val="H1GR"/>
      </w:pPr>
      <w:r w:rsidRPr="00DF301C">
        <w:tab/>
        <w:t>A.</w:t>
      </w:r>
      <w:r w:rsidRPr="00DF301C">
        <w:tab/>
        <w:t>Вызывающие озабоченность</w:t>
      </w:r>
      <w:r w:rsidR="00771EDA">
        <w:t xml:space="preserve"> вопросы в связи </w:t>
      </w:r>
      <w:r w:rsidR="00771EDA" w:rsidRPr="00771EDA">
        <w:br/>
      </w:r>
      <w:r w:rsidR="00771EDA">
        <w:t>с предложением</w:t>
      </w:r>
      <w:r w:rsidR="00771EDA">
        <w:rPr>
          <w:lang w:val="en-US"/>
        </w:rPr>
        <w:t> </w:t>
      </w:r>
      <w:r w:rsidRPr="00DF301C">
        <w:t xml:space="preserve">1, содержащимся в неофициальном </w:t>
      </w:r>
      <w:r w:rsidR="00771EDA" w:rsidRPr="00771EDA">
        <w:br/>
      </w:r>
      <w:r w:rsidRPr="00DF301C">
        <w:t>документе INF.9 (весенняя сессия 2017 года)</w:t>
      </w:r>
    </w:p>
    <w:p w:rsidR="00DF301C" w:rsidRPr="00DF301C" w:rsidRDefault="00DF301C" w:rsidP="00771EDA">
      <w:pPr>
        <w:pStyle w:val="H1GR"/>
      </w:pPr>
      <w:r w:rsidRPr="00DF301C">
        <w:tab/>
        <w:t>1.</w:t>
      </w:r>
      <w:r w:rsidRPr="00DF301C">
        <w:tab/>
        <w:t xml:space="preserve">Сфера применения статистических испытаний (испытания </w:t>
      </w:r>
      <w:r w:rsidR="00771EDA" w:rsidRPr="00771EDA">
        <w:br/>
      </w:r>
      <w:r w:rsidRPr="00DF301C">
        <w:t>и цилиндры)</w:t>
      </w:r>
    </w:p>
    <w:p w:rsidR="00DF301C" w:rsidRPr="00DF301C" w:rsidRDefault="00DF301C" w:rsidP="00DF301C">
      <w:pPr>
        <w:pStyle w:val="SingleTxtGR"/>
        <w:rPr>
          <w:b/>
        </w:rPr>
      </w:pPr>
      <w:r w:rsidRPr="00DF301C">
        <w:t>2.</w:t>
      </w:r>
      <w:r w:rsidRPr="00DF301C">
        <w:tab/>
        <w:t xml:space="preserve">Неофициальная рабочая группа согласилась в том, что проверки, предусмотренные в пункте 6.2.1.6.1 (a–e) ДОПОГ, следует ограничить лишь проверками b) и d). (См. пункт 6.2.3.5.3 предложения 1). </w:t>
      </w:r>
    </w:p>
    <w:p w:rsidR="00DF301C" w:rsidRPr="00DF301C" w:rsidRDefault="00DF301C" w:rsidP="00DF301C">
      <w:pPr>
        <w:pStyle w:val="SingleTxtGR"/>
      </w:pPr>
      <w:r w:rsidRPr="00DF301C">
        <w:t>3.</w:t>
      </w:r>
      <w:r w:rsidRPr="00DF301C">
        <w:tab/>
        <w:t>Группа решила применять более строгий подход в отношении сферы охвата в том, что касается баллонов, и сферы охвата – в том, что касается испытаний (см. предложение 1).</w:t>
      </w:r>
    </w:p>
    <w:p w:rsidR="00DF301C" w:rsidRPr="00DF301C" w:rsidRDefault="00DF301C" w:rsidP="00DF301C">
      <w:pPr>
        <w:pStyle w:val="SingleTxtGR"/>
      </w:pPr>
      <w:r w:rsidRPr="00DF301C">
        <w:t>4.</w:t>
      </w:r>
      <w:r w:rsidRPr="00DF301C">
        <w:tab/>
        <w:t>В связи с замечанием о том, что установление в настоящий момент ограничений в отношении применения приведет в будущем к поступлению запросов об изъятии, предлагается сохранить только проверки b) и d), поскольку именно они являются наиболее вероятными проверками, подлежащими замене.</w:t>
      </w:r>
    </w:p>
    <w:p w:rsidR="00DF301C" w:rsidRPr="00DF301C" w:rsidRDefault="00DF301C" w:rsidP="00771EDA">
      <w:pPr>
        <w:pStyle w:val="H1GR"/>
      </w:pPr>
      <w:r w:rsidRPr="00DF301C">
        <w:tab/>
        <w:t>2.</w:t>
      </w:r>
      <w:r w:rsidRPr="00DF301C">
        <w:tab/>
        <w:t xml:space="preserve">Улучшение формулировки: исключение или замена слова </w:t>
      </w:r>
      <w:r w:rsidR="00771EDA">
        <w:t>«</w:t>
      </w:r>
      <w:r w:rsidRPr="00DF301C">
        <w:t>не</w:t>
      </w:r>
      <w:r w:rsidR="00771EDA">
        <w:t>адекватный»</w:t>
      </w:r>
      <w:r w:rsidRPr="00DF301C">
        <w:t xml:space="preserve"> </w:t>
      </w:r>
    </w:p>
    <w:p w:rsidR="00DF301C" w:rsidRPr="00DF301C" w:rsidRDefault="00DF301C" w:rsidP="00DF301C">
      <w:pPr>
        <w:pStyle w:val="SingleTxtGR"/>
      </w:pPr>
      <w:r w:rsidRPr="00DF301C">
        <w:t>5.</w:t>
      </w:r>
      <w:r w:rsidRPr="00DF301C">
        <w:tab/>
        <w:t>Неофициальная рабочая группа решила исключить это слово.</w:t>
      </w:r>
    </w:p>
    <w:p w:rsidR="00DF301C" w:rsidRPr="00DF301C" w:rsidRDefault="00DF301C" w:rsidP="00771EDA">
      <w:pPr>
        <w:pStyle w:val="H1GR"/>
      </w:pPr>
      <w:r w:rsidRPr="00DF301C">
        <w:tab/>
        <w:t>3.</w:t>
      </w:r>
      <w:r w:rsidRPr="00DF301C">
        <w:tab/>
        <w:t xml:space="preserve">Предложение об увязке альтернативных методов со сроком службы (в силу конструктивных особенностей/срока эксплуатации), а также мониторингом разрушения </w:t>
      </w:r>
    </w:p>
    <w:p w:rsidR="00DF301C" w:rsidRPr="00DF301C" w:rsidRDefault="00DF301C" w:rsidP="00DF301C">
      <w:pPr>
        <w:pStyle w:val="SingleTxtGR"/>
      </w:pPr>
      <w:r w:rsidRPr="00DF301C">
        <w:t>6.</w:t>
      </w:r>
      <w:r w:rsidRPr="00DF301C">
        <w:tab/>
        <w:t>Группа экспертов приняла это предложение (см. предложение 1).</w:t>
      </w:r>
    </w:p>
    <w:p w:rsidR="00DF301C" w:rsidRPr="00DF301C" w:rsidRDefault="00DF301C" w:rsidP="00771EDA">
      <w:pPr>
        <w:pStyle w:val="H1GR"/>
      </w:pPr>
      <w:r w:rsidRPr="00DF301C">
        <w:tab/>
        <w:t>B.</w:t>
      </w:r>
      <w:r w:rsidRPr="00DF301C">
        <w:tab/>
        <w:t>Вызывающие озабоченность</w:t>
      </w:r>
      <w:r w:rsidR="00771EDA">
        <w:t xml:space="preserve"> вопросы в связи </w:t>
      </w:r>
      <w:r w:rsidR="00771EDA">
        <w:br/>
        <w:t>с предложением </w:t>
      </w:r>
      <w:r w:rsidRPr="00DF301C">
        <w:t xml:space="preserve">2, содержащимся в неофициальном </w:t>
      </w:r>
      <w:r w:rsidR="00771EDA">
        <w:br/>
      </w:r>
      <w:r w:rsidRPr="00DF301C">
        <w:t>документе INF.9 (весенняя сессия 2017 года)</w:t>
      </w:r>
    </w:p>
    <w:p w:rsidR="00DF301C" w:rsidRPr="00DF301C" w:rsidRDefault="00DF301C" w:rsidP="00DF301C">
      <w:pPr>
        <w:pStyle w:val="SingleTxtGR"/>
      </w:pPr>
      <w:r w:rsidRPr="00DF301C">
        <w:t>7.</w:t>
      </w:r>
      <w:r w:rsidRPr="00DF301C">
        <w:tab/>
        <w:t>В ходе предыдущей сессии Совместного совещания было высказано мнение о том, что неофициальной рабочей груп</w:t>
      </w:r>
      <w:r w:rsidR="00771EDA">
        <w:t>пе при рассмотрении предложения </w:t>
      </w:r>
      <w:r w:rsidRPr="00DF301C">
        <w:t>2 следует учитывать тот факт, что общее положение должно содержать об</w:t>
      </w:r>
      <w:r w:rsidRPr="00DF301C">
        <w:lastRenderedPageBreak/>
        <w:t>щие принципы и нормативные положения. В то же время все технические детали будут включены в технические руководящие принципы.</w:t>
      </w:r>
    </w:p>
    <w:p w:rsidR="00DF301C" w:rsidRPr="00DF301C" w:rsidRDefault="00DF301C" w:rsidP="00DF301C">
      <w:pPr>
        <w:pStyle w:val="SingleTxtGR"/>
      </w:pPr>
      <w:r w:rsidRPr="00DF301C">
        <w:t>8.</w:t>
      </w:r>
      <w:r w:rsidRPr="00DF301C">
        <w:tab/>
        <w:t>После обсуждения неофициальная рабочая группа сделала вывод о том, что предложение 2 не следует отклонять, однако оно еще не готово для представления Совместному совещанию. В этой связи:</w:t>
      </w:r>
    </w:p>
    <w:p w:rsidR="00DF301C" w:rsidRPr="00DF301C" w:rsidRDefault="00771EDA" w:rsidP="00DF301C">
      <w:pPr>
        <w:pStyle w:val="SingleTxtGR"/>
      </w:pPr>
      <w:r>
        <w:tab/>
      </w:r>
      <w:r w:rsidR="00DF301C" w:rsidRPr="00DF301C">
        <w:t>а)</w:t>
      </w:r>
      <w:r w:rsidR="00DF301C" w:rsidRPr="00DF301C">
        <w:tab/>
        <w:t>в предложение 1, содержащееся в настоящем документе, были включены основные общие принципы;</w:t>
      </w:r>
    </w:p>
    <w:p w:rsidR="00DF301C" w:rsidRPr="00DF301C" w:rsidRDefault="00DF301C" w:rsidP="00DF301C">
      <w:pPr>
        <w:pStyle w:val="SingleTxtGR"/>
      </w:pPr>
      <w:r w:rsidRPr="00DF301C">
        <w:tab/>
        <w:t>b)</w:t>
      </w:r>
      <w:r w:rsidRPr="00DF301C">
        <w:tab/>
        <w:t>неофициальная рабочая группа рекомендует:</w:t>
      </w:r>
    </w:p>
    <w:p w:rsidR="00DF301C" w:rsidRPr="00DF301C" w:rsidRDefault="00771EDA" w:rsidP="00771EDA">
      <w:pPr>
        <w:pStyle w:val="SingleTxtGR"/>
        <w:ind w:left="1701" w:hanging="567"/>
      </w:pPr>
      <w:r>
        <w:tab/>
      </w:r>
      <w:r w:rsidR="00DF301C" w:rsidRPr="00DF301C">
        <w:t>i)</w:t>
      </w:r>
      <w:r w:rsidR="00DF301C" w:rsidRPr="00DF301C">
        <w:tab/>
        <w:t>Совместному совещанию предложить соответствующему комитету организации по стандартизации (ЕКС или ИСО, окончательно не определено) рассмотреть вопрос о новом направлении работы, отправной точкой которой станет подготовка технического документа, отражающего аспекты, указанные в предложении 1, на основе текста, содержащегося в предложении 2 неофициального документа INF.9 (весенняя сессия 2017 года); либо</w:t>
      </w:r>
    </w:p>
    <w:p w:rsidR="00DF301C" w:rsidRPr="00DF301C" w:rsidRDefault="00771EDA" w:rsidP="00DF301C">
      <w:pPr>
        <w:pStyle w:val="SingleTxtGR"/>
      </w:pPr>
      <w:r>
        <w:tab/>
      </w:r>
      <w:r w:rsidR="00DF301C" w:rsidRPr="00DF301C">
        <w:t>ii)</w:t>
      </w:r>
      <w:r w:rsidR="00DF301C" w:rsidRPr="00DF301C">
        <w:tab/>
        <w:t>Совместному совещанию определить новый мандат.</w:t>
      </w:r>
    </w:p>
    <w:p w:rsidR="00DF301C" w:rsidRPr="00DF301C" w:rsidRDefault="00DF301C" w:rsidP="00771EDA">
      <w:pPr>
        <w:pStyle w:val="H1GR"/>
      </w:pPr>
      <w:r w:rsidRPr="00DF301C">
        <w:tab/>
        <w:t>C.</w:t>
      </w:r>
      <w:r w:rsidRPr="00DF301C">
        <w:tab/>
        <w:t xml:space="preserve">Вызывающие озабоченность вопросы в связи </w:t>
      </w:r>
      <w:r w:rsidR="00771EDA">
        <w:br/>
      </w:r>
      <w:r w:rsidRPr="00DF301C">
        <w:t xml:space="preserve">с предложением 3, содержащимся в неофициальном </w:t>
      </w:r>
      <w:r w:rsidR="00771EDA">
        <w:br/>
      </w:r>
      <w:r w:rsidRPr="00DF301C">
        <w:t>документе INF.9 (весенняя сессия 2017 года)</w:t>
      </w:r>
    </w:p>
    <w:p w:rsidR="00DF301C" w:rsidRPr="00DF301C" w:rsidRDefault="00DF301C" w:rsidP="00DF301C">
      <w:pPr>
        <w:pStyle w:val="SingleTxtGR"/>
      </w:pPr>
      <w:r w:rsidRPr="00DF301C">
        <w:t>9.</w:t>
      </w:r>
      <w:r w:rsidRPr="00DF301C">
        <w:tab/>
        <w:t>Неофициальная рабочая группа уделила особое внимание конкретному методу, разработанному для баллонов с формованным защитным кожухом, посвятив каждому шагу отдельную презентацию (меры осуществления и контроля).</w:t>
      </w:r>
    </w:p>
    <w:p w:rsidR="00DF301C" w:rsidRPr="00DF301C" w:rsidRDefault="00DF301C" w:rsidP="00DF301C">
      <w:pPr>
        <w:pStyle w:val="SingleTxtGR"/>
      </w:pPr>
      <w:r w:rsidRPr="00DF301C">
        <w:t>10.</w:t>
      </w:r>
      <w:r w:rsidRPr="00DF301C">
        <w:tab/>
        <w:t xml:space="preserve">Рассматривались реальные случаи. Были представлены конкретные пояснения относительно метода статистической оценки результатов испытания на давление разрыва. Был представлен графический метод под названием </w:t>
      </w:r>
      <w:r w:rsidR="00771EDA">
        <w:t>«</w:t>
      </w:r>
      <w:r w:rsidRPr="00DF301C">
        <w:t>Диаграмма технических показателей образцов</w:t>
      </w:r>
      <w:r w:rsidR="00771EDA">
        <w:t>»</w:t>
      </w:r>
      <w:r w:rsidRPr="00DF301C">
        <w:t>, разработанный независимым экспертом в области статистики и сосудов под давлением. Этот метод получения результатов испытания на разрыв был описан в предложении 3 неофициального документа INF.9 и был обновлен в предложении 2 настоящего документа.</w:t>
      </w:r>
    </w:p>
    <w:p w:rsidR="00DF301C" w:rsidRPr="00DF301C" w:rsidRDefault="00DF301C" w:rsidP="00DF301C">
      <w:pPr>
        <w:pStyle w:val="SingleTxtGR"/>
      </w:pPr>
      <w:r w:rsidRPr="00DF301C">
        <w:t>11.</w:t>
      </w:r>
      <w:r w:rsidRPr="00DF301C">
        <w:tab/>
        <w:t xml:space="preserve">В частности, было проверено, чтобы во всех пунктах неизменно употреблялась формулировка </w:t>
      </w:r>
      <w:r w:rsidR="00771EDA">
        <w:t>«</w:t>
      </w:r>
      <w:r w:rsidRPr="00DF301C">
        <w:t>испытания на отслаивание и коррозию</w:t>
      </w:r>
      <w:r w:rsidR="00771EDA">
        <w:t>»</w:t>
      </w:r>
      <w:r w:rsidRPr="00DF301C">
        <w:t xml:space="preserve"> (а не </w:t>
      </w:r>
      <w:r w:rsidR="00771EDA">
        <w:t>«</w:t>
      </w:r>
      <w:r w:rsidRPr="00DF301C">
        <w:t>испытания на коррозию</w:t>
      </w:r>
      <w:r w:rsidR="00771EDA">
        <w:t>»</w:t>
      </w:r>
      <w:r w:rsidRPr="00DF301C">
        <w:t xml:space="preserve">). </w:t>
      </w:r>
    </w:p>
    <w:p w:rsidR="00DF301C" w:rsidRPr="00DF301C" w:rsidRDefault="00DF301C" w:rsidP="00DF301C">
      <w:pPr>
        <w:pStyle w:val="SingleTxtGR"/>
      </w:pPr>
      <w:r w:rsidRPr="00DF301C">
        <w:t>12.</w:t>
      </w:r>
      <w:r w:rsidRPr="00DF301C">
        <w:tab/>
        <w:t>В отношении того, почему объемное расширение не было отобрано в качестве одного из критериев (как давление разрыва), следует отметить, что опытным путем не установлено какой-либо четкой взаимосвязи между объемным расширением и давлением разрыва. Кроме того, опыт свидетельствует о том, что критические результаты по объемному расширению отмечаются уже исходя из критических результатов по давлению разрыва. Поэтому давление разрыва было сохранено в качестве одного из критериев при статистической оценке баллонов OMC (при этом для баллонов других конструкций может быть целесообразным использование критерия объемного расширения).</w:t>
      </w:r>
    </w:p>
    <w:p w:rsidR="00DF301C" w:rsidRPr="00DF301C" w:rsidRDefault="00DF301C" w:rsidP="00DF301C">
      <w:pPr>
        <w:pStyle w:val="SingleTxtGR"/>
      </w:pPr>
      <w:r w:rsidRPr="00DF301C">
        <w:t>13.</w:t>
      </w:r>
      <w:r w:rsidRPr="00DF301C">
        <w:tab/>
        <w:t>Ввиду запроса о представлении пояснений в случаях отклонений от нормального распределения делается ссылка на пункт g) предложения 3 неофициального документа INF.9, где в шаге 1 (Определение характера распределения) рассматриваются отклонения и выбирается правильное распределение для использования.</w:t>
      </w:r>
    </w:p>
    <w:p w:rsidR="00DF301C" w:rsidRPr="00DF301C" w:rsidRDefault="00DF301C" w:rsidP="00771EDA">
      <w:pPr>
        <w:pStyle w:val="HChGR"/>
      </w:pPr>
      <w:r w:rsidRPr="00DF301C">
        <w:lastRenderedPageBreak/>
        <w:tab/>
        <w:t>II.</w:t>
      </w:r>
      <w:r w:rsidRPr="00DF301C">
        <w:tab/>
        <w:t>Предложения</w:t>
      </w:r>
    </w:p>
    <w:p w:rsidR="00DF301C" w:rsidRPr="00DF301C" w:rsidRDefault="00DF301C" w:rsidP="00771EDA">
      <w:pPr>
        <w:pStyle w:val="H1GR"/>
      </w:pPr>
      <w:r w:rsidRPr="00DF301C">
        <w:tab/>
      </w:r>
      <w:r w:rsidRPr="00DF301C">
        <w:tab/>
        <w:t xml:space="preserve">Предложение 1 – Общие положения </w:t>
      </w:r>
      <w:r w:rsidRPr="00DF301C">
        <w:tab/>
      </w:r>
    </w:p>
    <w:p w:rsidR="00DF301C" w:rsidRPr="00DF301C" w:rsidRDefault="00DF301C" w:rsidP="00DF301C">
      <w:pPr>
        <w:pStyle w:val="SingleTxtGR"/>
      </w:pPr>
      <w:r w:rsidRPr="00DF301C">
        <w:t>14.</w:t>
      </w:r>
      <w:r w:rsidRPr="00DF301C">
        <w:tab/>
        <w:t>Добавить новый пункт 6.2.3.5.3 следующего содержания:</w:t>
      </w:r>
    </w:p>
    <w:p w:rsidR="00DF301C" w:rsidRPr="00DF301C" w:rsidRDefault="00771EDA" w:rsidP="00DF301C">
      <w:pPr>
        <w:pStyle w:val="SingleTxtGR"/>
      </w:pPr>
      <w:r>
        <w:t>«</w:t>
      </w:r>
      <w:r w:rsidR="00DF301C" w:rsidRPr="00DF301C">
        <w:t>6.2.3.5.3</w:t>
      </w:r>
      <w:r w:rsidR="00DF301C" w:rsidRPr="00DF301C">
        <w:tab/>
        <w:t>Общие положения, касающиеся замены специального(ых) испытания(ий) для целей периодической пр</w:t>
      </w:r>
      <w:r w:rsidR="00417007">
        <w:t>оверки, предусмотренной пунктом </w:t>
      </w:r>
      <w:r w:rsidR="00DF301C" w:rsidRPr="00DF301C">
        <w:t>6.2.3.5.1.</w:t>
      </w:r>
    </w:p>
    <w:p w:rsidR="00DF301C" w:rsidRPr="00DF301C" w:rsidRDefault="00DF301C" w:rsidP="00DF301C">
      <w:pPr>
        <w:pStyle w:val="SingleTxtGR"/>
        <w:rPr>
          <w:i/>
        </w:rPr>
      </w:pPr>
      <w:r w:rsidRPr="00DF301C">
        <w:t>Настоящий подраздел применяется к типам сосудов под давлением, которые сконструированы и изготовлены в соответствии со стандартами, упомянутыми в разделе 6.2.4.1, или техническими правилами согласно главе 6.2.5 и особенности конструкции которых не позволяют провести испытания, предусмотренные в подпунктах b) и/или d), для целей периодической проверки, предусмотренной в пункте 6.2.1.6.1, либо не позволяют истолковать результаты этих испытаний.</w:t>
      </w:r>
    </w:p>
    <w:p w:rsidR="00DF301C" w:rsidRPr="00DF301C" w:rsidRDefault="00DF301C" w:rsidP="00DF301C">
      <w:pPr>
        <w:pStyle w:val="SingleTxtGR"/>
      </w:pPr>
      <w:r w:rsidRPr="00DF301C">
        <w:t xml:space="preserve">Для таких сосудов под давлением это(и) испытание(я) заменяется(ются) альтернативным(и) методом(ами), соответствующим(и) конкретным типам конструкции, указанным в пунктах 6.2.3.X.Y и подробно изложенным в специальном положении XYZ или стандарте, на который сделана ссылка в WWW. </w:t>
      </w:r>
    </w:p>
    <w:p w:rsidR="00DF301C" w:rsidRPr="00DF301C" w:rsidRDefault="004D78D9" w:rsidP="00DF301C">
      <w:pPr>
        <w:pStyle w:val="SingleTxtGR"/>
      </w:pPr>
      <w:r w:rsidRPr="00DF301C">
        <w:t>Данный(ые) альтернативный(ые) метод(ы) должен</w:t>
      </w:r>
      <w:r>
        <w:t xml:space="preserve"> </w:t>
      </w:r>
      <w:r w:rsidRPr="00DF301C">
        <w:t>(должны) содержать указание на то, какое(ие) испытание(ия) для целей периодической проверки согласно подпунктам b) и/или d) пункта 6.2.1.6.1 подлежит(ат) замене.</w:t>
      </w:r>
    </w:p>
    <w:p w:rsidR="00DF301C" w:rsidRPr="00DF301C" w:rsidRDefault="004D78D9" w:rsidP="00DF301C">
      <w:pPr>
        <w:pStyle w:val="SingleTxtGR"/>
      </w:pPr>
      <w:r w:rsidRPr="00DF301C">
        <w:t>Альтернативный(ые) метод(ы) в сочетании с сохраненными проверками, предусмотренными в подпунктах a)–e) пункта 6.2.1.6.1, должен</w:t>
      </w:r>
      <w:r>
        <w:t xml:space="preserve"> </w:t>
      </w:r>
      <w:r w:rsidRPr="00DF301C">
        <w:t>(должны) обеспечивать уровень безопасности, по меньшей мере эквивалентный уровню безопасности для сосудов под давлением, имеющих аналогичный размер и использование, которые подвергаются периодической проверке в полном соответствии с положениями пункта 6.2.3.5.1.</w:t>
      </w:r>
    </w:p>
    <w:p w:rsidR="00DF301C" w:rsidRPr="00DF301C" w:rsidRDefault="004D78D9" w:rsidP="00DF301C">
      <w:pPr>
        <w:pStyle w:val="SingleTxtGR"/>
      </w:pPr>
      <w:r w:rsidRPr="00DF301C">
        <w:t>Кроме того, альтернативный(ые) метод(ы) должен</w:t>
      </w:r>
      <w:r>
        <w:t xml:space="preserve"> </w:t>
      </w:r>
      <w:r w:rsidRPr="00DF301C">
        <w:t>(должны) содержать все следующие элементы:</w:t>
      </w:r>
    </w:p>
    <w:p w:rsidR="00DF301C" w:rsidRPr="00DF301C" w:rsidRDefault="00DF301C" w:rsidP="00771EDA">
      <w:pPr>
        <w:pStyle w:val="Bullet1GR"/>
      </w:pPr>
      <w:r w:rsidRPr="00DF301C">
        <w:t>описание соответствующих типов сосудов под давлением;</w:t>
      </w:r>
    </w:p>
    <w:p w:rsidR="00DF301C" w:rsidRPr="00DF301C" w:rsidRDefault="00DF301C" w:rsidP="00771EDA">
      <w:pPr>
        <w:pStyle w:val="Bullet1GR"/>
      </w:pPr>
      <w:r w:rsidRPr="00DF301C">
        <w:t>процедура проведения испытания(ий);</w:t>
      </w:r>
    </w:p>
    <w:p w:rsidR="00DF301C" w:rsidRPr="00DF301C" w:rsidRDefault="00DF301C" w:rsidP="00771EDA">
      <w:pPr>
        <w:pStyle w:val="Bullet1GR"/>
      </w:pPr>
      <w:r w:rsidRPr="00DF301C">
        <w:t xml:space="preserve">технические требования к критериям приемлемости; </w:t>
      </w:r>
    </w:p>
    <w:p w:rsidR="00DF301C" w:rsidRPr="00DF301C" w:rsidRDefault="00DF301C" w:rsidP="00771EDA">
      <w:pPr>
        <w:pStyle w:val="Bullet1GR"/>
      </w:pPr>
      <w:r w:rsidRPr="00DF301C">
        <w:t>описание мер, которые должны быть приняты по отношению к отклоненным сосудам под давлением.</w:t>
      </w:r>
    </w:p>
    <w:p w:rsidR="00DF301C" w:rsidRPr="00DF301C" w:rsidRDefault="00DF301C" w:rsidP="00DF301C">
      <w:pPr>
        <w:pStyle w:val="SingleTxtGR"/>
      </w:pPr>
      <w:r w:rsidRPr="00DF301C">
        <w:t>6.2.3.5.3.1</w:t>
      </w:r>
      <w:r w:rsidRPr="00DF301C">
        <w:tab/>
        <w:t>Неразрушающий контроль в качестве альтернативного метода</w:t>
      </w:r>
    </w:p>
    <w:p w:rsidR="00DF301C" w:rsidRPr="00DF301C" w:rsidRDefault="00DF301C" w:rsidP="00DF301C">
      <w:pPr>
        <w:pStyle w:val="SingleTxtGR"/>
      </w:pPr>
      <w:r w:rsidRPr="00DF301C">
        <w:t>Испытание(ия), указанное(ые) в пункте 6.2.3.5.3, должно(ы) быть дополнено(ы) и/или заменено(ы) одним (или более) методом(ами) неразрушающего контроля, которому(ым) подлежит каждый отдельный сосуд под давлением.</w:t>
      </w:r>
    </w:p>
    <w:p w:rsidR="00DF301C" w:rsidRPr="00DF301C" w:rsidRDefault="00DF301C" w:rsidP="00DF301C">
      <w:pPr>
        <w:pStyle w:val="SingleTxtGR"/>
      </w:pPr>
      <w:r w:rsidRPr="00DF301C">
        <w:t>6.2.3.5.3.2</w:t>
      </w:r>
      <w:r w:rsidRPr="00DF301C">
        <w:tab/>
        <w:t>Разрушающий контроль в качестве альтернативного метода</w:t>
      </w:r>
    </w:p>
    <w:p w:rsidR="00DF301C" w:rsidRPr="00DF301C" w:rsidRDefault="00DF301C" w:rsidP="00DF301C">
      <w:pPr>
        <w:pStyle w:val="SingleTxtGR"/>
      </w:pPr>
      <w:r w:rsidRPr="00DF301C">
        <w:t>В том случае, если эквивалентный уровень безопасности невозможно обеспечить ни одним из методов неразрушающего контроля, то испытание(ия), указанное(ые) в пункте 6.2.3.5.3, должно(ы) быть дополнено(ы) и/или заменено(ы) одним (или более) методом(ами) разрушающего контроля в сочетании с его статистической оценкой.</w:t>
      </w:r>
    </w:p>
    <w:p w:rsidR="00DF301C" w:rsidRPr="00DF301C" w:rsidRDefault="00DF301C" w:rsidP="00DF301C">
      <w:pPr>
        <w:pStyle w:val="SingleTxtGR"/>
      </w:pPr>
      <w:r w:rsidRPr="00DF301C">
        <w:t>В дополнение к элементам, указанным в пункте 6.2.3.5.3, подробный метод разрушающего контроля должен содержать следующие элементы:</w:t>
      </w:r>
    </w:p>
    <w:p w:rsidR="00DF301C" w:rsidRPr="00DF301C" w:rsidRDefault="00DF301C" w:rsidP="00771EDA">
      <w:pPr>
        <w:pStyle w:val="Bullet1GR"/>
      </w:pPr>
      <w:r w:rsidRPr="00DF301C">
        <w:t>описание соответствующей совокупности сосудов под давлением;</w:t>
      </w:r>
    </w:p>
    <w:p w:rsidR="00DF301C" w:rsidRPr="00DF301C" w:rsidRDefault="00DF301C" w:rsidP="00771EDA">
      <w:pPr>
        <w:pStyle w:val="Bullet1GR"/>
      </w:pPr>
      <w:r w:rsidRPr="00DF301C">
        <w:t>процедура произвольного отбора отдельных сосудов под давлением, которые должны быть подвергнуты испытанию;</w:t>
      </w:r>
    </w:p>
    <w:p w:rsidR="00DF301C" w:rsidRPr="00DF301C" w:rsidRDefault="00DF301C" w:rsidP="00771EDA">
      <w:pPr>
        <w:pStyle w:val="Bullet1GR"/>
      </w:pPr>
      <w:r w:rsidRPr="00DF301C">
        <w:lastRenderedPageBreak/>
        <w:t xml:space="preserve">процедура статистической оценки результатов испытаний; </w:t>
      </w:r>
    </w:p>
    <w:p w:rsidR="00DF301C" w:rsidRPr="00DF301C" w:rsidRDefault="00DF301C" w:rsidP="00771EDA">
      <w:pPr>
        <w:pStyle w:val="Bullet1GR"/>
      </w:pPr>
      <w:r w:rsidRPr="00DF301C">
        <w:t xml:space="preserve">требования к периодичности проведения выборочной проверки по методу разрушающего контроля; </w:t>
      </w:r>
    </w:p>
    <w:p w:rsidR="00DF301C" w:rsidRPr="00DF301C" w:rsidRDefault="00DF301C" w:rsidP="00771EDA">
      <w:pPr>
        <w:pStyle w:val="Bullet1GR"/>
      </w:pPr>
      <w:r w:rsidRPr="00DF301C">
        <w:t>описание мер, которые должны быть приняты в случае, если критерии приемлемости соблюдены, но при этом наблюдается ухудшение свойств материалов, которое влияет на безопасность (что может быть признаком окончания срока службы);</w:t>
      </w:r>
    </w:p>
    <w:p w:rsidR="00DF301C" w:rsidRPr="00DF301C" w:rsidRDefault="00DF301C" w:rsidP="00771EDA">
      <w:pPr>
        <w:pStyle w:val="Bullet1GR"/>
      </w:pPr>
      <w:r w:rsidRPr="00DF301C">
        <w:t>статистическая оценка уровня безопасности, определенного с помощью альтернативного метода</w:t>
      </w:r>
      <w:r w:rsidR="00771EDA">
        <w:t>»</w:t>
      </w:r>
      <w:r w:rsidRPr="00DF301C">
        <w:t>.</w:t>
      </w:r>
    </w:p>
    <w:p w:rsidR="00DF301C" w:rsidRPr="00DF301C" w:rsidRDefault="00DF301C" w:rsidP="00771EDA">
      <w:pPr>
        <w:pStyle w:val="H1GR"/>
      </w:pPr>
      <w:r w:rsidRPr="00DF301C">
        <w:tab/>
      </w:r>
      <w:r w:rsidRPr="00DF301C">
        <w:tab/>
        <w:t>Предложение 2 – Альтернативный метод периодической проверки для баллонов с формованным защитным кожухом</w:t>
      </w:r>
    </w:p>
    <w:p w:rsidR="00DF301C" w:rsidRPr="00DF301C" w:rsidRDefault="00DF301C" w:rsidP="00DF301C">
      <w:pPr>
        <w:pStyle w:val="SingleTxtGR"/>
      </w:pPr>
      <w:r w:rsidRPr="00DF301C">
        <w:t>15.</w:t>
      </w:r>
      <w:r w:rsidRPr="00DF301C">
        <w:tab/>
        <w:t>Добавить в раздел 1.2.1 следующее определение:</w:t>
      </w:r>
    </w:p>
    <w:p w:rsidR="00DF301C" w:rsidRPr="00DF301C" w:rsidRDefault="00771EDA" w:rsidP="00DF301C">
      <w:pPr>
        <w:pStyle w:val="SingleTxtGR"/>
      </w:pPr>
      <w:r>
        <w:t>«</w:t>
      </w:r>
      <w:r w:rsidR="00DF301C" w:rsidRPr="00DF301C">
        <w:rPr>
          <w:i/>
          <w:iCs/>
        </w:rPr>
        <w:t>Баллон с формованным кожухом</w:t>
      </w:r>
      <w:r w:rsidR="00DF301C" w:rsidRPr="00DF301C">
        <w:t xml:space="preserve"> означает баллон, предназначенный для перевозки СНГ, вместимостью по воде не более 13 л, состоящий из сварного стального внутреннего баллона с покрытием и формованным защитным кожухом из пористой пластмассы, который невозможно снять и который связан с внешней поверхностью стенки стального баллона</w:t>
      </w:r>
      <w:r>
        <w:t>»</w:t>
      </w:r>
      <w:r w:rsidR="00DF301C" w:rsidRPr="00DF301C">
        <w:t>.</w:t>
      </w:r>
    </w:p>
    <w:p w:rsidR="00DF301C" w:rsidRPr="00DF301C" w:rsidRDefault="00DF301C" w:rsidP="00DF301C">
      <w:pPr>
        <w:pStyle w:val="SingleTxtGR"/>
      </w:pPr>
      <w:r w:rsidRPr="00DF301C">
        <w:t>16.</w:t>
      </w:r>
      <w:r w:rsidRPr="00DF301C">
        <w:tab/>
        <w:t xml:space="preserve">Включить </w:t>
      </w:r>
      <w:r w:rsidR="00771EDA">
        <w:t>«</w:t>
      </w:r>
      <w:r w:rsidRPr="00DF301C">
        <w:t>6XY</w:t>
      </w:r>
      <w:r w:rsidR="00771EDA">
        <w:t>»</w:t>
      </w:r>
      <w:r w:rsidRPr="00DF301C">
        <w:t xml:space="preserve"> в колонку 6 Перечня опасных грузов в позиции для № ООН 1011, 1075, 1965, 1969 и 1978.</w:t>
      </w:r>
    </w:p>
    <w:p w:rsidR="00DF301C" w:rsidRPr="00DF301C" w:rsidRDefault="00DF301C" w:rsidP="00DF301C">
      <w:pPr>
        <w:pStyle w:val="SingleTxtGR"/>
      </w:pPr>
      <w:r w:rsidRPr="00DF301C">
        <w:t>17.</w:t>
      </w:r>
      <w:r w:rsidRPr="00DF301C">
        <w:tab/>
        <w:t>Добавить следующую спецификацию, касающуюся периодической проверки баллонов с формованным защи</w:t>
      </w:r>
      <w:r w:rsidR="00771EDA">
        <w:t>тным кожухом, в новый подраздел </w:t>
      </w:r>
      <w:r w:rsidRPr="00DF301C">
        <w:t>6.2.3.5.4:</w:t>
      </w:r>
    </w:p>
    <w:p w:rsidR="00DF301C" w:rsidRPr="00DF301C" w:rsidRDefault="00771EDA" w:rsidP="00DF301C">
      <w:pPr>
        <w:pStyle w:val="SingleTxtGR"/>
      </w:pPr>
      <w:r>
        <w:t>«</w:t>
      </w:r>
      <w:r w:rsidR="00DF301C" w:rsidRPr="00DF301C">
        <w:t>6.2.3.5.4 Баллоны с формованным защитным кожухом подлежат периодической проверке и испытаниям в соответствии со специальным положением 6XY главы 3.3</w:t>
      </w:r>
      <w:r>
        <w:t>»</w:t>
      </w:r>
      <w:r w:rsidR="00DF301C" w:rsidRPr="00DF301C">
        <w:t>.</w:t>
      </w:r>
    </w:p>
    <w:p w:rsidR="00DF301C" w:rsidRPr="00DF301C" w:rsidRDefault="00DF301C" w:rsidP="00DF301C">
      <w:pPr>
        <w:pStyle w:val="SingleTxtGR"/>
      </w:pPr>
      <w:r w:rsidRPr="00DF301C">
        <w:t>18.</w:t>
      </w:r>
      <w:r w:rsidRPr="00DF301C">
        <w:tab/>
        <w:t>Включить в раздел 3.3.1 следующее специальное положение:</w:t>
      </w:r>
    </w:p>
    <w:p w:rsidR="00DF301C" w:rsidRPr="00DF301C" w:rsidRDefault="00771EDA" w:rsidP="00DF301C">
      <w:pPr>
        <w:pStyle w:val="SingleTxtGR"/>
      </w:pPr>
      <w:r>
        <w:t>«</w:t>
      </w:r>
      <w:r w:rsidR="00DF301C" w:rsidRPr="00DF301C">
        <w:t>6XY Данное специальное положение применяется к периодической проверке баллонов с формованным кожухом в соответствии с определением, приведенным в разделе 1.2.1.</w:t>
      </w:r>
    </w:p>
    <w:p w:rsidR="00DF301C" w:rsidRPr="00DF301C" w:rsidRDefault="00DF301C" w:rsidP="00DF301C">
      <w:pPr>
        <w:pStyle w:val="SingleTxtGR"/>
      </w:pPr>
      <w:r w:rsidRPr="00DF301C">
        <w:t>Баллоны с формованным защитным кожухом подлежат периодической проверке в соответствии с пунктом 6.2.1.6.1 с изменениями на основе следующего альтернативного метода:</w:t>
      </w:r>
    </w:p>
    <w:p w:rsidR="00DF301C" w:rsidRPr="00DF301C" w:rsidRDefault="00DF301C" w:rsidP="00771EDA">
      <w:pPr>
        <w:pStyle w:val="Bullet1GR"/>
      </w:pPr>
      <w:r w:rsidRPr="00DF301C">
        <w:t>заменить испытание, предусмотренное в подпункте d) пункта 6.2.1.6.1, альтернативными разрушающими испытаниями;</w:t>
      </w:r>
    </w:p>
    <w:p w:rsidR="00DF301C" w:rsidRPr="00DF301C" w:rsidRDefault="00DF301C" w:rsidP="00771EDA">
      <w:pPr>
        <w:pStyle w:val="Bullet1GR"/>
      </w:pPr>
      <w:r w:rsidRPr="00DF301C">
        <w:t xml:space="preserve">провести специальные дополнительные разрушающие испытания, соответствующие конструкции баллонов с формованным защитным кожухом. </w:t>
      </w:r>
    </w:p>
    <w:p w:rsidR="00DF301C" w:rsidRPr="00DF301C" w:rsidRDefault="00DF301C" w:rsidP="00DF301C">
      <w:pPr>
        <w:pStyle w:val="SingleTxtGR"/>
      </w:pPr>
      <w:r w:rsidRPr="00DF301C">
        <w:t>Процедуры и требования этого альтернативного метода изложены ниже.</w:t>
      </w:r>
    </w:p>
    <w:p w:rsidR="00DF301C" w:rsidRPr="00DF301C" w:rsidRDefault="00DF301C" w:rsidP="00DF301C">
      <w:pPr>
        <w:pStyle w:val="SingleTxtGR"/>
      </w:pPr>
      <w:r w:rsidRPr="00DF301C">
        <w:t>Альтернативный метод:</w:t>
      </w:r>
    </w:p>
    <w:p w:rsidR="00DF301C" w:rsidRPr="00DF301C" w:rsidRDefault="00771EDA" w:rsidP="00DF301C">
      <w:pPr>
        <w:pStyle w:val="SingleTxtGR"/>
      </w:pPr>
      <w:r>
        <w:tab/>
      </w:r>
      <w:r w:rsidR="00DF301C" w:rsidRPr="00DF301C">
        <w:t>а)</w:t>
      </w:r>
      <w:r w:rsidR="00DF301C" w:rsidRPr="00DF301C">
        <w:tab/>
        <w:t>Общие сведения</w:t>
      </w:r>
    </w:p>
    <w:p w:rsidR="00DF301C" w:rsidRPr="00DF301C" w:rsidRDefault="00771EDA" w:rsidP="00771EDA">
      <w:pPr>
        <w:pStyle w:val="SingleTxtGR"/>
        <w:ind w:left="2268" w:hanging="1134"/>
      </w:pPr>
      <w:r>
        <w:tab/>
      </w:r>
      <w:r>
        <w:tab/>
      </w:r>
      <w:r w:rsidR="00DF301C" w:rsidRPr="00DF301C">
        <w:t>Нижеследующие положения применяются к баллонам с формованным кожухом, произведенным серийно на основе сварных стальных баллонов в соответстви</w:t>
      </w:r>
      <w:r w:rsidR="00417007">
        <w:t>и с требованиями стандарта prEN 1442:2014, стандарта EN </w:t>
      </w:r>
      <w:r w:rsidR="00DF301C" w:rsidRPr="00DF301C">
        <w:t xml:space="preserve">14140:2015 или частей 1−3 приложения I к директиве 84/527/EEC Совета. Конструкция формованного кожуха должна предотвращать попадание воды на внутренний стальной баллон. Преобразование базового стального баллона в баллон с формованным кожухом должно соответствовать </w:t>
      </w:r>
      <w:r w:rsidR="00417007">
        <w:br/>
      </w:r>
      <w:r w:rsidR="00DF301C" w:rsidRPr="00DF301C">
        <w:lastRenderedPageBreak/>
        <w:t>соответствую</w:t>
      </w:r>
      <w:r w:rsidR="00417007">
        <w:t>щим требованиям стандартов prEN 1442:2014 и EN </w:t>
      </w:r>
      <w:r w:rsidR="00DF301C" w:rsidRPr="00DF301C">
        <w:t>14140:2015.</w:t>
      </w:r>
    </w:p>
    <w:p w:rsidR="00DF301C" w:rsidRPr="00DF301C" w:rsidRDefault="00DF301C" w:rsidP="00771EDA">
      <w:pPr>
        <w:pStyle w:val="SingleTxtGR"/>
        <w:ind w:left="2268" w:hanging="1134"/>
      </w:pPr>
      <w:r w:rsidRPr="00DF301C">
        <w:tab/>
      </w:r>
      <w:r w:rsidRPr="00DF301C">
        <w:tab/>
        <w:t>Баллоны с формованным защитным кожухом должны быть оборудованы самозапирающимися клапанами.</w:t>
      </w:r>
    </w:p>
    <w:p w:rsidR="00DF301C" w:rsidRPr="00DF301C" w:rsidRDefault="00771EDA" w:rsidP="00DF301C">
      <w:pPr>
        <w:pStyle w:val="SingleTxtGR"/>
      </w:pPr>
      <w:r>
        <w:tab/>
      </w:r>
      <w:r w:rsidR="00DF301C" w:rsidRPr="00DF301C">
        <w:t>b)</w:t>
      </w:r>
      <w:r w:rsidR="00DF301C" w:rsidRPr="00DF301C">
        <w:tab/>
        <w:t>Основная совокупность</w:t>
      </w:r>
    </w:p>
    <w:p w:rsidR="00DF301C" w:rsidRPr="00DF301C" w:rsidRDefault="00771EDA" w:rsidP="00771EDA">
      <w:pPr>
        <w:pStyle w:val="SingleTxtGR"/>
        <w:ind w:left="2268" w:hanging="1134"/>
      </w:pPr>
      <w:r>
        <w:tab/>
      </w:r>
      <w:r>
        <w:tab/>
      </w:r>
      <w:r w:rsidR="00DF301C" w:rsidRPr="00DF301C">
        <w:t>Под основной совокупностью баллонов с формованным кожухом понимается производственная партия баллонов, изготовленных только одним формовочным изготовителем с использованием внутренних сосудов, изготовленных только одним изготовителем в течение одного календарного года. Такие баллоны должны иметь один и тот же тип конструкции, быть изготовлены из одних и тех же материалов в рамках одних и тех же производственных процессов и принадлежать одной компании/эксплуатироваться одной компанией.</w:t>
      </w:r>
    </w:p>
    <w:p w:rsidR="00DF301C" w:rsidRPr="00DF301C" w:rsidRDefault="00771EDA" w:rsidP="00DF301C">
      <w:pPr>
        <w:pStyle w:val="SingleTxtGR"/>
      </w:pPr>
      <w:r>
        <w:tab/>
      </w:r>
      <w:r w:rsidR="00DF301C" w:rsidRPr="00DF301C">
        <w:t>c)</w:t>
      </w:r>
      <w:r w:rsidR="00DF301C" w:rsidRPr="00DF301C">
        <w:tab/>
        <w:t>Партия</w:t>
      </w:r>
    </w:p>
    <w:p w:rsidR="00DF301C" w:rsidRPr="00DF301C" w:rsidRDefault="00771EDA" w:rsidP="00771EDA">
      <w:pPr>
        <w:pStyle w:val="SingleTxtGR"/>
        <w:ind w:left="2268" w:hanging="1134"/>
      </w:pPr>
      <w:r>
        <w:tab/>
      </w:r>
      <w:r>
        <w:tab/>
      </w:r>
      <w:r w:rsidR="00DF301C" w:rsidRPr="00DF301C">
        <w:t>Основную совокупность баллонов, определенную выше, можно подразделить на конкретные партии баллонов с формованным кожухом, эксплуатируемых различными владельцами.</w:t>
      </w:r>
    </w:p>
    <w:p w:rsidR="00DF301C" w:rsidRPr="00DF301C" w:rsidRDefault="00771EDA" w:rsidP="00DF301C">
      <w:pPr>
        <w:pStyle w:val="SingleTxtGR"/>
      </w:pPr>
      <w:r>
        <w:tab/>
      </w:r>
      <w:r w:rsidR="00DF301C" w:rsidRPr="00DF301C">
        <w:t>d)</w:t>
      </w:r>
      <w:r w:rsidR="00DF301C" w:rsidRPr="00DF301C">
        <w:tab/>
        <w:t>Отслеживаемость</w:t>
      </w:r>
    </w:p>
    <w:p w:rsidR="00DF301C" w:rsidRPr="00DF301C" w:rsidRDefault="00771EDA" w:rsidP="00771EDA">
      <w:pPr>
        <w:pStyle w:val="SingleTxtGR"/>
        <w:ind w:left="2268" w:hanging="1134"/>
      </w:pPr>
      <w:r>
        <w:tab/>
      </w:r>
      <w:r>
        <w:tab/>
      </w:r>
      <w:r w:rsidR="00DF301C" w:rsidRPr="00DF301C">
        <w:t>Маркировка внутренних стальных баллонов, наносимая согласно пункту 6.2.3.9, должна быть воспроизведена на формованном кожухе. Кроме того, каждый баллон с формованным защитным кожухом должен быть снабжен индивидуальным устойчивым к воздействию электронным устройством идентификации. Точные технические характеристики баллонов с формованным защитным кожухом должны регистрироваться владельцем в централизованной базе данных. Такую базу данных используют для:</w:t>
      </w:r>
    </w:p>
    <w:p w:rsidR="00DF301C" w:rsidRPr="00DF301C" w:rsidRDefault="00DF301C" w:rsidP="00A257D4">
      <w:pPr>
        <w:pStyle w:val="Bullet2GR"/>
      </w:pPr>
      <w:r w:rsidRPr="00DF301C">
        <w:t>определения конкретной партии в рамках основной совокупности;</w:t>
      </w:r>
    </w:p>
    <w:p w:rsidR="00DF301C" w:rsidRPr="00DF301C" w:rsidRDefault="00DF301C" w:rsidP="00A257D4">
      <w:pPr>
        <w:pStyle w:val="Bullet2GR"/>
      </w:pPr>
      <w:r w:rsidRPr="00DF301C">
        <w:t xml:space="preserve">предоставления проверяющим органам, заправочным центрам и другим компетентным органам информации о конкретных технических характеристиках баллонов (состоящей по крайней мере из следующего: серийный номер; партия стали, из которой изготовлен баллон; партия защитного кожуха; дата формования); </w:t>
      </w:r>
    </w:p>
    <w:p w:rsidR="00DF301C" w:rsidRPr="00DF301C" w:rsidRDefault="00DF301C" w:rsidP="00A257D4">
      <w:pPr>
        <w:pStyle w:val="Bullet2GR"/>
      </w:pPr>
      <w:r w:rsidRPr="00DF301C">
        <w:t>идентификации баллонов по серийному номеру с использованием электронного устройства в базе данных;</w:t>
      </w:r>
    </w:p>
    <w:p w:rsidR="00DF301C" w:rsidRPr="00DF301C" w:rsidRDefault="00DF301C" w:rsidP="00A257D4">
      <w:pPr>
        <w:pStyle w:val="Bullet2GR"/>
      </w:pPr>
      <w:r w:rsidRPr="00DF301C">
        <w:t>проверки истории конкретного баллона и определения необходимых операций (например, наполнение, отбор в качестве образца, повторное испытание, отзыв);</w:t>
      </w:r>
    </w:p>
    <w:p w:rsidR="00DF301C" w:rsidRPr="00DF301C" w:rsidRDefault="00DF301C" w:rsidP="00A257D4">
      <w:pPr>
        <w:pStyle w:val="Bullet2GR"/>
      </w:pPr>
      <w:r w:rsidRPr="00DF301C">
        <w:t>фиксирования произведенных операций, включая дату и место осуществления таковых.</w:t>
      </w:r>
    </w:p>
    <w:p w:rsidR="00DF301C" w:rsidRPr="00DF301C" w:rsidRDefault="00A257D4" w:rsidP="00A257D4">
      <w:pPr>
        <w:pStyle w:val="SingleTxtGR"/>
        <w:ind w:left="2268" w:hanging="1134"/>
      </w:pPr>
      <w:r>
        <w:tab/>
      </w:r>
      <w:r>
        <w:tab/>
      </w:r>
      <w:r w:rsidR="00DF301C" w:rsidRPr="00DF301C">
        <w:t>Доступ к занесенным в реестр данным должен обеспечиваться владельцем баллонов с формованным кожухом в течение всего срока службы данной партии.</w:t>
      </w:r>
    </w:p>
    <w:p w:rsidR="00DF301C" w:rsidRPr="00DF301C" w:rsidRDefault="00A257D4" w:rsidP="00DF301C">
      <w:pPr>
        <w:pStyle w:val="SingleTxtGR"/>
      </w:pPr>
      <w:r>
        <w:tab/>
      </w:r>
      <w:r w:rsidR="00DF301C" w:rsidRPr="00DF301C">
        <w:t>e)</w:t>
      </w:r>
      <w:r w:rsidR="00DF301C" w:rsidRPr="00DF301C">
        <w:tab/>
        <w:t>Отбор образцов для статистической оценки</w:t>
      </w:r>
    </w:p>
    <w:p w:rsidR="00DF301C" w:rsidRPr="00DF301C" w:rsidRDefault="00A257D4" w:rsidP="00A257D4">
      <w:pPr>
        <w:pStyle w:val="SingleTxtGR"/>
        <w:ind w:left="2268" w:hanging="1134"/>
      </w:pPr>
      <w:r>
        <w:tab/>
      </w:r>
      <w:r>
        <w:tab/>
      </w:r>
      <w:r w:rsidR="00DF301C" w:rsidRPr="00DF301C">
        <w:t>Отбор образцов производится случайным образом среди баллонов той или иной партии в соответствии с определением, приведенным в подпункте с). Число отобранных образов каждой партии должно соответствовать данным таблицы, приведенной в подпункте g).</w:t>
      </w:r>
    </w:p>
    <w:p w:rsidR="00DF301C" w:rsidRPr="00DF301C" w:rsidRDefault="00A257D4" w:rsidP="00A257D4">
      <w:pPr>
        <w:pStyle w:val="SingleTxtGR"/>
        <w:ind w:left="2268" w:hanging="1134"/>
      </w:pPr>
      <w:r>
        <w:tab/>
      </w:r>
      <w:r w:rsidR="00DF301C" w:rsidRPr="00DF301C">
        <w:t>f)</w:t>
      </w:r>
      <w:r w:rsidR="00DF301C" w:rsidRPr="00DF301C">
        <w:tab/>
        <w:t>Процедура разрушающего испытания</w:t>
      </w:r>
    </w:p>
    <w:p w:rsidR="00DF301C" w:rsidRPr="00DF301C" w:rsidRDefault="00A257D4" w:rsidP="00A257D4">
      <w:pPr>
        <w:pStyle w:val="SingleTxtGR"/>
        <w:ind w:left="2268" w:hanging="1134"/>
      </w:pPr>
      <w:r>
        <w:tab/>
      </w:r>
      <w:r>
        <w:tab/>
      </w:r>
      <w:r w:rsidR="00DF301C" w:rsidRPr="00DF301C">
        <w:t>Проводят испытания, предусмотренные в пункте 6.2.1.6.1, за исключением испытания в подпункте d), которое заменяют следующей процедурой испытания:</w:t>
      </w:r>
    </w:p>
    <w:p w:rsidR="00DF301C" w:rsidRPr="00DF301C" w:rsidRDefault="00DF301C" w:rsidP="00A257D4">
      <w:pPr>
        <w:pStyle w:val="Bullet2GR"/>
      </w:pPr>
      <w:r w:rsidRPr="00DF301C">
        <w:t>испытание на разрыв (в соответствии со стандартом EN 1442:2014 или стандартом EN 14140:2015).</w:t>
      </w:r>
    </w:p>
    <w:p w:rsidR="00DF301C" w:rsidRPr="00DF301C" w:rsidRDefault="00DF301C" w:rsidP="00DF301C">
      <w:pPr>
        <w:pStyle w:val="SingleTxtGR"/>
      </w:pPr>
      <w:r w:rsidRPr="00DF301C">
        <w:tab/>
      </w:r>
      <w:r w:rsidRPr="00DF301C">
        <w:tab/>
        <w:t>Кроме того, проводят также следующие испытания:</w:t>
      </w:r>
    </w:p>
    <w:p w:rsidR="00DF301C" w:rsidRPr="00DF301C" w:rsidRDefault="00DF301C" w:rsidP="00A257D4">
      <w:pPr>
        <w:pStyle w:val="Bullet2GR"/>
      </w:pPr>
      <w:r w:rsidRPr="00DF301C">
        <w:t>испытание на адгезию (в соответствии со стандартом EN 1442:2014 или стандартом EN 14140:2015);</w:t>
      </w:r>
    </w:p>
    <w:p w:rsidR="00DF301C" w:rsidRPr="00DF301C" w:rsidRDefault="00DF301C" w:rsidP="00A257D4">
      <w:pPr>
        <w:pStyle w:val="Bullet2GR"/>
      </w:pPr>
      <w:r w:rsidRPr="00DF301C">
        <w:t>испытания на отслаивание и коррозию (в соответствии со стандартом EN ISO 4628-3:2004).</w:t>
      </w:r>
    </w:p>
    <w:p w:rsidR="00DF301C" w:rsidRPr="00DF301C" w:rsidRDefault="00A257D4" w:rsidP="00A257D4">
      <w:pPr>
        <w:pStyle w:val="SingleTxtGR"/>
        <w:ind w:left="2268" w:hanging="1134"/>
      </w:pPr>
      <w:r>
        <w:tab/>
      </w:r>
      <w:r>
        <w:tab/>
      </w:r>
      <w:r w:rsidR="00DF301C" w:rsidRPr="00DF301C">
        <w:t>Испытание на адгезию, испытания на отслаивание и коррозию и испытание на разрыв проводят на каждом соответствующем образце в соответствии с таблицей, приведенной в подпункте g), после первых 3 лет эксплуатации, а затем каждые 5 лет.</w:t>
      </w:r>
    </w:p>
    <w:p w:rsidR="00DF301C" w:rsidRPr="00DF301C" w:rsidRDefault="00A257D4" w:rsidP="00DF301C">
      <w:pPr>
        <w:pStyle w:val="SingleTxtGR"/>
      </w:pPr>
      <w:r>
        <w:tab/>
      </w:r>
      <w:r w:rsidR="00DF301C" w:rsidRPr="00DF301C">
        <w:t>g)</w:t>
      </w:r>
      <w:r w:rsidR="00DF301C" w:rsidRPr="00DF301C">
        <w:tab/>
        <w:t>Статистическая оценка результатов испытаний – Метод и минимальные требования</w:t>
      </w:r>
    </w:p>
    <w:p w:rsidR="00DF301C" w:rsidRPr="00DF301C" w:rsidRDefault="00A257D4" w:rsidP="00A257D4">
      <w:pPr>
        <w:pStyle w:val="SingleTxtGR"/>
        <w:ind w:left="2268" w:hanging="1134"/>
      </w:pPr>
      <w:r>
        <w:tab/>
      </w:r>
      <w:r>
        <w:tab/>
      </w:r>
      <w:r w:rsidR="00DF301C" w:rsidRPr="00DF301C">
        <w:t>Процедура статистической оценки на основе соответствующих критериев отклонения изложена в нижеследующих таблице и пояснениях к ней:</w:t>
      </w:r>
    </w:p>
    <w:p w:rsidR="00DF301C" w:rsidRPr="00DF301C" w:rsidRDefault="00A257D4" w:rsidP="00A257D4">
      <w:pPr>
        <w:pStyle w:val="H23GR"/>
        <w:rPr>
          <w:bCs/>
          <w:lang w:val="en-GB"/>
        </w:rPr>
      </w:pPr>
      <w:r>
        <w:rPr>
          <w:bCs/>
        </w:rPr>
        <w:tab/>
      </w:r>
      <w:r>
        <w:rPr>
          <w:bCs/>
        </w:rPr>
        <w:tab/>
      </w:r>
      <w:r w:rsidR="00DF301C" w:rsidRPr="00DF301C">
        <w:rPr>
          <w:bCs/>
        </w:rPr>
        <w:t>Таблица 1</w:t>
      </w:r>
    </w:p>
    <w:tbl>
      <w:tblPr>
        <w:tblW w:w="9594" w:type="dxa"/>
        <w:tblInd w:w="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9"/>
        <w:gridCol w:w="1276"/>
        <w:gridCol w:w="1671"/>
        <w:gridCol w:w="3544"/>
        <w:gridCol w:w="1984"/>
      </w:tblGrid>
      <w:tr w:rsidR="00DF301C" w:rsidRPr="00A257D4" w:rsidTr="00417007">
        <w:trPr>
          <w:trHeight w:hRule="exact" w:val="1005"/>
          <w:tblHeader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301C" w:rsidRPr="00A257D4" w:rsidRDefault="00DF301C" w:rsidP="00771EDA">
            <w:pPr>
              <w:spacing w:after="120" w:line="276" w:lineRule="auto"/>
              <w:jc w:val="center"/>
              <w:rPr>
                <w:rFonts w:cs="Times New Roman"/>
                <w:b/>
                <w:bCs/>
                <w:szCs w:val="20"/>
              </w:rPr>
            </w:pPr>
            <w:r w:rsidRPr="00A257D4">
              <w:rPr>
                <w:rFonts w:cs="Times New Roman"/>
                <w:b/>
                <w:bCs/>
                <w:szCs w:val="20"/>
              </w:rPr>
              <w:t>Интервал испытания</w:t>
            </w:r>
            <w:r w:rsidRPr="00A257D4">
              <w:rPr>
                <w:rFonts w:cs="Times New Roman"/>
                <w:szCs w:val="20"/>
              </w:rPr>
              <w:t xml:space="preserve"> (годы)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01C" w:rsidRPr="00A257D4" w:rsidRDefault="00DF301C" w:rsidP="00771EDA">
            <w:pPr>
              <w:spacing w:after="120" w:line="276" w:lineRule="auto"/>
              <w:jc w:val="center"/>
              <w:rPr>
                <w:rFonts w:cs="Times New Roman"/>
                <w:b/>
                <w:bCs/>
                <w:szCs w:val="20"/>
              </w:rPr>
            </w:pPr>
            <w:r w:rsidRPr="00A257D4">
              <w:rPr>
                <w:rFonts w:cs="Times New Roman"/>
                <w:b/>
                <w:bCs/>
                <w:szCs w:val="20"/>
              </w:rPr>
              <w:t xml:space="preserve">Тип </w:t>
            </w:r>
            <w:r w:rsidR="00A257D4">
              <w:rPr>
                <w:rFonts w:cs="Times New Roman"/>
                <w:b/>
                <w:bCs/>
                <w:szCs w:val="20"/>
              </w:rPr>
              <w:br/>
            </w:r>
            <w:r w:rsidRPr="00A257D4">
              <w:rPr>
                <w:rFonts w:cs="Times New Roman"/>
                <w:b/>
                <w:bCs/>
                <w:szCs w:val="20"/>
              </w:rPr>
              <w:t>испытания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01C" w:rsidRPr="00A257D4" w:rsidRDefault="00DF301C" w:rsidP="00771EDA">
            <w:pPr>
              <w:spacing w:after="120" w:line="276" w:lineRule="auto"/>
              <w:jc w:val="center"/>
              <w:rPr>
                <w:rFonts w:cs="Times New Roman"/>
                <w:b/>
                <w:bCs/>
                <w:szCs w:val="20"/>
              </w:rPr>
            </w:pPr>
            <w:r w:rsidRPr="00A257D4">
              <w:rPr>
                <w:rFonts w:cs="Times New Roman"/>
                <w:b/>
                <w:bCs/>
                <w:szCs w:val="20"/>
              </w:rPr>
              <w:t>Стандарт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01C" w:rsidRPr="00A257D4" w:rsidRDefault="00DF301C" w:rsidP="00771EDA">
            <w:pPr>
              <w:spacing w:after="120" w:line="276" w:lineRule="auto"/>
              <w:jc w:val="center"/>
              <w:rPr>
                <w:rFonts w:cs="Times New Roman"/>
                <w:b/>
                <w:bCs/>
                <w:szCs w:val="20"/>
              </w:rPr>
            </w:pPr>
            <w:r w:rsidRPr="00A257D4">
              <w:rPr>
                <w:rFonts w:cs="Times New Roman"/>
                <w:b/>
                <w:bCs/>
                <w:szCs w:val="20"/>
              </w:rPr>
              <w:t>Критерии отклонения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01C" w:rsidRPr="00A257D4" w:rsidRDefault="00DF301C" w:rsidP="00771EDA">
            <w:pPr>
              <w:spacing w:after="120" w:line="276" w:lineRule="auto"/>
              <w:jc w:val="center"/>
              <w:rPr>
                <w:rFonts w:cs="Times New Roman"/>
                <w:b/>
                <w:bCs/>
                <w:szCs w:val="20"/>
              </w:rPr>
            </w:pPr>
            <w:r w:rsidRPr="00A257D4">
              <w:rPr>
                <w:rFonts w:cs="Times New Roman"/>
                <w:b/>
                <w:bCs/>
                <w:szCs w:val="20"/>
              </w:rPr>
              <w:t>Количество отобранных из партии баллонов</w:t>
            </w:r>
          </w:p>
        </w:tc>
      </w:tr>
      <w:tr w:rsidR="00DF301C" w:rsidRPr="00A257D4" w:rsidTr="00417007">
        <w:trPr>
          <w:trHeight w:val="1839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DF301C" w:rsidRPr="00A257D4" w:rsidRDefault="00DF301C" w:rsidP="00A257D4">
            <w:pPr>
              <w:pStyle w:val="Tabletext9"/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A257D4">
              <w:rPr>
                <w:rFonts w:ascii="Times New Roman" w:hAnsi="Times New Roman"/>
                <w:sz w:val="20"/>
                <w:lang w:val="ru-RU"/>
              </w:rPr>
              <w:t>После трех лет эксплуатации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F301C" w:rsidRPr="00A257D4" w:rsidRDefault="00DF301C" w:rsidP="00A257D4">
            <w:pPr>
              <w:pStyle w:val="Tabletext9"/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A257D4">
              <w:rPr>
                <w:rFonts w:ascii="Times New Roman" w:hAnsi="Times New Roman"/>
                <w:sz w:val="20"/>
                <w:lang w:val="ru-RU"/>
              </w:rPr>
              <w:t>Испытание на разрыв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F301C" w:rsidRPr="00A257D4" w:rsidRDefault="00DF301C" w:rsidP="00A257D4">
            <w:pPr>
              <w:pStyle w:val="Tabletext9"/>
              <w:jc w:val="left"/>
              <w:rPr>
                <w:rFonts w:ascii="Times New Roman" w:hAnsi="Times New Roman"/>
                <w:sz w:val="20"/>
              </w:rPr>
            </w:pPr>
            <w:r w:rsidRPr="00A257D4">
              <w:rPr>
                <w:rFonts w:ascii="Times New Roman" w:hAnsi="Times New Roman"/>
                <w:sz w:val="20"/>
                <w:lang w:val="ru-RU"/>
              </w:rPr>
              <w:t>EN 1442:2014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F301C" w:rsidRPr="00A257D4" w:rsidRDefault="00DF301C" w:rsidP="00771EDA">
            <w:pPr>
              <w:spacing w:after="120" w:line="276" w:lineRule="auto"/>
              <w:jc w:val="center"/>
              <w:rPr>
                <w:rFonts w:cs="Times New Roman"/>
                <w:szCs w:val="20"/>
              </w:rPr>
            </w:pPr>
            <w:r w:rsidRPr="00A257D4">
              <w:rPr>
                <w:rFonts w:cs="Times New Roman"/>
                <w:szCs w:val="20"/>
              </w:rPr>
              <w:t>Репрезентативная точка давления разрыва для образца должна располагаться выше нижнего предела толерантного интервала на Диаграмме технических показателей образцов</w:t>
            </w:r>
          </w:p>
          <w:p w:rsidR="00DF301C" w:rsidRPr="00A257D4" w:rsidRDefault="00DF301C" w:rsidP="00771EDA">
            <w:pPr>
              <w:spacing w:after="120" w:line="276" w:lineRule="auto"/>
              <w:jc w:val="center"/>
              <w:rPr>
                <w:rFonts w:cs="Times New Roman"/>
                <w:szCs w:val="20"/>
              </w:rPr>
            </w:pPr>
            <w:r w:rsidRPr="00A257D4">
              <w:rPr>
                <w:rFonts w:cs="Times New Roman"/>
                <w:szCs w:val="20"/>
              </w:rPr>
              <w:t>Ω</w:t>
            </w:r>
            <w:r w:rsidRPr="00417007">
              <w:rPr>
                <w:rFonts w:cs="Times New Roman"/>
                <w:szCs w:val="20"/>
                <w:vertAlign w:val="subscript"/>
              </w:rPr>
              <w:t>m</w:t>
            </w:r>
            <w:r w:rsidRPr="00A257D4">
              <w:rPr>
                <w:rFonts w:cs="Times New Roman"/>
                <w:szCs w:val="20"/>
              </w:rPr>
              <w:t xml:space="preserve"> ≥ 1 + Ω</w:t>
            </w:r>
            <w:r w:rsidRPr="00417007">
              <w:rPr>
                <w:rFonts w:cs="Times New Roman"/>
                <w:szCs w:val="20"/>
                <w:vertAlign w:val="subscript"/>
              </w:rPr>
              <w:t>s</w:t>
            </w:r>
            <w:r w:rsidRPr="00A257D4">
              <w:rPr>
                <w:rFonts w:cs="Times New Roman"/>
                <w:szCs w:val="20"/>
              </w:rPr>
              <w:t xml:space="preserve"> × k3(n;p;1- α) (*)</w:t>
            </w:r>
          </w:p>
          <w:p w:rsidR="00DF301C" w:rsidRPr="00A257D4" w:rsidRDefault="00DF301C" w:rsidP="00771EDA">
            <w:pPr>
              <w:spacing w:after="120" w:line="276" w:lineRule="auto"/>
              <w:jc w:val="center"/>
              <w:rPr>
                <w:rFonts w:cs="Times New Roman"/>
                <w:szCs w:val="20"/>
              </w:rPr>
            </w:pPr>
            <w:r w:rsidRPr="00A257D4">
              <w:rPr>
                <w:rFonts w:cs="Times New Roman"/>
                <w:szCs w:val="20"/>
              </w:rPr>
              <w:t>-</w:t>
            </w:r>
          </w:p>
          <w:p w:rsidR="00DF301C" w:rsidRPr="00A257D4" w:rsidRDefault="00DF301C" w:rsidP="00771EDA">
            <w:pPr>
              <w:spacing w:after="120" w:line="276" w:lineRule="auto"/>
              <w:jc w:val="center"/>
              <w:rPr>
                <w:rFonts w:cs="Times New Roman"/>
                <w:szCs w:val="20"/>
              </w:rPr>
            </w:pPr>
            <w:r w:rsidRPr="00A257D4">
              <w:rPr>
                <w:rFonts w:cs="Times New Roman"/>
                <w:szCs w:val="20"/>
              </w:rPr>
              <w:t>Давление разрыва отдельно взятого образца не должно быть меньше испытательного давления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F301C" w:rsidRPr="00A257D4" w:rsidRDefault="00DF301C" w:rsidP="00771EDA">
            <w:pPr>
              <w:spacing w:after="120" w:line="276" w:lineRule="auto"/>
              <w:jc w:val="center"/>
              <w:rPr>
                <w:rFonts w:cs="Times New Roman"/>
                <w:szCs w:val="20"/>
              </w:rPr>
            </w:pPr>
            <w:r w:rsidRPr="00A257D4">
              <w:rPr>
                <w:rFonts w:cs="Times New Roman"/>
                <w:position w:val="-12"/>
                <w:szCs w:val="20"/>
              </w:rPr>
              <w:object w:dxaOrig="4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19.5pt" o:ole="">
                  <v:imagedata r:id="rId8" o:title=""/>
                </v:shape>
                <o:OLEObject Type="Embed" ProgID="Equation.3" ShapeID="_x0000_i1025" DrawAspect="Content" ObjectID="_1563346968" r:id="rId9"/>
              </w:object>
            </w:r>
            <w:r w:rsidRPr="00A257D4">
              <w:rPr>
                <w:rFonts w:cs="Times New Roman"/>
                <w:szCs w:val="20"/>
              </w:rPr>
              <w:t xml:space="preserve"> или </w:t>
            </w:r>
            <w:r w:rsidRPr="00A257D4">
              <w:rPr>
                <w:rFonts w:cs="Times New Roman"/>
                <w:i/>
                <w:iCs/>
                <w:szCs w:val="20"/>
              </w:rPr>
              <w:t>Q/</w:t>
            </w:r>
            <w:r w:rsidRPr="00417007">
              <w:rPr>
                <w:rFonts w:cs="Times New Roman"/>
                <w:iCs/>
                <w:szCs w:val="20"/>
              </w:rPr>
              <w:t>200</w:t>
            </w:r>
            <w:r w:rsidRPr="00A257D4">
              <w:rPr>
                <w:rFonts w:cs="Times New Roman"/>
                <w:szCs w:val="20"/>
              </w:rPr>
              <w:t xml:space="preserve">, </w:t>
            </w:r>
            <w:r w:rsidR="00417007">
              <w:rPr>
                <w:rFonts w:cs="Times New Roman"/>
                <w:szCs w:val="20"/>
              </w:rPr>
              <w:br/>
            </w:r>
            <w:r w:rsidRPr="00A257D4">
              <w:rPr>
                <w:rFonts w:cs="Times New Roman"/>
                <w:szCs w:val="20"/>
              </w:rPr>
              <w:t>в зависимости от того, что ниже,</w:t>
            </w:r>
          </w:p>
          <w:p w:rsidR="00DF301C" w:rsidRPr="00A257D4" w:rsidRDefault="00DF301C" w:rsidP="00771EDA">
            <w:pPr>
              <w:spacing w:after="120" w:line="276" w:lineRule="auto"/>
              <w:jc w:val="center"/>
              <w:rPr>
                <w:rFonts w:cs="Times New Roman"/>
                <w:szCs w:val="20"/>
              </w:rPr>
            </w:pPr>
            <w:r w:rsidRPr="00A257D4">
              <w:rPr>
                <w:rFonts w:cs="Times New Roman"/>
                <w:szCs w:val="20"/>
              </w:rPr>
              <w:t xml:space="preserve">и </w:t>
            </w:r>
          </w:p>
          <w:p w:rsidR="00DF301C" w:rsidRPr="00A257D4" w:rsidRDefault="00DF301C" w:rsidP="00771EDA">
            <w:pPr>
              <w:spacing w:after="120" w:line="276" w:lineRule="auto"/>
              <w:jc w:val="center"/>
              <w:rPr>
                <w:rFonts w:cs="Times New Roman"/>
                <w:szCs w:val="20"/>
              </w:rPr>
            </w:pPr>
            <w:r w:rsidRPr="00A257D4">
              <w:rPr>
                <w:rFonts w:cs="Times New Roman"/>
                <w:szCs w:val="20"/>
              </w:rPr>
              <w:t>при минимальном количестве в 20 на партию (Q)</w:t>
            </w:r>
          </w:p>
          <w:p w:rsidR="00DF301C" w:rsidRPr="00A257D4" w:rsidRDefault="00DF301C" w:rsidP="00771EDA">
            <w:pPr>
              <w:spacing w:after="120" w:line="276" w:lineRule="auto"/>
              <w:jc w:val="center"/>
              <w:rPr>
                <w:rFonts w:cs="Times New Roman"/>
                <w:szCs w:val="20"/>
                <w:lang w:val="en-IE"/>
              </w:rPr>
            </w:pPr>
          </w:p>
        </w:tc>
      </w:tr>
      <w:tr w:rsidR="00DF301C" w:rsidRPr="00A257D4" w:rsidTr="00417007">
        <w:trPr>
          <w:trHeight w:hRule="exact" w:val="1057"/>
        </w:trPr>
        <w:tc>
          <w:tcPr>
            <w:tcW w:w="111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F301C" w:rsidRPr="00A257D4" w:rsidRDefault="00DF301C" w:rsidP="00A257D4">
            <w:pPr>
              <w:spacing w:after="120" w:line="276" w:lineRule="auto"/>
              <w:rPr>
                <w:rFonts w:cs="Times New Roman"/>
                <w:szCs w:val="20"/>
                <w:lang w:val="en-I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01C" w:rsidRPr="00A257D4" w:rsidRDefault="00DF301C" w:rsidP="00A257D4">
            <w:pPr>
              <w:pStyle w:val="Tabletext9"/>
              <w:jc w:val="left"/>
              <w:rPr>
                <w:rFonts w:ascii="Times New Roman" w:hAnsi="Times New Roman"/>
                <w:sz w:val="20"/>
              </w:rPr>
            </w:pPr>
            <w:r w:rsidRPr="00A257D4">
              <w:rPr>
                <w:rFonts w:ascii="Times New Roman" w:hAnsi="Times New Roman"/>
                <w:sz w:val="20"/>
                <w:lang w:val="ru-RU"/>
              </w:rPr>
              <w:t>Отслаивание и коррозия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01C" w:rsidRPr="00A257D4" w:rsidRDefault="00DF301C" w:rsidP="00A257D4">
            <w:pPr>
              <w:pStyle w:val="Tabletext9"/>
              <w:jc w:val="left"/>
              <w:rPr>
                <w:rFonts w:ascii="Times New Roman" w:hAnsi="Times New Roman"/>
                <w:sz w:val="20"/>
              </w:rPr>
            </w:pPr>
            <w:r w:rsidRPr="00A257D4">
              <w:rPr>
                <w:rFonts w:ascii="Times New Roman" w:hAnsi="Times New Roman"/>
                <w:sz w:val="20"/>
                <w:lang w:val="ru-RU"/>
              </w:rPr>
              <w:t>EN ISO 4628-3:2004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01C" w:rsidRPr="00A257D4" w:rsidRDefault="00DF301C" w:rsidP="00771EDA">
            <w:pPr>
              <w:spacing w:after="120" w:line="276" w:lineRule="auto"/>
              <w:jc w:val="center"/>
              <w:rPr>
                <w:rFonts w:cs="Times New Roman"/>
                <w:szCs w:val="20"/>
              </w:rPr>
            </w:pPr>
            <w:r w:rsidRPr="00A257D4">
              <w:rPr>
                <w:rFonts w:cs="Times New Roman"/>
                <w:szCs w:val="20"/>
              </w:rPr>
              <w:t>Максимальная степень коррозии:</w:t>
            </w:r>
          </w:p>
          <w:p w:rsidR="00DF301C" w:rsidRPr="00A257D4" w:rsidRDefault="00DF301C" w:rsidP="00771EDA">
            <w:pPr>
              <w:spacing w:after="120" w:line="276" w:lineRule="auto"/>
              <w:jc w:val="center"/>
              <w:rPr>
                <w:rFonts w:cs="Times New Roman"/>
                <w:szCs w:val="20"/>
              </w:rPr>
            </w:pPr>
            <w:r w:rsidRPr="00A257D4">
              <w:rPr>
                <w:rFonts w:cs="Times New Roman"/>
                <w:szCs w:val="20"/>
              </w:rPr>
              <w:t>Ri2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01C" w:rsidRPr="00A257D4" w:rsidRDefault="00DF301C" w:rsidP="00771EDA">
            <w:pPr>
              <w:spacing w:after="120" w:line="276" w:lineRule="auto"/>
              <w:jc w:val="center"/>
              <w:rPr>
                <w:rFonts w:cs="Times New Roman"/>
                <w:szCs w:val="20"/>
              </w:rPr>
            </w:pPr>
            <w:r w:rsidRPr="00A257D4">
              <w:rPr>
                <w:rFonts w:cs="Times New Roman"/>
                <w:szCs w:val="20"/>
              </w:rPr>
              <w:t>Q/1 000</w:t>
            </w:r>
          </w:p>
        </w:tc>
      </w:tr>
      <w:tr w:rsidR="00DF301C" w:rsidRPr="00A257D4" w:rsidTr="00417007">
        <w:trPr>
          <w:trHeight w:val="839"/>
        </w:trPr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1C" w:rsidRPr="00A257D4" w:rsidRDefault="00DF301C" w:rsidP="00A257D4">
            <w:pPr>
              <w:pStyle w:val="Tabletext9"/>
              <w:jc w:val="left"/>
              <w:rPr>
                <w:rFonts w:ascii="Times New Roman" w:hAnsi="Times New Roman"/>
                <w:sz w:val="20"/>
                <w:lang w:val="en-I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1C" w:rsidRPr="00A257D4" w:rsidRDefault="00DF301C" w:rsidP="00A257D4">
            <w:pPr>
              <w:pStyle w:val="Tabletext9"/>
              <w:jc w:val="left"/>
              <w:rPr>
                <w:rFonts w:ascii="Times New Roman" w:hAnsi="Times New Roman"/>
                <w:sz w:val="20"/>
              </w:rPr>
            </w:pPr>
            <w:r w:rsidRPr="00A257D4">
              <w:rPr>
                <w:rFonts w:ascii="Times New Roman" w:hAnsi="Times New Roman"/>
                <w:sz w:val="20"/>
                <w:lang w:val="ru-RU"/>
              </w:rPr>
              <w:t>Адгезия полиуретана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1C" w:rsidRPr="00A257D4" w:rsidRDefault="00DF301C" w:rsidP="00A257D4">
            <w:pPr>
              <w:pStyle w:val="Tabletext9"/>
              <w:jc w:val="left"/>
              <w:rPr>
                <w:rFonts w:ascii="Times New Roman" w:hAnsi="Times New Roman"/>
                <w:sz w:val="20"/>
              </w:rPr>
            </w:pPr>
            <w:r w:rsidRPr="00A257D4">
              <w:rPr>
                <w:rFonts w:ascii="Times New Roman" w:hAnsi="Times New Roman"/>
                <w:sz w:val="20"/>
                <w:lang w:val="ru-RU"/>
              </w:rPr>
              <w:t>ISO 2859-1:2000</w:t>
            </w:r>
          </w:p>
          <w:p w:rsidR="00DF301C" w:rsidRPr="00A257D4" w:rsidRDefault="00DF301C" w:rsidP="00A257D4">
            <w:pPr>
              <w:pStyle w:val="Tabletext9"/>
              <w:jc w:val="left"/>
              <w:rPr>
                <w:rFonts w:ascii="Times New Roman" w:hAnsi="Times New Roman"/>
                <w:sz w:val="20"/>
              </w:rPr>
            </w:pPr>
            <w:r w:rsidRPr="00A257D4">
              <w:rPr>
                <w:rFonts w:ascii="Times New Roman" w:hAnsi="Times New Roman"/>
                <w:sz w:val="20"/>
                <w:lang w:val="ru-RU"/>
              </w:rPr>
              <w:t>EN 1442:2014</w:t>
            </w:r>
          </w:p>
          <w:p w:rsidR="00DF301C" w:rsidRPr="00A257D4" w:rsidRDefault="00DF301C" w:rsidP="00A257D4">
            <w:pPr>
              <w:pStyle w:val="Tabletext9"/>
              <w:jc w:val="left"/>
              <w:rPr>
                <w:rFonts w:ascii="Times New Roman" w:hAnsi="Times New Roman"/>
                <w:sz w:val="20"/>
              </w:rPr>
            </w:pPr>
            <w:r w:rsidRPr="00A257D4">
              <w:rPr>
                <w:rFonts w:ascii="Times New Roman" w:hAnsi="Times New Roman"/>
                <w:sz w:val="20"/>
                <w:lang w:val="ru-RU"/>
              </w:rPr>
              <w:t>EN 14140:2015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1C" w:rsidRPr="00A257D4" w:rsidRDefault="00417007" w:rsidP="00771EDA">
            <w:pPr>
              <w:spacing w:after="120" w:line="276" w:lineRule="auto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Значение адгезии &gt; 0,5 Н/мм</w:t>
            </w:r>
            <w:r w:rsidR="00DF301C" w:rsidRPr="00A257D4">
              <w:rPr>
                <w:rFonts w:cs="Times New Roman"/>
                <w:szCs w:val="20"/>
              </w:rPr>
              <w:t>²,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1C" w:rsidRPr="00A257D4" w:rsidRDefault="00DF301C" w:rsidP="00771EDA">
            <w:pPr>
              <w:spacing w:after="120" w:line="276" w:lineRule="auto"/>
              <w:jc w:val="center"/>
              <w:rPr>
                <w:rFonts w:cs="Times New Roman"/>
                <w:position w:val="-12"/>
                <w:szCs w:val="20"/>
              </w:rPr>
            </w:pPr>
            <w:r w:rsidRPr="00A257D4">
              <w:rPr>
                <w:rFonts w:cs="Times New Roman"/>
                <w:szCs w:val="20"/>
              </w:rPr>
              <w:t xml:space="preserve">См. стандарт </w:t>
            </w:r>
            <w:r w:rsidR="00417007">
              <w:rPr>
                <w:rFonts w:cs="Times New Roman"/>
                <w:szCs w:val="20"/>
              </w:rPr>
              <w:br/>
            </w:r>
            <w:r w:rsidRPr="00A257D4">
              <w:rPr>
                <w:rFonts w:cs="Times New Roman"/>
                <w:szCs w:val="20"/>
              </w:rPr>
              <w:t>ISO 2859-1:2000 применительно к Q/1</w:t>
            </w:r>
            <w:r w:rsidR="00417007">
              <w:rPr>
                <w:rFonts w:cs="Times New Roman"/>
                <w:szCs w:val="20"/>
              </w:rPr>
              <w:t xml:space="preserve"> </w:t>
            </w:r>
            <w:r w:rsidRPr="00A257D4">
              <w:rPr>
                <w:rFonts w:cs="Times New Roman"/>
                <w:szCs w:val="20"/>
              </w:rPr>
              <w:t>000</w:t>
            </w:r>
          </w:p>
        </w:tc>
      </w:tr>
      <w:tr w:rsidR="00DF301C" w:rsidRPr="00A257D4" w:rsidTr="00417007">
        <w:trPr>
          <w:trHeight w:val="1100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01C" w:rsidRPr="00417007" w:rsidRDefault="00A257D4" w:rsidP="00417007">
            <w:pPr>
              <w:pStyle w:val="Tabletext9"/>
              <w:keepNext/>
              <w:jc w:val="lef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Затем каждые пять </w:t>
            </w:r>
            <w:r w:rsidR="00DF301C" w:rsidRPr="00A257D4">
              <w:rPr>
                <w:rFonts w:ascii="Times New Roman" w:hAnsi="Times New Roman"/>
                <w:sz w:val="20"/>
                <w:lang w:val="ru-RU"/>
              </w:rPr>
              <w:t>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01C" w:rsidRPr="00417007" w:rsidRDefault="00DF301C" w:rsidP="00417007">
            <w:pPr>
              <w:pStyle w:val="Tabletext9"/>
              <w:keepNext/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A257D4">
              <w:rPr>
                <w:rFonts w:ascii="Times New Roman" w:hAnsi="Times New Roman"/>
                <w:sz w:val="20"/>
                <w:lang w:val="ru-RU"/>
              </w:rPr>
              <w:t>Испытание на разрыв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01C" w:rsidRPr="00417007" w:rsidRDefault="00DF301C" w:rsidP="00417007">
            <w:pPr>
              <w:pStyle w:val="Tabletext9"/>
              <w:keepNext/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A257D4">
              <w:rPr>
                <w:rFonts w:ascii="Times New Roman" w:hAnsi="Times New Roman"/>
                <w:sz w:val="20"/>
                <w:lang w:val="ru-RU"/>
              </w:rPr>
              <w:t>EN 1442:2014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01C" w:rsidRPr="00A257D4" w:rsidRDefault="00DF301C" w:rsidP="00417007">
            <w:pPr>
              <w:keepNext/>
              <w:spacing w:after="120" w:line="276" w:lineRule="auto"/>
              <w:jc w:val="center"/>
              <w:rPr>
                <w:rFonts w:cs="Times New Roman"/>
                <w:szCs w:val="20"/>
              </w:rPr>
            </w:pPr>
            <w:r w:rsidRPr="00A257D4">
              <w:rPr>
                <w:rFonts w:cs="Times New Roman"/>
                <w:szCs w:val="20"/>
              </w:rPr>
              <w:t xml:space="preserve">Репрезентативная точка давления разрыва для образца должна располагаться выше нижнего предела толерантного интервала на Диаграмме технических показателей образцов </w:t>
            </w:r>
          </w:p>
          <w:p w:rsidR="00DF301C" w:rsidRPr="00A257D4" w:rsidRDefault="00DF301C" w:rsidP="00417007">
            <w:pPr>
              <w:keepNext/>
              <w:spacing w:after="120" w:line="276" w:lineRule="auto"/>
              <w:jc w:val="center"/>
              <w:rPr>
                <w:rFonts w:cs="Times New Roman"/>
                <w:szCs w:val="20"/>
              </w:rPr>
            </w:pPr>
            <w:r w:rsidRPr="00A257D4">
              <w:rPr>
                <w:rFonts w:cs="Times New Roman"/>
                <w:szCs w:val="20"/>
              </w:rPr>
              <w:t>Ω</w:t>
            </w:r>
            <w:r w:rsidRPr="00417007">
              <w:rPr>
                <w:rFonts w:cs="Times New Roman"/>
                <w:szCs w:val="20"/>
                <w:vertAlign w:val="subscript"/>
              </w:rPr>
              <w:t>m</w:t>
            </w:r>
            <w:r w:rsidRPr="00A257D4">
              <w:rPr>
                <w:rFonts w:cs="Times New Roman"/>
                <w:szCs w:val="20"/>
              </w:rPr>
              <w:t xml:space="preserve"> ≥ 1 + Ω</w:t>
            </w:r>
            <w:r w:rsidRPr="00417007">
              <w:rPr>
                <w:rFonts w:cs="Times New Roman"/>
                <w:szCs w:val="20"/>
                <w:vertAlign w:val="subscript"/>
              </w:rPr>
              <w:t>s</w:t>
            </w:r>
            <w:r w:rsidRPr="00A257D4">
              <w:rPr>
                <w:rFonts w:cs="Times New Roman"/>
                <w:szCs w:val="20"/>
              </w:rPr>
              <w:t xml:space="preserve"> × k3(n;p;1- α) (*)</w:t>
            </w:r>
          </w:p>
          <w:p w:rsidR="00DF301C" w:rsidRPr="00A257D4" w:rsidRDefault="00DF301C" w:rsidP="00417007">
            <w:pPr>
              <w:keepNext/>
              <w:spacing w:after="120" w:line="276" w:lineRule="auto"/>
              <w:jc w:val="center"/>
              <w:rPr>
                <w:rFonts w:cs="Times New Roman"/>
                <w:szCs w:val="20"/>
              </w:rPr>
            </w:pPr>
            <w:r w:rsidRPr="00A257D4">
              <w:rPr>
                <w:rFonts w:cs="Times New Roman"/>
                <w:szCs w:val="20"/>
              </w:rPr>
              <w:t>-</w:t>
            </w:r>
          </w:p>
          <w:p w:rsidR="00DF301C" w:rsidRPr="00A257D4" w:rsidRDefault="00DF301C" w:rsidP="00417007">
            <w:pPr>
              <w:keepNext/>
              <w:spacing w:after="120" w:line="276" w:lineRule="auto"/>
              <w:jc w:val="center"/>
              <w:rPr>
                <w:rFonts w:cs="Times New Roman"/>
                <w:szCs w:val="20"/>
              </w:rPr>
            </w:pPr>
            <w:r w:rsidRPr="00A257D4">
              <w:rPr>
                <w:rFonts w:cs="Times New Roman"/>
                <w:szCs w:val="20"/>
              </w:rPr>
              <w:t>Давление разрыва отдельно взятого образца не должно быть меньше испытательного давления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1C" w:rsidRPr="00A257D4" w:rsidRDefault="00DF301C" w:rsidP="00417007">
            <w:pPr>
              <w:keepNext/>
              <w:spacing w:after="120" w:line="276" w:lineRule="auto"/>
              <w:jc w:val="center"/>
              <w:rPr>
                <w:rFonts w:cs="Times New Roman"/>
                <w:szCs w:val="20"/>
              </w:rPr>
            </w:pPr>
            <w:r w:rsidRPr="00A257D4">
              <w:rPr>
                <w:rFonts w:cs="Times New Roman"/>
                <w:position w:val="-12"/>
                <w:szCs w:val="20"/>
              </w:rPr>
              <w:object w:dxaOrig="480" w:dyaOrig="380">
                <v:shape id="_x0000_i1026" type="#_x0000_t75" style="width:23.25pt;height:19.5pt" o:ole="">
                  <v:imagedata r:id="rId10" o:title=""/>
                </v:shape>
                <o:OLEObject Type="Embed" ProgID="Equation.3" ShapeID="_x0000_i1026" DrawAspect="Content" ObjectID="_1563346969" r:id="rId11"/>
              </w:object>
            </w:r>
            <w:r w:rsidRPr="00A257D4">
              <w:rPr>
                <w:rFonts w:cs="Times New Roman"/>
                <w:szCs w:val="20"/>
              </w:rPr>
              <w:t xml:space="preserve"> или </w:t>
            </w:r>
            <w:r w:rsidRPr="00A257D4">
              <w:rPr>
                <w:rFonts w:cs="Times New Roman"/>
                <w:i/>
                <w:iCs/>
                <w:szCs w:val="20"/>
              </w:rPr>
              <w:t>Q/</w:t>
            </w:r>
            <w:r w:rsidRPr="00417007">
              <w:rPr>
                <w:rFonts w:cs="Times New Roman"/>
                <w:iCs/>
                <w:szCs w:val="20"/>
              </w:rPr>
              <w:t>100</w:t>
            </w:r>
            <w:r w:rsidRPr="00417007">
              <w:rPr>
                <w:rFonts w:cs="Times New Roman"/>
                <w:szCs w:val="20"/>
              </w:rPr>
              <w:t>,</w:t>
            </w:r>
            <w:r w:rsidRPr="00A257D4">
              <w:rPr>
                <w:rFonts w:cs="Times New Roman"/>
                <w:szCs w:val="20"/>
              </w:rPr>
              <w:t xml:space="preserve"> </w:t>
            </w:r>
            <w:r w:rsidR="00417007">
              <w:rPr>
                <w:rFonts w:cs="Times New Roman"/>
                <w:szCs w:val="20"/>
              </w:rPr>
              <w:br/>
            </w:r>
            <w:r w:rsidRPr="00A257D4">
              <w:rPr>
                <w:rFonts w:cs="Times New Roman"/>
                <w:szCs w:val="20"/>
              </w:rPr>
              <w:t xml:space="preserve">в зависимости от того, что ниже, </w:t>
            </w:r>
          </w:p>
          <w:p w:rsidR="00DF301C" w:rsidRPr="00A257D4" w:rsidRDefault="00DF301C" w:rsidP="00417007">
            <w:pPr>
              <w:keepNext/>
              <w:spacing w:after="120" w:line="276" w:lineRule="auto"/>
              <w:jc w:val="center"/>
              <w:rPr>
                <w:rFonts w:cs="Times New Roman"/>
                <w:szCs w:val="20"/>
              </w:rPr>
            </w:pPr>
            <w:r w:rsidRPr="00A257D4">
              <w:rPr>
                <w:rFonts w:cs="Times New Roman"/>
                <w:szCs w:val="20"/>
              </w:rPr>
              <w:t xml:space="preserve">и </w:t>
            </w:r>
          </w:p>
          <w:p w:rsidR="00DF301C" w:rsidRPr="00A257D4" w:rsidRDefault="00DF301C" w:rsidP="00417007">
            <w:pPr>
              <w:keepNext/>
              <w:spacing w:after="120" w:line="276" w:lineRule="auto"/>
              <w:jc w:val="center"/>
              <w:rPr>
                <w:rFonts w:cs="Times New Roman"/>
                <w:szCs w:val="20"/>
              </w:rPr>
            </w:pPr>
            <w:r w:rsidRPr="00A257D4">
              <w:rPr>
                <w:rFonts w:cs="Times New Roman"/>
                <w:szCs w:val="20"/>
              </w:rPr>
              <w:t>при минимальном количестве в 40 на партию (Q)</w:t>
            </w:r>
          </w:p>
          <w:p w:rsidR="00DF301C" w:rsidRPr="00A257D4" w:rsidRDefault="00DF301C" w:rsidP="00417007">
            <w:pPr>
              <w:keepNext/>
              <w:spacing w:after="120" w:line="276" w:lineRule="auto"/>
              <w:jc w:val="center"/>
              <w:rPr>
                <w:rFonts w:cs="Times New Roman"/>
                <w:szCs w:val="20"/>
                <w:lang w:val="en-IE"/>
              </w:rPr>
            </w:pPr>
          </w:p>
        </w:tc>
      </w:tr>
      <w:tr w:rsidR="00DF301C" w:rsidRPr="00A257D4" w:rsidTr="00417007">
        <w:trPr>
          <w:trHeight w:hRule="exact" w:val="957"/>
        </w:trPr>
        <w:tc>
          <w:tcPr>
            <w:tcW w:w="111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F301C" w:rsidRPr="00A257D4" w:rsidRDefault="00DF301C" w:rsidP="00771EDA">
            <w:pPr>
              <w:spacing w:after="120" w:line="276" w:lineRule="auto"/>
              <w:rPr>
                <w:rFonts w:cs="Times New Roman"/>
                <w:szCs w:val="20"/>
                <w:lang w:val="en-I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01C" w:rsidRPr="00A257D4" w:rsidRDefault="00DF301C" w:rsidP="00A257D4">
            <w:pPr>
              <w:pStyle w:val="Tabletext9"/>
              <w:jc w:val="left"/>
              <w:rPr>
                <w:rFonts w:ascii="Times New Roman" w:hAnsi="Times New Roman"/>
                <w:sz w:val="20"/>
              </w:rPr>
            </w:pPr>
            <w:r w:rsidRPr="00A257D4">
              <w:rPr>
                <w:rFonts w:ascii="Times New Roman" w:hAnsi="Times New Roman"/>
                <w:sz w:val="20"/>
                <w:lang w:val="ru-RU"/>
              </w:rPr>
              <w:t>Отслаивание и коррозия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01C" w:rsidRPr="00A257D4" w:rsidRDefault="00DF301C" w:rsidP="00A257D4">
            <w:pPr>
              <w:pStyle w:val="Tabletext9"/>
              <w:jc w:val="left"/>
              <w:rPr>
                <w:rFonts w:ascii="Times New Roman" w:hAnsi="Times New Roman"/>
                <w:sz w:val="20"/>
              </w:rPr>
            </w:pPr>
            <w:r w:rsidRPr="00A257D4">
              <w:rPr>
                <w:rFonts w:ascii="Times New Roman" w:hAnsi="Times New Roman"/>
                <w:sz w:val="20"/>
                <w:lang w:val="ru-RU"/>
              </w:rPr>
              <w:t>EN ISO 4628-3:2004</w:t>
            </w:r>
          </w:p>
          <w:p w:rsidR="00DF301C" w:rsidRPr="00A257D4" w:rsidRDefault="00DF301C" w:rsidP="00A257D4">
            <w:pPr>
              <w:pStyle w:val="Tabletext9"/>
              <w:jc w:val="left"/>
              <w:rPr>
                <w:rFonts w:ascii="Times New Roman" w:hAnsi="Times New Roman"/>
                <w:sz w:val="20"/>
                <w:lang w:val="en-I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01C" w:rsidRPr="00A257D4" w:rsidRDefault="00DF301C" w:rsidP="00771EDA">
            <w:pPr>
              <w:spacing w:after="120" w:line="276" w:lineRule="auto"/>
              <w:jc w:val="center"/>
              <w:rPr>
                <w:rFonts w:cs="Times New Roman"/>
                <w:szCs w:val="20"/>
              </w:rPr>
            </w:pPr>
            <w:r w:rsidRPr="00A257D4">
              <w:rPr>
                <w:rFonts w:cs="Times New Roman"/>
                <w:szCs w:val="20"/>
              </w:rPr>
              <w:t>Максимальная степень коррозии:</w:t>
            </w:r>
          </w:p>
          <w:p w:rsidR="00DF301C" w:rsidRPr="00A257D4" w:rsidRDefault="00DF301C" w:rsidP="00771EDA">
            <w:pPr>
              <w:spacing w:after="120" w:line="276" w:lineRule="auto"/>
              <w:jc w:val="center"/>
              <w:rPr>
                <w:rFonts w:cs="Times New Roman"/>
                <w:szCs w:val="20"/>
              </w:rPr>
            </w:pPr>
            <w:r w:rsidRPr="00A257D4">
              <w:rPr>
                <w:rFonts w:cs="Times New Roman"/>
                <w:szCs w:val="20"/>
              </w:rPr>
              <w:t>Ri2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01C" w:rsidRPr="00A257D4" w:rsidRDefault="00DF301C" w:rsidP="00771EDA">
            <w:pPr>
              <w:spacing w:after="120" w:line="276" w:lineRule="auto"/>
              <w:jc w:val="center"/>
              <w:rPr>
                <w:rFonts w:cs="Times New Roman"/>
                <w:szCs w:val="20"/>
              </w:rPr>
            </w:pPr>
            <w:r w:rsidRPr="00A257D4">
              <w:rPr>
                <w:rFonts w:cs="Times New Roman"/>
                <w:szCs w:val="20"/>
              </w:rPr>
              <w:t>Q/1 000</w:t>
            </w:r>
          </w:p>
        </w:tc>
      </w:tr>
      <w:tr w:rsidR="00DF301C" w:rsidRPr="00A257D4" w:rsidTr="00417007">
        <w:trPr>
          <w:trHeight w:hRule="exact" w:val="1097"/>
        </w:trPr>
        <w:tc>
          <w:tcPr>
            <w:tcW w:w="111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01C" w:rsidRPr="00A257D4" w:rsidRDefault="00DF301C" w:rsidP="00771EDA">
            <w:pPr>
              <w:spacing w:after="120" w:line="276" w:lineRule="auto"/>
              <w:rPr>
                <w:rFonts w:cs="Times New Roman"/>
                <w:szCs w:val="20"/>
                <w:lang w:val="en-I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1C" w:rsidRPr="00A257D4" w:rsidRDefault="00DF301C" w:rsidP="00A257D4">
            <w:pPr>
              <w:pStyle w:val="Tabletext9"/>
              <w:jc w:val="left"/>
              <w:rPr>
                <w:rFonts w:ascii="Times New Roman" w:hAnsi="Times New Roman"/>
                <w:sz w:val="20"/>
              </w:rPr>
            </w:pPr>
            <w:r w:rsidRPr="00A257D4">
              <w:rPr>
                <w:rFonts w:ascii="Times New Roman" w:hAnsi="Times New Roman"/>
                <w:sz w:val="20"/>
                <w:lang w:val="ru-RU"/>
              </w:rPr>
              <w:t>Адгезия полиуретана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1C" w:rsidRPr="00A257D4" w:rsidRDefault="00DF301C" w:rsidP="00A257D4">
            <w:pPr>
              <w:pStyle w:val="Tabletext9"/>
              <w:jc w:val="left"/>
              <w:rPr>
                <w:rFonts w:ascii="Times New Roman" w:hAnsi="Times New Roman"/>
                <w:sz w:val="20"/>
              </w:rPr>
            </w:pPr>
            <w:r w:rsidRPr="00A257D4">
              <w:rPr>
                <w:rFonts w:ascii="Times New Roman" w:hAnsi="Times New Roman"/>
                <w:sz w:val="20"/>
                <w:lang w:val="ru-RU"/>
              </w:rPr>
              <w:t>ISO 2859-1:2000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1C" w:rsidRPr="00A257D4" w:rsidRDefault="00DF301C" w:rsidP="00417007">
            <w:pPr>
              <w:spacing w:after="120" w:line="276" w:lineRule="auto"/>
              <w:jc w:val="center"/>
              <w:rPr>
                <w:rFonts w:cs="Times New Roman"/>
                <w:szCs w:val="20"/>
              </w:rPr>
            </w:pPr>
            <w:r w:rsidRPr="00A257D4">
              <w:rPr>
                <w:rFonts w:cs="Times New Roman"/>
                <w:szCs w:val="20"/>
              </w:rPr>
              <w:t>Значение адгезии &gt; 0,5 Н/мм²,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1C" w:rsidRPr="00A257D4" w:rsidRDefault="00DF301C" w:rsidP="00771EDA">
            <w:pPr>
              <w:spacing w:after="120" w:line="276" w:lineRule="auto"/>
              <w:jc w:val="center"/>
              <w:rPr>
                <w:rFonts w:cs="Times New Roman"/>
                <w:position w:val="-12"/>
                <w:szCs w:val="20"/>
              </w:rPr>
            </w:pPr>
            <w:r w:rsidRPr="00A257D4">
              <w:rPr>
                <w:rFonts w:cs="Times New Roman"/>
                <w:szCs w:val="20"/>
              </w:rPr>
              <w:t xml:space="preserve">См. стандарт </w:t>
            </w:r>
            <w:r w:rsidR="00417007">
              <w:rPr>
                <w:rFonts w:cs="Times New Roman"/>
                <w:szCs w:val="20"/>
              </w:rPr>
              <w:br/>
            </w:r>
            <w:r w:rsidRPr="00A257D4">
              <w:rPr>
                <w:rFonts w:cs="Times New Roman"/>
                <w:szCs w:val="20"/>
              </w:rPr>
              <w:t>ISO 2859-1:2000 применительно к Q/1</w:t>
            </w:r>
            <w:r w:rsidR="00417007">
              <w:rPr>
                <w:rFonts w:cs="Times New Roman"/>
                <w:szCs w:val="20"/>
              </w:rPr>
              <w:t> </w:t>
            </w:r>
            <w:r w:rsidRPr="00A257D4">
              <w:rPr>
                <w:rFonts w:cs="Times New Roman"/>
                <w:szCs w:val="20"/>
              </w:rPr>
              <w:t>000</w:t>
            </w:r>
          </w:p>
        </w:tc>
      </w:tr>
    </w:tbl>
    <w:p w:rsidR="00DF301C" w:rsidRPr="00A257D4" w:rsidRDefault="00DF301C" w:rsidP="004D78D9">
      <w:pPr>
        <w:pStyle w:val="SingleTxtGR"/>
        <w:spacing w:before="120" w:line="220" w:lineRule="exact"/>
        <w:ind w:left="0" w:right="-1" w:firstLine="142"/>
        <w:jc w:val="left"/>
        <w:rPr>
          <w:sz w:val="18"/>
          <w:szCs w:val="18"/>
        </w:rPr>
      </w:pPr>
      <w:r w:rsidRPr="00A257D4">
        <w:rPr>
          <w:sz w:val="18"/>
          <w:szCs w:val="18"/>
        </w:rPr>
        <w:t xml:space="preserve">(*) </w:t>
      </w:r>
      <w:r w:rsidR="00A257D4">
        <w:rPr>
          <w:sz w:val="18"/>
          <w:szCs w:val="18"/>
        </w:rPr>
        <w:t xml:space="preserve"> </w:t>
      </w:r>
      <w:r w:rsidRPr="00A257D4">
        <w:rPr>
          <w:sz w:val="18"/>
          <w:szCs w:val="18"/>
        </w:rPr>
        <w:t xml:space="preserve">Репрезентативная точка давления разрыва для образца: процедура оценки результатов испытаний </w:t>
      </w:r>
      <w:r w:rsidR="004D78D9">
        <w:rPr>
          <w:sz w:val="18"/>
          <w:szCs w:val="18"/>
        </w:rPr>
        <w:br/>
      </w:r>
      <w:r w:rsidRPr="00A257D4">
        <w:rPr>
          <w:sz w:val="18"/>
          <w:szCs w:val="18"/>
        </w:rPr>
        <w:t>с использованием Диаграммы технических показателей образцов:</w:t>
      </w:r>
    </w:p>
    <w:p w:rsidR="00DF301C" w:rsidRPr="00DF301C" w:rsidRDefault="00DF301C" w:rsidP="00DF301C">
      <w:pPr>
        <w:pStyle w:val="SingleTxtGR"/>
      </w:pPr>
      <w:r w:rsidRPr="00DF301C">
        <w:t>Шаг 1:</w:t>
      </w:r>
      <w:r w:rsidR="004D78D9">
        <w:t xml:space="preserve"> </w:t>
      </w:r>
      <w:r w:rsidRPr="00DF301C">
        <w:t xml:space="preserve">Определение репрезентативной точки давления разрыва (РТДР) для образца </w:t>
      </w:r>
    </w:p>
    <w:p w:rsidR="00DF301C" w:rsidRPr="00DF301C" w:rsidRDefault="00DF301C" w:rsidP="00DF301C">
      <w:pPr>
        <w:pStyle w:val="SingleTxtGR"/>
      </w:pPr>
      <w:r w:rsidRPr="00DF301C">
        <w:t>Каждому образцу соответствует точка на диаграмме, в качестве одной из координат которой берут среднее арифметическое значение результатов испытаний на разрыв по данному образцу, а в качестве другой координаты – значение стандартного отклонения результатов испытаний на разрыв по данному образцу, в каждом случае с учетом соответствующего испытательного давления.</w:t>
      </w:r>
    </w:p>
    <w:p w:rsidR="00DF301C" w:rsidRPr="00DF301C" w:rsidRDefault="004D78D9" w:rsidP="004D78D9">
      <w:pPr>
        <w:pStyle w:val="SingleTxtGR"/>
        <w:jc w:val="center"/>
        <w:rPr>
          <w:b/>
          <w:bCs/>
        </w:rPr>
      </w:pPr>
      <w:r w:rsidRPr="004D78D9">
        <w:rPr>
          <w:bCs/>
        </w:rPr>
        <w:t xml:space="preserve">РТДР: </w:t>
      </w:r>
      <w:r>
        <w:t>(</w:t>
      </w:r>
      <w:r w:rsidRPr="00DF301C">
        <w:t>Ω</w:t>
      </w:r>
      <w:r w:rsidRPr="00DF301C">
        <w:rPr>
          <w:vertAlign w:val="subscript"/>
          <w:lang w:val="en-GB"/>
        </w:rPr>
        <w:t>m</w:t>
      </w:r>
      <w:r w:rsidRPr="00DF301C">
        <w:rPr>
          <w:vertAlign w:val="subscript"/>
        </w:rPr>
        <w:t xml:space="preserve"> </w:t>
      </w:r>
      <w:r w:rsidRPr="00DF301C">
        <w:t xml:space="preserve">= </w:t>
      </w: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x</m:t>
            </m:r>
          </m:num>
          <m:den>
            <m:r>
              <w:rPr>
                <w:rFonts w:ascii="Cambria Math" w:hAnsi="Cambria Math"/>
                <w:lang w:val="en-GB"/>
              </w:rPr>
              <m:t>PH</m:t>
            </m:r>
          </m:den>
        </m:f>
        <m:r>
          <w:rPr>
            <w:rFonts w:ascii="Cambria Math" w:hAnsi="Cambria Math"/>
          </w:rPr>
          <m:t xml:space="preserve"> </m:t>
        </m:r>
      </m:oMath>
      <w:r w:rsidRPr="00DF301C">
        <w:t>; Ω</w:t>
      </w:r>
      <w:r w:rsidRPr="00DF301C">
        <w:rPr>
          <w:vertAlign w:val="subscript"/>
          <w:lang w:val="en-GB"/>
        </w:rPr>
        <w:t>s</w:t>
      </w:r>
      <w:r w:rsidRPr="00DF301C">
        <w:rPr>
          <w:vertAlign w:val="subscript"/>
        </w:rPr>
        <w:t xml:space="preserve"> </w:t>
      </w:r>
      <w:r w:rsidRPr="00DF301C">
        <w:t xml:space="preserve">= </w:t>
      </w: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s</m:t>
            </m:r>
          </m:num>
          <m:den>
            <m:r>
              <w:rPr>
                <w:rFonts w:ascii="Cambria Math" w:hAnsi="Cambria Math"/>
                <w:lang w:val="en-GB"/>
              </w:rPr>
              <m:t>PH</m:t>
            </m:r>
          </m:den>
        </m:f>
      </m:oMath>
      <w:r w:rsidRPr="00DF301C">
        <w:t xml:space="preserve"> )</w:t>
      </w:r>
      <w:r>
        <w:t>,</w:t>
      </w:r>
    </w:p>
    <w:p w:rsidR="00DF301C" w:rsidRPr="00DF301C" w:rsidRDefault="00DF301C" w:rsidP="00DF301C">
      <w:pPr>
        <w:pStyle w:val="SingleTxtGR"/>
      </w:pPr>
      <w:r w:rsidRPr="00DF301C">
        <w:t>где</w:t>
      </w:r>
    </w:p>
    <w:p w:rsidR="00DF301C" w:rsidRPr="00DF301C" w:rsidRDefault="00DF301C" w:rsidP="00DF301C">
      <w:pPr>
        <w:pStyle w:val="SingleTxtGR"/>
      </w:pPr>
      <w:r w:rsidRPr="00DF301C">
        <w:t>х – среднее значение для образца;</w:t>
      </w:r>
    </w:p>
    <w:p w:rsidR="00DF301C" w:rsidRPr="00DF301C" w:rsidRDefault="00DF301C" w:rsidP="00DF301C">
      <w:pPr>
        <w:pStyle w:val="SingleTxtGR"/>
      </w:pPr>
      <w:r w:rsidRPr="00DF301C">
        <w:t>s – стандартное отклонение для образца;</w:t>
      </w:r>
    </w:p>
    <w:p w:rsidR="00DF301C" w:rsidRPr="00DF301C" w:rsidRDefault="00DF301C" w:rsidP="00DF301C">
      <w:pPr>
        <w:pStyle w:val="SingleTxtGR"/>
      </w:pPr>
      <w:r w:rsidRPr="00DF301C">
        <w:t>PH – испытательное давление.</w:t>
      </w:r>
    </w:p>
    <w:p w:rsidR="00DF301C" w:rsidRPr="00DF301C" w:rsidRDefault="00DF301C" w:rsidP="00DF301C">
      <w:pPr>
        <w:pStyle w:val="SingleTxtGR"/>
      </w:pPr>
      <w:r w:rsidRPr="00DF301C">
        <w:t>Шаг 2:</w:t>
      </w:r>
      <w:r w:rsidR="004D78D9">
        <w:t xml:space="preserve"> </w:t>
      </w:r>
      <w:r w:rsidRPr="00DF301C">
        <w:t>Нанесение точек на Диаграмму технических показателей образцов</w:t>
      </w:r>
    </w:p>
    <w:p w:rsidR="00DF301C" w:rsidRPr="00DF301C" w:rsidRDefault="00DF301C" w:rsidP="00DF301C">
      <w:pPr>
        <w:pStyle w:val="SingleTxtGR"/>
      </w:pPr>
      <w:r w:rsidRPr="00DF301C">
        <w:t>Каждую РТДР располагают на Диаграмме технических показателей образцов, используя следующие координаты:</w:t>
      </w:r>
    </w:p>
    <w:p w:rsidR="00DF301C" w:rsidRPr="00DF301C" w:rsidRDefault="00DF301C" w:rsidP="004D78D9">
      <w:pPr>
        <w:pStyle w:val="Bullet1GR"/>
      </w:pPr>
      <w:r w:rsidRPr="00DF301C">
        <w:t>абсцисса – стандартное отклонение с учетом испытательного давления (Ω</w:t>
      </w:r>
      <w:r w:rsidRPr="00417007">
        <w:rPr>
          <w:vertAlign w:val="subscript"/>
        </w:rPr>
        <w:t>s</w:t>
      </w:r>
      <w:r w:rsidRPr="00DF301C">
        <w:t>);</w:t>
      </w:r>
    </w:p>
    <w:p w:rsidR="00DF301C" w:rsidRPr="00DF301C" w:rsidRDefault="00DF301C" w:rsidP="004D78D9">
      <w:pPr>
        <w:pStyle w:val="Bullet1GR"/>
      </w:pPr>
      <w:r w:rsidRPr="00DF301C">
        <w:t>ордината – среднее арифметическое с учетом испытательного давления (Ω</w:t>
      </w:r>
      <w:r w:rsidRPr="00417007">
        <w:rPr>
          <w:vertAlign w:val="subscript"/>
        </w:rPr>
        <w:t>m</w:t>
      </w:r>
      <w:r w:rsidRPr="00DF301C">
        <w:t>).</w:t>
      </w:r>
    </w:p>
    <w:p w:rsidR="00DF301C" w:rsidRPr="00DF301C" w:rsidRDefault="00DF301C" w:rsidP="00DF301C">
      <w:pPr>
        <w:pStyle w:val="SingleTxtGR"/>
      </w:pPr>
      <w:r w:rsidRPr="00DF301C">
        <w:t>Шаг 3:</w:t>
      </w:r>
      <w:r w:rsidRPr="00DF301C">
        <w:tab/>
        <w:t>Определение нижнего предела соответствующего толерантного интервала на Диаграмме технических показателей образцов</w:t>
      </w:r>
    </w:p>
    <w:p w:rsidR="00DF301C" w:rsidRPr="00DF301C" w:rsidRDefault="00DF301C" w:rsidP="00DF301C">
      <w:pPr>
        <w:pStyle w:val="SingleTxtGR"/>
      </w:pPr>
      <w:r w:rsidRPr="00DF301C">
        <w:t>Результаты по давлению разрыва должны сначала быть проверены с помощью комбинированного теста (многомерного теста) с использованием уровня значимости α=0,05 (см. пункт 7 стандарта ISO 5479:1997), с тем чтобы определить, является ли распределение результатов по каждому образцу нормальным или ненормальным.</w:t>
      </w:r>
    </w:p>
    <w:p w:rsidR="00DF301C" w:rsidRPr="00DF301C" w:rsidRDefault="00DF301C" w:rsidP="004D78D9">
      <w:pPr>
        <w:pStyle w:val="Bullet1GR"/>
      </w:pPr>
      <w:r w:rsidRPr="00DF301C">
        <w:t>Для нормального распределения процедура определения нижнего предела соответствующего толерантного интервала приведена в шаге 3.1.</w:t>
      </w:r>
    </w:p>
    <w:p w:rsidR="00DF301C" w:rsidRPr="00DF301C" w:rsidRDefault="00DF301C" w:rsidP="004D78D9">
      <w:pPr>
        <w:pStyle w:val="Bullet1GR"/>
      </w:pPr>
      <w:r w:rsidRPr="00DF301C">
        <w:t>Для ненормального распределения процедура определения нижнего предела соответствующего толерантного интервала приведена в шаге 3.2.</w:t>
      </w:r>
    </w:p>
    <w:p w:rsidR="00DF301C" w:rsidRPr="00DF301C" w:rsidRDefault="00DF301C" w:rsidP="00DF301C">
      <w:pPr>
        <w:pStyle w:val="SingleTxtGR"/>
      </w:pPr>
      <w:r w:rsidRPr="00DF301C">
        <w:t>Шаг 3.1: Нижний предел толерантного интервала для результатов в случае нормального распределения</w:t>
      </w:r>
    </w:p>
    <w:p w:rsidR="00DF301C" w:rsidRPr="00DF301C" w:rsidRDefault="00DF301C" w:rsidP="00DF301C">
      <w:pPr>
        <w:pStyle w:val="SingleTxtGR"/>
      </w:pPr>
      <w:r w:rsidRPr="00DF301C">
        <w:t>В соответствии со стандартом ISO 16269-6:2005 и с учетом того, что отклонение неизвестно, односторонний статистический толерантный интервал рассчитывается при доверительном пределе 95% и доли совокупности, равной 99,9999%.</w:t>
      </w:r>
    </w:p>
    <w:p w:rsidR="00DF301C" w:rsidRPr="00DF301C" w:rsidRDefault="00DF301C" w:rsidP="00DF301C">
      <w:pPr>
        <w:pStyle w:val="SingleTxtGR"/>
      </w:pPr>
      <w:r w:rsidRPr="00DF301C">
        <w:t>При наложении на Диаграмму технических показателей образцов нижний предел толерантного интервала представляет собой линию, отражающую постоянный коэффициент надежности, определяемый по формуле:</w:t>
      </w:r>
    </w:p>
    <w:p w:rsidR="00DF301C" w:rsidRPr="00DF301C" w:rsidRDefault="00DF301C" w:rsidP="004D78D9">
      <w:pPr>
        <w:pStyle w:val="SingleTxtGR"/>
        <w:jc w:val="center"/>
        <w:rPr>
          <w:b/>
          <w:bCs/>
        </w:rPr>
      </w:pPr>
      <w:r w:rsidRPr="00DF301C">
        <w:rPr>
          <w:b/>
          <w:bCs/>
        </w:rPr>
        <w:t>Ω</w:t>
      </w:r>
      <w:r w:rsidRPr="00417007">
        <w:rPr>
          <w:b/>
          <w:bCs/>
          <w:vertAlign w:val="subscript"/>
        </w:rPr>
        <w:t>m</w:t>
      </w:r>
      <w:r w:rsidRPr="00DF301C">
        <w:rPr>
          <w:b/>
          <w:bCs/>
        </w:rPr>
        <w:t xml:space="preserve"> = 1 + Ω</w:t>
      </w:r>
      <w:r w:rsidRPr="00417007">
        <w:rPr>
          <w:b/>
          <w:bCs/>
          <w:vertAlign w:val="subscript"/>
        </w:rPr>
        <w:t>s</w:t>
      </w:r>
      <w:r w:rsidRPr="00DF301C">
        <w:rPr>
          <w:b/>
          <w:bCs/>
        </w:rPr>
        <w:t xml:space="preserve"> × k3(n;p;1-α),</w:t>
      </w:r>
    </w:p>
    <w:p w:rsidR="00DF301C" w:rsidRPr="00DF301C" w:rsidRDefault="00DF301C" w:rsidP="00DF301C">
      <w:pPr>
        <w:pStyle w:val="SingleTxtGR"/>
      </w:pPr>
      <w:r w:rsidRPr="00DF301C">
        <w:t>где</w:t>
      </w:r>
    </w:p>
    <w:p w:rsidR="00DF301C" w:rsidRPr="00DF301C" w:rsidRDefault="00DF301C" w:rsidP="00DF301C">
      <w:pPr>
        <w:pStyle w:val="SingleTxtGR"/>
      </w:pPr>
      <w:r w:rsidRPr="00DF301C">
        <w:t>k3 − табулированная факторная функция n, р и 1-α;</w:t>
      </w:r>
    </w:p>
    <w:p w:rsidR="00DF301C" w:rsidRPr="00DF301C" w:rsidRDefault="00DF301C" w:rsidP="00DF301C">
      <w:pPr>
        <w:pStyle w:val="SingleTxtGR"/>
      </w:pPr>
      <w:r w:rsidRPr="00DF301C">
        <w:t xml:space="preserve">р – доля совокупности, выбранная </w:t>
      </w:r>
      <w:r w:rsidR="00417007">
        <w:t>для толерантного интервала (99,</w:t>
      </w:r>
      <w:r w:rsidRPr="00DF301C">
        <w:t>9999%);</w:t>
      </w:r>
    </w:p>
    <w:p w:rsidR="00DF301C" w:rsidRPr="00DF301C" w:rsidRDefault="00DF301C" w:rsidP="00DF301C">
      <w:pPr>
        <w:pStyle w:val="SingleTxtGR"/>
      </w:pPr>
      <w:r w:rsidRPr="00DF301C">
        <w:t>1- α – доверительный предел (95%);</w:t>
      </w:r>
    </w:p>
    <w:p w:rsidR="00DF301C" w:rsidRPr="00DF301C" w:rsidRDefault="00DF301C" w:rsidP="00DF301C">
      <w:pPr>
        <w:pStyle w:val="SingleTxtGR"/>
      </w:pPr>
      <w:r w:rsidRPr="00DF301C">
        <w:t>n – размер выборки.</w:t>
      </w:r>
    </w:p>
    <w:p w:rsidR="00DF301C" w:rsidRPr="00DF301C" w:rsidRDefault="00DF301C" w:rsidP="00DF301C">
      <w:pPr>
        <w:pStyle w:val="SingleTxtGR"/>
      </w:pPr>
      <w:r w:rsidRPr="00DF301C">
        <w:t>Значения k3, предназначенные для нормального распределения, берут из таблицы, приведенной в конце шага 3.</w:t>
      </w:r>
    </w:p>
    <w:p w:rsidR="00DF301C" w:rsidRPr="00DF301C" w:rsidRDefault="00DF301C" w:rsidP="00DF301C">
      <w:pPr>
        <w:pStyle w:val="SingleTxtGR"/>
      </w:pPr>
      <w:r w:rsidRPr="00DF301C">
        <w:t>Шаг 3.2: Нижний предел толерантного интервала для результатов в случае ненормального распределения</w:t>
      </w:r>
    </w:p>
    <w:p w:rsidR="00DF301C" w:rsidRPr="00DF301C" w:rsidRDefault="00DF301C" w:rsidP="00DF301C">
      <w:pPr>
        <w:pStyle w:val="SingleTxtGR"/>
      </w:pPr>
      <w:r w:rsidRPr="00DF301C">
        <w:t xml:space="preserve">Односторонний статистический толерантный интервал рассчитывается при доверительном пределе 95% </w:t>
      </w:r>
      <w:r w:rsidR="00417007">
        <w:t>и доли совокупности, равной 99,</w:t>
      </w:r>
      <w:r w:rsidRPr="00DF301C">
        <w:t>9999%.</w:t>
      </w:r>
    </w:p>
    <w:p w:rsidR="00DF301C" w:rsidRPr="00DF301C" w:rsidRDefault="00DF301C" w:rsidP="00DF301C">
      <w:pPr>
        <w:pStyle w:val="SingleTxtGR"/>
      </w:pPr>
      <w:r w:rsidRPr="00DF301C">
        <w:t>Нижний предел толерантного интервала представляет собой линию, отражающую постоянный коэффициент надежности, определяемый по приведенной в шаге 3.1 формуле, где коэффициенты k3 рассчитываются на основе распределения Вейбулла.</w:t>
      </w:r>
    </w:p>
    <w:p w:rsidR="00DF301C" w:rsidRPr="00DF301C" w:rsidRDefault="00DF301C" w:rsidP="00DF301C">
      <w:pPr>
        <w:pStyle w:val="SingleTxtGR"/>
      </w:pPr>
      <w:r w:rsidRPr="00DF301C">
        <w:t>Значения k3, предназначенные для распределения Вейбулла, берут из таблицы, приведенной в конце шага 3.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9"/>
        <w:gridCol w:w="1562"/>
        <w:gridCol w:w="1558"/>
      </w:tblGrid>
      <w:tr w:rsidR="00DF301C" w:rsidRPr="004D78D9" w:rsidTr="004D78D9">
        <w:trPr>
          <w:tblHeader/>
          <w:jc w:val="center"/>
        </w:trPr>
        <w:tc>
          <w:tcPr>
            <w:tcW w:w="4819" w:type="dxa"/>
            <w:gridSpan w:val="3"/>
          </w:tcPr>
          <w:p w:rsidR="00DF301C" w:rsidRPr="004D78D9" w:rsidRDefault="00DF301C" w:rsidP="00771EDA">
            <w:pPr>
              <w:tabs>
                <w:tab w:val="left" w:pos="2423"/>
              </w:tabs>
              <w:spacing w:before="121"/>
              <w:jc w:val="center"/>
              <w:rPr>
                <w:b/>
                <w:bCs/>
                <w:sz w:val="18"/>
                <w:szCs w:val="18"/>
              </w:rPr>
            </w:pPr>
            <w:r w:rsidRPr="004D78D9">
              <w:rPr>
                <w:b/>
                <w:bCs/>
                <w:sz w:val="18"/>
                <w:szCs w:val="18"/>
              </w:rPr>
              <w:t>Таблица значений для k3</w:t>
            </w:r>
          </w:p>
          <w:p w:rsidR="00DF301C" w:rsidRPr="004D78D9" w:rsidRDefault="00DF301C" w:rsidP="00771EDA">
            <w:pPr>
              <w:tabs>
                <w:tab w:val="left" w:pos="2423"/>
              </w:tabs>
              <w:spacing w:before="121"/>
              <w:jc w:val="center"/>
              <w:rPr>
                <w:sz w:val="18"/>
                <w:szCs w:val="18"/>
              </w:rPr>
            </w:pPr>
            <w:r w:rsidRPr="004D78D9">
              <w:rPr>
                <w:sz w:val="18"/>
                <w:szCs w:val="18"/>
              </w:rPr>
              <w:t>p=99,9999% и (1- α)=0,95</w:t>
            </w:r>
          </w:p>
        </w:tc>
      </w:tr>
      <w:tr w:rsidR="00DF301C" w:rsidRPr="004D78D9" w:rsidTr="004D78D9">
        <w:trPr>
          <w:tblHeader/>
          <w:jc w:val="center"/>
        </w:trPr>
        <w:tc>
          <w:tcPr>
            <w:tcW w:w="1699" w:type="dxa"/>
          </w:tcPr>
          <w:p w:rsidR="00DF301C" w:rsidRPr="004D78D9" w:rsidRDefault="00DF301C" w:rsidP="004D78D9">
            <w:pPr>
              <w:tabs>
                <w:tab w:val="left" w:pos="2423"/>
              </w:tabs>
              <w:spacing w:before="40" w:after="80"/>
              <w:jc w:val="center"/>
              <w:rPr>
                <w:b/>
                <w:bCs/>
                <w:sz w:val="18"/>
                <w:szCs w:val="18"/>
              </w:rPr>
            </w:pPr>
            <w:r w:rsidRPr="004D78D9">
              <w:rPr>
                <w:b/>
                <w:bCs/>
                <w:sz w:val="18"/>
                <w:szCs w:val="18"/>
              </w:rPr>
              <w:t>Размер выборки</w:t>
            </w:r>
          </w:p>
          <w:p w:rsidR="00DF301C" w:rsidRPr="004D78D9" w:rsidRDefault="00DF301C" w:rsidP="004D78D9">
            <w:pPr>
              <w:tabs>
                <w:tab w:val="left" w:pos="2423"/>
              </w:tabs>
              <w:spacing w:before="40" w:after="80"/>
              <w:jc w:val="center"/>
              <w:rPr>
                <w:b/>
                <w:sz w:val="18"/>
                <w:szCs w:val="18"/>
              </w:rPr>
            </w:pPr>
            <w:r w:rsidRPr="004D78D9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562" w:type="dxa"/>
          </w:tcPr>
          <w:p w:rsidR="004D78D9" w:rsidRDefault="00DF301C" w:rsidP="004D78D9">
            <w:pPr>
              <w:tabs>
                <w:tab w:val="left" w:pos="2423"/>
              </w:tabs>
              <w:spacing w:before="40" w:after="80"/>
              <w:jc w:val="center"/>
              <w:rPr>
                <w:b/>
                <w:bCs/>
                <w:sz w:val="18"/>
                <w:szCs w:val="18"/>
              </w:rPr>
            </w:pPr>
            <w:r w:rsidRPr="004D78D9">
              <w:rPr>
                <w:b/>
                <w:bCs/>
                <w:sz w:val="18"/>
                <w:szCs w:val="18"/>
              </w:rPr>
              <w:t>Нормальное распределение</w:t>
            </w:r>
          </w:p>
          <w:p w:rsidR="00DF301C" w:rsidRPr="004D78D9" w:rsidRDefault="00DF301C" w:rsidP="004D78D9">
            <w:pPr>
              <w:tabs>
                <w:tab w:val="left" w:pos="2423"/>
              </w:tabs>
              <w:spacing w:before="40" w:after="80"/>
              <w:jc w:val="center"/>
              <w:rPr>
                <w:b/>
                <w:bCs/>
                <w:sz w:val="18"/>
                <w:szCs w:val="18"/>
              </w:rPr>
            </w:pPr>
            <w:r w:rsidRPr="004D78D9">
              <w:rPr>
                <w:b/>
                <w:bCs/>
                <w:sz w:val="18"/>
                <w:szCs w:val="18"/>
              </w:rPr>
              <w:t>k3</w:t>
            </w:r>
          </w:p>
        </w:tc>
        <w:tc>
          <w:tcPr>
            <w:tcW w:w="1558" w:type="dxa"/>
          </w:tcPr>
          <w:p w:rsidR="00DF301C" w:rsidRPr="004D78D9" w:rsidRDefault="00DF301C" w:rsidP="004D78D9">
            <w:pPr>
              <w:tabs>
                <w:tab w:val="left" w:pos="2423"/>
              </w:tabs>
              <w:spacing w:before="40" w:after="80"/>
              <w:jc w:val="center"/>
              <w:rPr>
                <w:b/>
                <w:bCs/>
                <w:sz w:val="18"/>
                <w:szCs w:val="18"/>
              </w:rPr>
            </w:pPr>
            <w:r w:rsidRPr="004D78D9">
              <w:rPr>
                <w:b/>
                <w:bCs/>
                <w:sz w:val="18"/>
                <w:szCs w:val="18"/>
              </w:rPr>
              <w:t>Распределение Вейбулла</w:t>
            </w:r>
          </w:p>
          <w:p w:rsidR="00DF301C" w:rsidRPr="004D78D9" w:rsidRDefault="00DF301C" w:rsidP="004D78D9">
            <w:pPr>
              <w:tabs>
                <w:tab w:val="left" w:pos="2423"/>
              </w:tabs>
              <w:spacing w:before="40" w:after="80"/>
              <w:jc w:val="center"/>
              <w:rPr>
                <w:b/>
                <w:sz w:val="18"/>
                <w:szCs w:val="18"/>
              </w:rPr>
            </w:pPr>
            <w:r w:rsidRPr="004D78D9">
              <w:rPr>
                <w:b/>
                <w:bCs/>
                <w:sz w:val="18"/>
                <w:szCs w:val="18"/>
              </w:rPr>
              <w:t>k3</w:t>
            </w:r>
          </w:p>
        </w:tc>
      </w:tr>
      <w:tr w:rsidR="00DF301C" w:rsidRPr="004D78D9" w:rsidTr="004D78D9">
        <w:trPr>
          <w:trHeight w:val="300"/>
          <w:jc w:val="center"/>
        </w:trPr>
        <w:tc>
          <w:tcPr>
            <w:tcW w:w="1699" w:type="dxa"/>
          </w:tcPr>
          <w:p w:rsidR="00DF301C" w:rsidRPr="004D78D9" w:rsidRDefault="00DF301C" w:rsidP="00771E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8D9">
              <w:rPr>
                <w:sz w:val="18"/>
                <w:szCs w:val="18"/>
              </w:rPr>
              <w:t>20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301C" w:rsidRPr="004D78D9" w:rsidRDefault="00DF301C" w:rsidP="00771E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8D9">
              <w:rPr>
                <w:sz w:val="18"/>
                <w:szCs w:val="18"/>
              </w:rPr>
              <w:t>6,901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301C" w:rsidRPr="004D78D9" w:rsidRDefault="00DF301C" w:rsidP="00771E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8D9">
              <w:rPr>
                <w:sz w:val="18"/>
                <w:szCs w:val="18"/>
              </w:rPr>
              <w:t>16,021</w:t>
            </w:r>
          </w:p>
        </w:tc>
      </w:tr>
      <w:tr w:rsidR="00DF301C" w:rsidRPr="004D78D9" w:rsidTr="004D78D9">
        <w:trPr>
          <w:trHeight w:val="300"/>
          <w:jc w:val="center"/>
        </w:trPr>
        <w:tc>
          <w:tcPr>
            <w:tcW w:w="1699" w:type="dxa"/>
          </w:tcPr>
          <w:p w:rsidR="00DF301C" w:rsidRPr="004D78D9" w:rsidRDefault="00DF301C" w:rsidP="00771E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8D9">
              <w:rPr>
                <w:sz w:val="18"/>
                <w:szCs w:val="18"/>
              </w:rPr>
              <w:t>22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301C" w:rsidRPr="004D78D9" w:rsidRDefault="00DF301C" w:rsidP="00771E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8D9">
              <w:rPr>
                <w:sz w:val="18"/>
                <w:szCs w:val="18"/>
              </w:rPr>
              <w:t>6,765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301C" w:rsidRPr="004D78D9" w:rsidRDefault="00DF301C" w:rsidP="00771E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8D9">
              <w:rPr>
                <w:sz w:val="18"/>
                <w:szCs w:val="18"/>
              </w:rPr>
              <w:t>15,722</w:t>
            </w:r>
          </w:p>
        </w:tc>
      </w:tr>
      <w:tr w:rsidR="00DF301C" w:rsidRPr="004D78D9" w:rsidTr="004D78D9">
        <w:trPr>
          <w:trHeight w:val="300"/>
          <w:jc w:val="center"/>
        </w:trPr>
        <w:tc>
          <w:tcPr>
            <w:tcW w:w="1699" w:type="dxa"/>
          </w:tcPr>
          <w:p w:rsidR="00DF301C" w:rsidRPr="004D78D9" w:rsidRDefault="00DF301C" w:rsidP="00771E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8D9">
              <w:rPr>
                <w:sz w:val="18"/>
                <w:szCs w:val="18"/>
              </w:rPr>
              <w:t>24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301C" w:rsidRPr="004D78D9" w:rsidRDefault="00DF301C" w:rsidP="00771E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8D9">
              <w:rPr>
                <w:sz w:val="18"/>
                <w:szCs w:val="18"/>
              </w:rPr>
              <w:t>6,651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301C" w:rsidRPr="004D78D9" w:rsidRDefault="00DF301C" w:rsidP="00771E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8D9">
              <w:rPr>
                <w:sz w:val="18"/>
                <w:szCs w:val="18"/>
              </w:rPr>
              <w:t>15,472</w:t>
            </w:r>
          </w:p>
        </w:tc>
      </w:tr>
      <w:tr w:rsidR="00DF301C" w:rsidRPr="004D78D9" w:rsidTr="004D78D9">
        <w:trPr>
          <w:trHeight w:val="300"/>
          <w:jc w:val="center"/>
        </w:trPr>
        <w:tc>
          <w:tcPr>
            <w:tcW w:w="1699" w:type="dxa"/>
          </w:tcPr>
          <w:p w:rsidR="00DF301C" w:rsidRPr="004D78D9" w:rsidRDefault="00DF301C" w:rsidP="00771E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8D9">
              <w:rPr>
                <w:sz w:val="18"/>
                <w:szCs w:val="18"/>
              </w:rPr>
              <w:t>26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301C" w:rsidRPr="004D78D9" w:rsidRDefault="00DF301C" w:rsidP="00771E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8D9">
              <w:rPr>
                <w:sz w:val="18"/>
                <w:szCs w:val="18"/>
              </w:rPr>
              <w:t>6,553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301C" w:rsidRPr="004D78D9" w:rsidRDefault="00DF301C" w:rsidP="00771E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8D9">
              <w:rPr>
                <w:sz w:val="18"/>
                <w:szCs w:val="18"/>
              </w:rPr>
              <w:t>15,258</w:t>
            </w:r>
          </w:p>
        </w:tc>
      </w:tr>
      <w:tr w:rsidR="00DF301C" w:rsidRPr="004D78D9" w:rsidTr="004D78D9">
        <w:trPr>
          <w:trHeight w:val="300"/>
          <w:jc w:val="center"/>
        </w:trPr>
        <w:tc>
          <w:tcPr>
            <w:tcW w:w="1699" w:type="dxa"/>
          </w:tcPr>
          <w:p w:rsidR="00DF301C" w:rsidRPr="004D78D9" w:rsidRDefault="00DF301C" w:rsidP="00771E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8D9">
              <w:rPr>
                <w:sz w:val="18"/>
                <w:szCs w:val="18"/>
              </w:rPr>
              <w:t>28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301C" w:rsidRPr="004D78D9" w:rsidRDefault="00DF301C" w:rsidP="00771E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8D9">
              <w:rPr>
                <w:sz w:val="18"/>
                <w:szCs w:val="18"/>
              </w:rPr>
              <w:t>6,468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301C" w:rsidRPr="004D78D9" w:rsidRDefault="00DF301C" w:rsidP="00771E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8D9">
              <w:rPr>
                <w:sz w:val="18"/>
                <w:szCs w:val="18"/>
              </w:rPr>
              <w:t>15,072</w:t>
            </w:r>
          </w:p>
        </w:tc>
      </w:tr>
      <w:tr w:rsidR="00DF301C" w:rsidRPr="004D78D9" w:rsidTr="004D78D9">
        <w:trPr>
          <w:trHeight w:val="300"/>
          <w:jc w:val="center"/>
        </w:trPr>
        <w:tc>
          <w:tcPr>
            <w:tcW w:w="1699" w:type="dxa"/>
          </w:tcPr>
          <w:p w:rsidR="00DF301C" w:rsidRPr="004D78D9" w:rsidRDefault="00DF301C" w:rsidP="00771E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8D9">
              <w:rPr>
                <w:sz w:val="18"/>
                <w:szCs w:val="18"/>
              </w:rPr>
              <w:t>30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301C" w:rsidRPr="004D78D9" w:rsidRDefault="00DF301C" w:rsidP="00771E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8D9">
              <w:rPr>
                <w:sz w:val="18"/>
                <w:szCs w:val="18"/>
              </w:rPr>
              <w:t>6,393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301C" w:rsidRPr="004D78D9" w:rsidRDefault="00DF301C" w:rsidP="00771E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8D9">
              <w:rPr>
                <w:sz w:val="18"/>
                <w:szCs w:val="18"/>
              </w:rPr>
              <w:t>14,909</w:t>
            </w:r>
          </w:p>
        </w:tc>
      </w:tr>
      <w:tr w:rsidR="00DF301C" w:rsidRPr="004D78D9" w:rsidTr="004D78D9">
        <w:trPr>
          <w:trHeight w:val="300"/>
          <w:jc w:val="center"/>
        </w:trPr>
        <w:tc>
          <w:tcPr>
            <w:tcW w:w="1699" w:type="dxa"/>
          </w:tcPr>
          <w:p w:rsidR="00DF301C" w:rsidRPr="004D78D9" w:rsidRDefault="00DF301C" w:rsidP="00771E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8D9">
              <w:rPr>
                <w:sz w:val="18"/>
                <w:szCs w:val="18"/>
              </w:rPr>
              <w:t>35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301C" w:rsidRPr="004D78D9" w:rsidRDefault="00DF301C" w:rsidP="00771E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8D9">
              <w:rPr>
                <w:sz w:val="18"/>
                <w:szCs w:val="18"/>
              </w:rPr>
              <w:t>6,241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301C" w:rsidRPr="004D78D9" w:rsidRDefault="00DF301C" w:rsidP="00771E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8D9">
              <w:rPr>
                <w:sz w:val="18"/>
                <w:szCs w:val="18"/>
              </w:rPr>
              <w:t>14,578</w:t>
            </w:r>
          </w:p>
        </w:tc>
      </w:tr>
      <w:tr w:rsidR="00DF301C" w:rsidRPr="004D78D9" w:rsidTr="004D78D9">
        <w:trPr>
          <w:trHeight w:val="300"/>
          <w:jc w:val="center"/>
        </w:trPr>
        <w:tc>
          <w:tcPr>
            <w:tcW w:w="1699" w:type="dxa"/>
          </w:tcPr>
          <w:p w:rsidR="00DF301C" w:rsidRPr="004D78D9" w:rsidRDefault="00DF301C" w:rsidP="00771E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8D9">
              <w:rPr>
                <w:sz w:val="18"/>
                <w:szCs w:val="18"/>
              </w:rPr>
              <w:t>40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301C" w:rsidRPr="004D78D9" w:rsidRDefault="00DF301C" w:rsidP="00771E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8D9">
              <w:rPr>
                <w:sz w:val="18"/>
                <w:szCs w:val="18"/>
              </w:rPr>
              <w:t>6,123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301C" w:rsidRPr="004D78D9" w:rsidRDefault="00DF301C" w:rsidP="00771E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8D9">
              <w:rPr>
                <w:sz w:val="18"/>
                <w:szCs w:val="18"/>
              </w:rPr>
              <w:t>14,321</w:t>
            </w:r>
          </w:p>
        </w:tc>
      </w:tr>
      <w:tr w:rsidR="00DF301C" w:rsidRPr="004D78D9" w:rsidTr="004D78D9">
        <w:trPr>
          <w:trHeight w:val="300"/>
          <w:jc w:val="center"/>
        </w:trPr>
        <w:tc>
          <w:tcPr>
            <w:tcW w:w="1699" w:type="dxa"/>
          </w:tcPr>
          <w:p w:rsidR="00DF301C" w:rsidRPr="004D78D9" w:rsidRDefault="00DF301C" w:rsidP="00771E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8D9">
              <w:rPr>
                <w:sz w:val="18"/>
                <w:szCs w:val="18"/>
              </w:rPr>
              <w:t>45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301C" w:rsidRPr="004D78D9" w:rsidRDefault="00DF301C" w:rsidP="00771E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8D9">
              <w:rPr>
                <w:sz w:val="18"/>
                <w:szCs w:val="18"/>
              </w:rPr>
              <w:t>6,028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301C" w:rsidRPr="004D78D9" w:rsidRDefault="00DF301C" w:rsidP="00771E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8D9">
              <w:rPr>
                <w:sz w:val="18"/>
                <w:szCs w:val="18"/>
              </w:rPr>
              <w:t>14,116</w:t>
            </w:r>
          </w:p>
        </w:tc>
      </w:tr>
      <w:tr w:rsidR="00DF301C" w:rsidRPr="004D78D9" w:rsidTr="004D78D9">
        <w:trPr>
          <w:trHeight w:val="300"/>
          <w:jc w:val="center"/>
        </w:trPr>
        <w:tc>
          <w:tcPr>
            <w:tcW w:w="1699" w:type="dxa"/>
          </w:tcPr>
          <w:p w:rsidR="00DF301C" w:rsidRPr="004D78D9" w:rsidRDefault="00DF301C" w:rsidP="00771E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8D9">
              <w:rPr>
                <w:sz w:val="18"/>
                <w:szCs w:val="18"/>
              </w:rPr>
              <w:t>50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301C" w:rsidRPr="004D78D9" w:rsidRDefault="00DF301C" w:rsidP="00771E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8D9">
              <w:rPr>
                <w:sz w:val="18"/>
                <w:szCs w:val="18"/>
              </w:rPr>
              <w:t>5,949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301C" w:rsidRPr="004D78D9" w:rsidRDefault="00DF301C" w:rsidP="00771E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8D9">
              <w:rPr>
                <w:sz w:val="18"/>
                <w:szCs w:val="18"/>
              </w:rPr>
              <w:t>13,947</w:t>
            </w:r>
          </w:p>
        </w:tc>
      </w:tr>
      <w:tr w:rsidR="00DF301C" w:rsidRPr="004D78D9" w:rsidTr="004D78D9">
        <w:trPr>
          <w:trHeight w:val="300"/>
          <w:jc w:val="center"/>
        </w:trPr>
        <w:tc>
          <w:tcPr>
            <w:tcW w:w="1699" w:type="dxa"/>
          </w:tcPr>
          <w:p w:rsidR="00DF301C" w:rsidRPr="004D78D9" w:rsidRDefault="00DF301C" w:rsidP="00771E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8D9">
              <w:rPr>
                <w:sz w:val="18"/>
                <w:szCs w:val="18"/>
              </w:rPr>
              <w:t>60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301C" w:rsidRPr="004D78D9" w:rsidRDefault="00DF301C" w:rsidP="00771E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8D9">
              <w:rPr>
                <w:sz w:val="18"/>
                <w:szCs w:val="18"/>
              </w:rPr>
              <w:t>5,827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301C" w:rsidRPr="004D78D9" w:rsidRDefault="00DF301C" w:rsidP="00771E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8D9">
              <w:rPr>
                <w:sz w:val="18"/>
                <w:szCs w:val="18"/>
              </w:rPr>
              <w:t>13,683</w:t>
            </w:r>
          </w:p>
        </w:tc>
      </w:tr>
      <w:tr w:rsidR="00DF301C" w:rsidRPr="004D78D9" w:rsidTr="004D78D9">
        <w:trPr>
          <w:trHeight w:val="300"/>
          <w:jc w:val="center"/>
        </w:trPr>
        <w:tc>
          <w:tcPr>
            <w:tcW w:w="1699" w:type="dxa"/>
          </w:tcPr>
          <w:p w:rsidR="00DF301C" w:rsidRPr="004D78D9" w:rsidRDefault="00DF301C" w:rsidP="00771E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8D9">
              <w:rPr>
                <w:sz w:val="18"/>
                <w:szCs w:val="18"/>
              </w:rPr>
              <w:t>70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301C" w:rsidRPr="004D78D9" w:rsidRDefault="00DF301C" w:rsidP="00771E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8D9">
              <w:rPr>
                <w:sz w:val="18"/>
                <w:szCs w:val="18"/>
              </w:rPr>
              <w:t>5,735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301C" w:rsidRPr="004D78D9" w:rsidRDefault="00DF301C" w:rsidP="00771E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8D9">
              <w:rPr>
                <w:sz w:val="18"/>
                <w:szCs w:val="18"/>
              </w:rPr>
              <w:t>13,485</w:t>
            </w:r>
          </w:p>
        </w:tc>
      </w:tr>
      <w:tr w:rsidR="00DF301C" w:rsidRPr="004D78D9" w:rsidTr="004D78D9">
        <w:trPr>
          <w:trHeight w:val="300"/>
          <w:jc w:val="center"/>
        </w:trPr>
        <w:tc>
          <w:tcPr>
            <w:tcW w:w="1699" w:type="dxa"/>
          </w:tcPr>
          <w:p w:rsidR="00DF301C" w:rsidRPr="004D78D9" w:rsidRDefault="00DF301C" w:rsidP="00771E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8D9">
              <w:rPr>
                <w:sz w:val="18"/>
                <w:szCs w:val="18"/>
              </w:rPr>
              <w:t>80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301C" w:rsidRPr="004D78D9" w:rsidRDefault="00DF301C" w:rsidP="00771E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8D9">
              <w:rPr>
                <w:sz w:val="18"/>
                <w:szCs w:val="18"/>
              </w:rPr>
              <w:t>5,662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301C" w:rsidRPr="004D78D9" w:rsidRDefault="00DF301C" w:rsidP="00771E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8D9">
              <w:rPr>
                <w:sz w:val="18"/>
                <w:szCs w:val="18"/>
              </w:rPr>
              <w:t>13,329</w:t>
            </w:r>
          </w:p>
        </w:tc>
      </w:tr>
      <w:tr w:rsidR="00DF301C" w:rsidRPr="004D78D9" w:rsidTr="004D78D9">
        <w:trPr>
          <w:trHeight w:val="300"/>
          <w:jc w:val="center"/>
        </w:trPr>
        <w:tc>
          <w:tcPr>
            <w:tcW w:w="1699" w:type="dxa"/>
          </w:tcPr>
          <w:p w:rsidR="00DF301C" w:rsidRPr="004D78D9" w:rsidRDefault="00DF301C" w:rsidP="00771E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8D9">
              <w:rPr>
                <w:sz w:val="18"/>
                <w:szCs w:val="18"/>
              </w:rPr>
              <w:t>90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301C" w:rsidRPr="004D78D9" w:rsidRDefault="00DF301C" w:rsidP="00771E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8D9">
              <w:rPr>
                <w:sz w:val="18"/>
                <w:szCs w:val="18"/>
              </w:rPr>
              <w:t>5,603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301C" w:rsidRPr="004D78D9" w:rsidRDefault="00DF301C" w:rsidP="00771E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8D9">
              <w:rPr>
                <w:sz w:val="18"/>
                <w:szCs w:val="18"/>
              </w:rPr>
              <w:t>13,203</w:t>
            </w:r>
          </w:p>
        </w:tc>
      </w:tr>
      <w:tr w:rsidR="00DF301C" w:rsidRPr="004D78D9" w:rsidTr="004D78D9">
        <w:trPr>
          <w:trHeight w:val="300"/>
          <w:jc w:val="center"/>
        </w:trPr>
        <w:tc>
          <w:tcPr>
            <w:tcW w:w="1699" w:type="dxa"/>
          </w:tcPr>
          <w:p w:rsidR="00DF301C" w:rsidRPr="004D78D9" w:rsidRDefault="00DF301C" w:rsidP="00771E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8D9">
              <w:rPr>
                <w:sz w:val="18"/>
                <w:szCs w:val="18"/>
              </w:rPr>
              <w:t>100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301C" w:rsidRPr="004D78D9" w:rsidRDefault="00DF301C" w:rsidP="00771E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8D9">
              <w:rPr>
                <w:sz w:val="18"/>
                <w:szCs w:val="18"/>
              </w:rPr>
              <w:t>5,554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301C" w:rsidRPr="004D78D9" w:rsidRDefault="00DF301C" w:rsidP="00771E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8D9">
              <w:rPr>
                <w:sz w:val="18"/>
                <w:szCs w:val="18"/>
              </w:rPr>
              <w:t>13,098</w:t>
            </w:r>
          </w:p>
        </w:tc>
      </w:tr>
      <w:tr w:rsidR="00DF301C" w:rsidRPr="004D78D9" w:rsidTr="004D78D9">
        <w:trPr>
          <w:trHeight w:val="300"/>
          <w:jc w:val="center"/>
        </w:trPr>
        <w:tc>
          <w:tcPr>
            <w:tcW w:w="1699" w:type="dxa"/>
          </w:tcPr>
          <w:p w:rsidR="00DF301C" w:rsidRPr="004D78D9" w:rsidRDefault="00DF301C" w:rsidP="00771E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8D9">
              <w:rPr>
                <w:sz w:val="18"/>
                <w:szCs w:val="18"/>
              </w:rPr>
              <w:t>150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301C" w:rsidRPr="004D78D9" w:rsidRDefault="00DF301C" w:rsidP="00771E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8D9">
              <w:rPr>
                <w:sz w:val="18"/>
                <w:szCs w:val="18"/>
              </w:rPr>
              <w:t>5,393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301C" w:rsidRPr="004D78D9" w:rsidRDefault="00DF301C" w:rsidP="00771E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8D9">
              <w:rPr>
                <w:sz w:val="18"/>
                <w:szCs w:val="18"/>
              </w:rPr>
              <w:t>12,754</w:t>
            </w:r>
          </w:p>
        </w:tc>
      </w:tr>
      <w:tr w:rsidR="00DF301C" w:rsidRPr="004D78D9" w:rsidTr="004D78D9">
        <w:trPr>
          <w:trHeight w:val="300"/>
          <w:jc w:val="center"/>
        </w:trPr>
        <w:tc>
          <w:tcPr>
            <w:tcW w:w="1699" w:type="dxa"/>
          </w:tcPr>
          <w:p w:rsidR="00DF301C" w:rsidRPr="004D78D9" w:rsidRDefault="00DF301C" w:rsidP="00771E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8D9">
              <w:rPr>
                <w:sz w:val="18"/>
                <w:szCs w:val="18"/>
              </w:rPr>
              <w:t>200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301C" w:rsidRPr="004D78D9" w:rsidRDefault="00DF301C" w:rsidP="00771E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8D9">
              <w:rPr>
                <w:sz w:val="18"/>
                <w:szCs w:val="18"/>
              </w:rPr>
              <w:t>5,300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301C" w:rsidRPr="004D78D9" w:rsidRDefault="00DF301C" w:rsidP="00771E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8D9">
              <w:rPr>
                <w:sz w:val="18"/>
                <w:szCs w:val="18"/>
              </w:rPr>
              <w:t>12,557</w:t>
            </w:r>
          </w:p>
        </w:tc>
      </w:tr>
      <w:tr w:rsidR="00DF301C" w:rsidRPr="004D78D9" w:rsidTr="004D78D9">
        <w:trPr>
          <w:trHeight w:val="300"/>
          <w:jc w:val="center"/>
        </w:trPr>
        <w:tc>
          <w:tcPr>
            <w:tcW w:w="1699" w:type="dxa"/>
          </w:tcPr>
          <w:p w:rsidR="00DF301C" w:rsidRPr="004D78D9" w:rsidRDefault="00DF301C" w:rsidP="00771E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8D9">
              <w:rPr>
                <w:sz w:val="18"/>
                <w:szCs w:val="18"/>
              </w:rPr>
              <w:t>250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301C" w:rsidRPr="004D78D9" w:rsidRDefault="00DF301C" w:rsidP="00771E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8D9">
              <w:rPr>
                <w:sz w:val="18"/>
                <w:szCs w:val="18"/>
              </w:rPr>
              <w:t>5,238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301C" w:rsidRPr="004D78D9" w:rsidRDefault="00DF301C" w:rsidP="00771E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8D9">
              <w:rPr>
                <w:sz w:val="18"/>
                <w:szCs w:val="18"/>
              </w:rPr>
              <w:t>12,426</w:t>
            </w:r>
          </w:p>
        </w:tc>
      </w:tr>
      <w:tr w:rsidR="00DF301C" w:rsidRPr="004D78D9" w:rsidTr="004D78D9">
        <w:trPr>
          <w:trHeight w:val="300"/>
          <w:jc w:val="center"/>
        </w:trPr>
        <w:tc>
          <w:tcPr>
            <w:tcW w:w="1699" w:type="dxa"/>
          </w:tcPr>
          <w:p w:rsidR="00DF301C" w:rsidRPr="004D78D9" w:rsidRDefault="00DF301C" w:rsidP="00771E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8D9">
              <w:rPr>
                <w:sz w:val="18"/>
                <w:szCs w:val="18"/>
              </w:rPr>
              <w:t>300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F301C" w:rsidRPr="004D78D9" w:rsidRDefault="00DF301C" w:rsidP="00771E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8D9">
              <w:rPr>
                <w:sz w:val="18"/>
                <w:szCs w:val="18"/>
              </w:rPr>
              <w:t>5,193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301C" w:rsidRPr="004D78D9" w:rsidRDefault="00DF301C" w:rsidP="00771E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8D9">
              <w:rPr>
                <w:sz w:val="18"/>
                <w:szCs w:val="18"/>
              </w:rPr>
              <w:t>12,330</w:t>
            </w:r>
          </w:p>
        </w:tc>
      </w:tr>
      <w:tr w:rsidR="00DF301C" w:rsidRPr="004D78D9" w:rsidTr="004D78D9">
        <w:trPr>
          <w:trHeight w:val="300"/>
          <w:jc w:val="center"/>
        </w:trPr>
        <w:tc>
          <w:tcPr>
            <w:tcW w:w="1699" w:type="dxa"/>
          </w:tcPr>
          <w:p w:rsidR="00DF301C" w:rsidRPr="004D78D9" w:rsidRDefault="00DF301C" w:rsidP="00771E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8D9">
              <w:rPr>
                <w:sz w:val="18"/>
                <w:szCs w:val="18"/>
              </w:rPr>
              <w:t>400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301C" w:rsidRPr="004D78D9" w:rsidRDefault="00DF301C" w:rsidP="00771E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8D9">
              <w:rPr>
                <w:sz w:val="18"/>
                <w:szCs w:val="18"/>
              </w:rPr>
              <w:t>5,131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301C" w:rsidRPr="004D78D9" w:rsidRDefault="00DF301C" w:rsidP="00771E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8D9">
              <w:rPr>
                <w:sz w:val="18"/>
                <w:szCs w:val="18"/>
              </w:rPr>
              <w:t>12,199</w:t>
            </w:r>
          </w:p>
        </w:tc>
      </w:tr>
      <w:tr w:rsidR="00DF301C" w:rsidRPr="004D78D9" w:rsidTr="004D78D9">
        <w:trPr>
          <w:trHeight w:val="300"/>
          <w:jc w:val="center"/>
        </w:trPr>
        <w:tc>
          <w:tcPr>
            <w:tcW w:w="1699" w:type="dxa"/>
          </w:tcPr>
          <w:p w:rsidR="00DF301C" w:rsidRPr="004D78D9" w:rsidRDefault="00DF301C" w:rsidP="00771E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8D9">
              <w:rPr>
                <w:sz w:val="18"/>
                <w:szCs w:val="18"/>
              </w:rPr>
              <w:t>500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301C" w:rsidRPr="004D78D9" w:rsidRDefault="00DF301C" w:rsidP="00771E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8D9">
              <w:rPr>
                <w:sz w:val="18"/>
                <w:szCs w:val="18"/>
              </w:rPr>
              <w:t>5,089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301C" w:rsidRPr="004D78D9" w:rsidRDefault="00DF301C" w:rsidP="00771E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8D9">
              <w:rPr>
                <w:sz w:val="18"/>
                <w:szCs w:val="18"/>
              </w:rPr>
              <w:t>12,111</w:t>
            </w:r>
          </w:p>
        </w:tc>
      </w:tr>
      <w:tr w:rsidR="00DF301C" w:rsidRPr="004D78D9" w:rsidTr="004D78D9">
        <w:trPr>
          <w:trHeight w:val="315"/>
          <w:jc w:val="center"/>
        </w:trPr>
        <w:tc>
          <w:tcPr>
            <w:tcW w:w="1699" w:type="dxa"/>
          </w:tcPr>
          <w:p w:rsidR="00DF301C" w:rsidRPr="004D78D9" w:rsidRDefault="00DF301C" w:rsidP="00771E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8D9">
              <w:rPr>
                <w:sz w:val="18"/>
                <w:szCs w:val="18"/>
              </w:rPr>
              <w:t>1</w:t>
            </w:r>
            <w:r w:rsidR="00417007">
              <w:rPr>
                <w:sz w:val="18"/>
                <w:szCs w:val="18"/>
              </w:rPr>
              <w:t xml:space="preserve"> </w:t>
            </w:r>
            <w:r w:rsidRPr="004D78D9">
              <w:rPr>
                <w:sz w:val="18"/>
                <w:szCs w:val="18"/>
              </w:rPr>
              <w:t>000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301C" w:rsidRPr="004D78D9" w:rsidRDefault="00DF301C" w:rsidP="00771E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8D9">
              <w:rPr>
                <w:sz w:val="18"/>
                <w:szCs w:val="18"/>
              </w:rPr>
              <w:t>4,988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301C" w:rsidRPr="004D78D9" w:rsidRDefault="00DF301C" w:rsidP="00771E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8D9">
              <w:rPr>
                <w:sz w:val="18"/>
                <w:szCs w:val="18"/>
              </w:rPr>
              <w:t>11,897</w:t>
            </w:r>
          </w:p>
        </w:tc>
      </w:tr>
      <w:tr w:rsidR="00DF301C" w:rsidRPr="004D78D9" w:rsidTr="00ED2AAE">
        <w:trPr>
          <w:trHeight w:val="291"/>
          <w:jc w:val="center"/>
        </w:trPr>
        <w:tc>
          <w:tcPr>
            <w:tcW w:w="1699" w:type="dxa"/>
          </w:tcPr>
          <w:p w:rsidR="00DF301C" w:rsidRPr="004D78D9" w:rsidRDefault="00DF301C" w:rsidP="00771E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8D9">
              <w:rPr>
                <w:sz w:val="18"/>
                <w:szCs w:val="18"/>
              </w:rPr>
              <w:t>∞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301C" w:rsidRPr="004D78D9" w:rsidRDefault="00DF301C" w:rsidP="00771E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8D9">
              <w:rPr>
                <w:sz w:val="18"/>
                <w:szCs w:val="18"/>
              </w:rPr>
              <w:t>4,753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301C" w:rsidRPr="004D78D9" w:rsidRDefault="00DF301C" w:rsidP="00771E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78D9">
              <w:rPr>
                <w:sz w:val="18"/>
                <w:szCs w:val="18"/>
              </w:rPr>
              <w:t>11,</w:t>
            </w:r>
            <w:r w:rsidRPr="00ED2AAE">
              <w:rPr>
                <w:color w:val="000000"/>
                <w:sz w:val="18"/>
                <w:szCs w:val="18"/>
              </w:rPr>
              <w:t>408</w:t>
            </w:r>
          </w:p>
        </w:tc>
      </w:tr>
    </w:tbl>
    <w:p w:rsidR="00DF301C" w:rsidRPr="004D78D9" w:rsidRDefault="004D78D9" w:rsidP="004D78D9">
      <w:pPr>
        <w:pStyle w:val="SingleTxtGR"/>
        <w:spacing w:before="120" w:line="220" w:lineRule="exact"/>
        <w:jc w:val="left"/>
        <w:rPr>
          <w:sz w:val="18"/>
        </w:rPr>
      </w:pPr>
      <w:r>
        <w:rPr>
          <w:sz w:val="18"/>
        </w:rPr>
        <w:t xml:space="preserve">  </w:t>
      </w:r>
      <w:r w:rsidR="00DF301C" w:rsidRPr="004D78D9">
        <w:rPr>
          <w:sz w:val="18"/>
        </w:rPr>
        <w:t>Примечание: Если размер выборки находится между двумя значениями, то выбирают ближайший меньший размер выборки.</w:t>
      </w:r>
    </w:p>
    <w:p w:rsidR="00DF301C" w:rsidRPr="00DF301C" w:rsidRDefault="004D78D9" w:rsidP="00DF301C">
      <w:pPr>
        <w:pStyle w:val="SingleTxtGR"/>
      </w:pPr>
      <w:r>
        <w:tab/>
      </w:r>
      <w:r w:rsidR="00DF301C" w:rsidRPr="00DF301C">
        <w:t>h)</w:t>
      </w:r>
      <w:r w:rsidR="00DF301C" w:rsidRPr="00DF301C">
        <w:tab/>
        <w:t>Меры, принимаемые в случае, если не соблюдены критерии приемлемости</w:t>
      </w:r>
    </w:p>
    <w:p w:rsidR="00DF301C" w:rsidRPr="00DF301C" w:rsidRDefault="004D78D9" w:rsidP="004D78D9">
      <w:pPr>
        <w:pStyle w:val="SingleTxtGR"/>
        <w:ind w:left="2268" w:hanging="1134"/>
      </w:pPr>
      <w:r>
        <w:tab/>
      </w:r>
      <w:r>
        <w:tab/>
      </w:r>
      <w:r w:rsidR="00DF301C" w:rsidRPr="00DF301C">
        <w:t>Если результат испытания на разрыв, испытания на отслаивание и коррозию или испытания на адгезию не соответствует критериям, указанным в предыдущей таблице, партия баллонов с формованным защитным кожухом, которой это может касаться, должна быть отобрана для проведения дальнейшего разбирательства и не должна подвергаться наполнению, транспортировке и использованию.</w:t>
      </w:r>
    </w:p>
    <w:p w:rsidR="00DF301C" w:rsidRPr="00DF301C" w:rsidRDefault="004D78D9" w:rsidP="004D78D9">
      <w:pPr>
        <w:pStyle w:val="SingleTxtGR"/>
        <w:ind w:left="2268" w:hanging="1134"/>
      </w:pPr>
      <w:r>
        <w:tab/>
      </w:r>
      <w:r>
        <w:tab/>
      </w:r>
      <w:r w:rsidR="00DF301C" w:rsidRPr="00DF301C">
        <w:t>В соответствии с договоренностью с компетентным органом, его представителями или органом Xa, выдавшим свидетельство об утверждении конструкции, могут быть проведены дополнительные испытания с целью определить причину непрохождения испытания и затрагиваемую(ые) группу(ы) в рамках соответствующей партии.</w:t>
      </w:r>
    </w:p>
    <w:p w:rsidR="00DF301C" w:rsidRPr="00DF301C" w:rsidRDefault="004D78D9" w:rsidP="004D78D9">
      <w:pPr>
        <w:pStyle w:val="SingleTxtGR"/>
        <w:ind w:left="2268" w:hanging="1134"/>
      </w:pPr>
      <w:r>
        <w:tab/>
      </w:r>
      <w:r>
        <w:tab/>
      </w:r>
      <w:r w:rsidR="00DF301C" w:rsidRPr="00DF301C">
        <w:t>Компетентный орган может разрешить дальнейшую эксплуатацию той группы (тех групп) из соответствующей партии, на которую(ые) основная причина непрохождения испытания не распространяется.</w:t>
      </w:r>
    </w:p>
    <w:p w:rsidR="00DF301C" w:rsidRPr="00DF301C" w:rsidRDefault="004D78D9" w:rsidP="004D78D9">
      <w:pPr>
        <w:pStyle w:val="SingleTxtGR"/>
        <w:ind w:left="2268" w:hanging="1134"/>
      </w:pPr>
      <w:r>
        <w:tab/>
      </w:r>
      <w:r w:rsidR="00DF301C" w:rsidRPr="00DF301C">
        <w:t>i)</w:t>
      </w:r>
      <w:r w:rsidR="00DF301C" w:rsidRPr="00DF301C">
        <w:tab/>
        <w:t>Требования, предъявляемые к заправочным пунктам</w:t>
      </w:r>
    </w:p>
    <w:p w:rsidR="00DF301C" w:rsidRPr="00DF301C" w:rsidRDefault="004D78D9" w:rsidP="004D78D9">
      <w:pPr>
        <w:pStyle w:val="SingleTxtGR"/>
        <w:ind w:left="2268" w:hanging="1134"/>
      </w:pPr>
      <w:r>
        <w:tab/>
      </w:r>
      <w:r>
        <w:tab/>
      </w:r>
      <w:r w:rsidR="00DF301C" w:rsidRPr="00DF301C">
        <w:t>Владелец должен предоставить компетентному органу документальные свидетельства того, что заправочные центры:</w:t>
      </w:r>
    </w:p>
    <w:p w:rsidR="00DF301C" w:rsidRPr="00DF301C" w:rsidRDefault="00DF301C" w:rsidP="004D78D9">
      <w:pPr>
        <w:pStyle w:val="Bullet2GR"/>
      </w:pPr>
      <w:r w:rsidRPr="00DF301C">
        <w:t>отвечают положениям пункта (7) инструкции по упаковке P200 и что требования стандарта в отношении проверок перед наполнением, указанного в таблице пункта (11) инструкции P200, соблюдены и выполняются надлежащим образом;</w:t>
      </w:r>
    </w:p>
    <w:p w:rsidR="00DF301C" w:rsidRPr="00DF301C" w:rsidRDefault="00DF301C" w:rsidP="004D78D9">
      <w:pPr>
        <w:pStyle w:val="Bullet2GR"/>
      </w:pPr>
      <w:r w:rsidRPr="00DF301C">
        <w:t>имеют соответствующие средства для идентификации баллонов с формованным защитным кожухом с помощью устройства для электронной идентификации;</w:t>
      </w:r>
    </w:p>
    <w:p w:rsidR="00DF301C" w:rsidRPr="00DF301C" w:rsidRDefault="00DF301C" w:rsidP="004D78D9">
      <w:pPr>
        <w:pStyle w:val="Bullet2GR"/>
      </w:pPr>
      <w:r w:rsidRPr="00DF301C">
        <w:t>имеют доступ к базе данных, упомянутой в подпункте d);</w:t>
      </w:r>
    </w:p>
    <w:p w:rsidR="00DF301C" w:rsidRPr="00DF301C" w:rsidRDefault="00DF301C" w:rsidP="004D78D9">
      <w:pPr>
        <w:pStyle w:val="Bullet2GR"/>
      </w:pPr>
      <w:r w:rsidRPr="00DF301C">
        <w:t>имеют возможности для обновления этой базы данных;</w:t>
      </w:r>
    </w:p>
    <w:p w:rsidR="00DF301C" w:rsidRPr="00DF301C" w:rsidRDefault="00DF301C" w:rsidP="004D78D9">
      <w:pPr>
        <w:pStyle w:val="Bullet2GR"/>
      </w:pPr>
      <w:r w:rsidRPr="00DF301C">
        <w:t>применяют систему качества, соответствующую ста</w:t>
      </w:r>
      <w:r w:rsidR="00ED2AAE">
        <w:t>ндартам серии </w:t>
      </w:r>
      <w:r w:rsidRPr="00DF301C">
        <w:t>ISO 9000 или эквивалентным стандартам, которая сертифицирована аккредитованным независимым органом, признанным компетентным органом.</w:t>
      </w:r>
      <w:r w:rsidR="00771EDA">
        <w:t>»</w:t>
      </w:r>
      <w:r w:rsidRPr="00DF301C">
        <w:t>.</w:t>
      </w:r>
    </w:p>
    <w:p w:rsidR="00DF301C" w:rsidRPr="00DF301C" w:rsidRDefault="00DF301C" w:rsidP="00DF301C">
      <w:pPr>
        <w:pStyle w:val="SingleTxtGR"/>
      </w:pPr>
      <w:r w:rsidRPr="00DF301C">
        <w:t>19.</w:t>
      </w:r>
      <w:r w:rsidRPr="00DF301C">
        <w:tab/>
        <w:t xml:space="preserve">Снять исключение </w:t>
      </w:r>
      <w:r w:rsidR="00771EDA">
        <w:t>«</w:t>
      </w:r>
      <w:r w:rsidRPr="00DF301C">
        <w:t>3.5 и приложения G</w:t>
      </w:r>
      <w:r w:rsidR="00771EDA">
        <w:t>»</w:t>
      </w:r>
      <w:r w:rsidRPr="00DF301C">
        <w:t xml:space="preserve"> для стандарта EN 1439:2008 в таблице, приведенной в пункте (11) инструкции P200.</w:t>
      </w:r>
    </w:p>
    <w:p w:rsidR="00DF301C" w:rsidRPr="00DF301C" w:rsidRDefault="00DF301C" w:rsidP="00DF301C">
      <w:pPr>
        <w:pStyle w:val="SingleTxtGR"/>
      </w:pPr>
      <w:r w:rsidRPr="00DF301C">
        <w:t>20.</w:t>
      </w:r>
      <w:r w:rsidRPr="00DF301C">
        <w:tab/>
        <w:t xml:space="preserve">Снять исключение </w:t>
      </w:r>
      <w:r w:rsidR="00771EDA">
        <w:t>«</w:t>
      </w:r>
      <w:r w:rsidRPr="00DF301C">
        <w:t>баллонов с формованным защитным кожухом</w:t>
      </w:r>
      <w:r w:rsidR="00771EDA">
        <w:t>»</w:t>
      </w:r>
      <w:r w:rsidRPr="00DF301C">
        <w:t xml:space="preserve"> для стандарта EN 14140:2014+AC:2015 в та</w:t>
      </w:r>
      <w:r w:rsidR="004D78D9">
        <w:t>блице, приведенной в подразделе </w:t>
      </w:r>
      <w:r w:rsidRPr="00DF301C">
        <w:t>6.2.4.1.</w:t>
      </w:r>
    </w:p>
    <w:p w:rsidR="00DF301C" w:rsidRPr="00DF301C" w:rsidRDefault="00DF301C" w:rsidP="00DF301C">
      <w:pPr>
        <w:pStyle w:val="SingleTxtGR"/>
      </w:pPr>
      <w:r w:rsidRPr="00DF301C">
        <w:t>21.</w:t>
      </w:r>
      <w:r w:rsidRPr="00DF301C">
        <w:tab/>
        <w:t xml:space="preserve">Снять исключение </w:t>
      </w:r>
      <w:r w:rsidR="00771EDA">
        <w:t>«</w:t>
      </w:r>
      <w:r w:rsidRPr="00DF301C">
        <w:t>пункта 3.5, приложения F и приложения G</w:t>
      </w:r>
      <w:r w:rsidR="00771EDA">
        <w:t>»</w:t>
      </w:r>
      <w:r w:rsidRPr="00DF301C">
        <w:t xml:space="preserve"> для стандарта EN 16728:2016 в таблице, приведенной в подразделе 6.2.4.2, в ожидании производимого обновления.</w:t>
      </w:r>
    </w:p>
    <w:p w:rsidR="00E12C5F" w:rsidRPr="004D78D9" w:rsidRDefault="004D78D9" w:rsidP="004D78D9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F301C" w:rsidRPr="00DF301C" w:rsidRDefault="00DF301C" w:rsidP="00DF301C">
      <w:pPr>
        <w:pStyle w:val="SingleTxtGR"/>
      </w:pPr>
    </w:p>
    <w:p w:rsidR="00DF301C" w:rsidRPr="00DF301C" w:rsidRDefault="00DF301C" w:rsidP="00DF301C">
      <w:pPr>
        <w:pStyle w:val="SingleTxtGR"/>
      </w:pPr>
    </w:p>
    <w:sectPr w:rsidR="00DF301C" w:rsidRPr="00DF301C" w:rsidSect="00DF301C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007" w:rsidRPr="00A312BC" w:rsidRDefault="00417007" w:rsidP="00A312BC"/>
  </w:endnote>
  <w:endnote w:type="continuationSeparator" w:id="0">
    <w:p w:rsidR="00417007" w:rsidRPr="00A312BC" w:rsidRDefault="0041700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007" w:rsidRPr="00DF301C" w:rsidRDefault="00417007">
    <w:pPr>
      <w:pStyle w:val="Footer"/>
    </w:pPr>
    <w:r w:rsidRPr="00DF301C">
      <w:rPr>
        <w:b/>
        <w:sz w:val="18"/>
      </w:rPr>
      <w:fldChar w:fldCharType="begin"/>
    </w:r>
    <w:r w:rsidRPr="00DF301C">
      <w:rPr>
        <w:b/>
        <w:sz w:val="18"/>
      </w:rPr>
      <w:instrText xml:space="preserve"> PAGE  \* MERGEFORMAT </w:instrText>
    </w:r>
    <w:r w:rsidRPr="00DF301C">
      <w:rPr>
        <w:b/>
        <w:sz w:val="18"/>
      </w:rPr>
      <w:fldChar w:fldCharType="separate"/>
    </w:r>
    <w:r w:rsidR="001F3372">
      <w:rPr>
        <w:b/>
        <w:noProof/>
        <w:sz w:val="18"/>
      </w:rPr>
      <w:t>2</w:t>
    </w:r>
    <w:r w:rsidRPr="00DF301C">
      <w:rPr>
        <w:b/>
        <w:sz w:val="18"/>
      </w:rPr>
      <w:fldChar w:fldCharType="end"/>
    </w:r>
    <w:r>
      <w:rPr>
        <w:b/>
        <w:sz w:val="18"/>
      </w:rPr>
      <w:tab/>
    </w:r>
    <w:r>
      <w:t>GE.17-11322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007" w:rsidRPr="00DF301C" w:rsidRDefault="00417007" w:rsidP="00DF301C">
    <w:pPr>
      <w:pStyle w:val="Footer"/>
      <w:tabs>
        <w:tab w:val="clear" w:pos="9639"/>
        <w:tab w:val="right" w:pos="9638"/>
      </w:tabs>
      <w:rPr>
        <w:b/>
        <w:sz w:val="18"/>
      </w:rPr>
    </w:pPr>
    <w:r>
      <w:t>GE.17-11322</w:t>
    </w:r>
    <w:r>
      <w:tab/>
    </w:r>
    <w:r w:rsidRPr="00DF301C">
      <w:rPr>
        <w:b/>
        <w:sz w:val="18"/>
      </w:rPr>
      <w:fldChar w:fldCharType="begin"/>
    </w:r>
    <w:r w:rsidRPr="00DF301C">
      <w:rPr>
        <w:b/>
        <w:sz w:val="18"/>
      </w:rPr>
      <w:instrText xml:space="preserve"> PAGE  \* MERGEFORMAT </w:instrText>
    </w:r>
    <w:r w:rsidRPr="00DF301C">
      <w:rPr>
        <w:b/>
        <w:sz w:val="18"/>
      </w:rPr>
      <w:fldChar w:fldCharType="separate"/>
    </w:r>
    <w:r w:rsidR="001F3372">
      <w:rPr>
        <w:b/>
        <w:noProof/>
        <w:sz w:val="18"/>
      </w:rPr>
      <w:t>11</w:t>
    </w:r>
    <w:r w:rsidRPr="00DF301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007" w:rsidRPr="00DF301C" w:rsidRDefault="00417007" w:rsidP="00DF301C">
    <w:pPr>
      <w:spacing w:before="120" w:line="240" w:lineRule="auto"/>
    </w:pPr>
    <w:r>
      <w:t>GE.</w:t>
    </w:r>
    <w:r>
      <w:rPr>
        <w:b/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03C883AC" wp14:editId="3E70116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17-11322  (R)</w:t>
    </w:r>
    <w:r>
      <w:rPr>
        <w:lang w:val="en-US"/>
      </w:rPr>
      <w:t xml:space="preserve">  250717  280717</w:t>
    </w:r>
    <w:r>
      <w:br/>
    </w:r>
    <w:r w:rsidRPr="00DF301C">
      <w:rPr>
        <w:rFonts w:ascii="C39T30Lfz" w:hAnsi="C39T30Lfz"/>
        <w:spacing w:val="0"/>
        <w:w w:val="100"/>
        <w:sz w:val="56"/>
      </w:rPr>
      <w:t></w:t>
    </w:r>
    <w:r w:rsidRPr="00DF301C">
      <w:rPr>
        <w:rFonts w:ascii="C39T30Lfz" w:hAnsi="C39T30Lfz"/>
        <w:spacing w:val="0"/>
        <w:w w:val="100"/>
        <w:sz w:val="56"/>
      </w:rPr>
      <w:t></w:t>
    </w:r>
    <w:r w:rsidRPr="00DF301C">
      <w:rPr>
        <w:rFonts w:ascii="C39T30Lfz" w:hAnsi="C39T30Lfz"/>
        <w:spacing w:val="0"/>
        <w:w w:val="100"/>
        <w:sz w:val="56"/>
      </w:rPr>
      <w:t></w:t>
    </w:r>
    <w:r w:rsidRPr="00DF301C">
      <w:rPr>
        <w:rFonts w:ascii="C39T30Lfz" w:hAnsi="C39T30Lfz"/>
        <w:spacing w:val="0"/>
        <w:w w:val="100"/>
        <w:sz w:val="56"/>
      </w:rPr>
      <w:t></w:t>
    </w:r>
    <w:r w:rsidRPr="00DF301C">
      <w:rPr>
        <w:rFonts w:ascii="C39T30Lfz" w:hAnsi="C39T30Lfz"/>
        <w:spacing w:val="0"/>
        <w:w w:val="100"/>
        <w:sz w:val="56"/>
      </w:rPr>
      <w:t></w:t>
    </w:r>
    <w:r w:rsidRPr="00DF301C">
      <w:rPr>
        <w:rFonts w:ascii="C39T30Lfz" w:hAnsi="C39T30Lfz"/>
        <w:spacing w:val="0"/>
        <w:w w:val="100"/>
        <w:sz w:val="56"/>
      </w:rPr>
      <w:t></w:t>
    </w:r>
    <w:r w:rsidRPr="00DF301C">
      <w:rPr>
        <w:rFonts w:ascii="C39T30Lfz" w:hAnsi="C39T30Lfz"/>
        <w:spacing w:val="0"/>
        <w:w w:val="100"/>
        <w:sz w:val="56"/>
      </w:rPr>
      <w:t></w:t>
    </w:r>
    <w:r w:rsidRPr="00DF301C">
      <w:rPr>
        <w:rFonts w:ascii="C39T30Lfz" w:hAnsi="C39T30Lfz"/>
        <w:spacing w:val="0"/>
        <w:w w:val="100"/>
        <w:sz w:val="56"/>
      </w:rPr>
      <w:t></w:t>
    </w:r>
    <w:r w:rsidRPr="00DF301C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ECE/TRANS/WP.15/AC.1/2017/3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7/3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007" w:rsidRPr="001075E9" w:rsidRDefault="0041700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17007" w:rsidRDefault="0041700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17007" w:rsidRPr="00771EDA" w:rsidRDefault="00417007">
      <w:pPr>
        <w:pStyle w:val="FootnoteText"/>
        <w:rPr>
          <w:sz w:val="20"/>
          <w:lang w:val="ru-RU"/>
        </w:rPr>
      </w:pPr>
      <w:r>
        <w:tab/>
      </w:r>
      <w:r w:rsidRPr="00771EDA">
        <w:rPr>
          <w:rStyle w:val="FootnoteReference"/>
          <w:sz w:val="20"/>
          <w:vertAlign w:val="baseline"/>
          <w:lang w:val="ru-RU"/>
        </w:rPr>
        <w:t>*</w:t>
      </w:r>
      <w:r w:rsidRPr="00771EDA">
        <w:rPr>
          <w:rStyle w:val="FootnoteReference"/>
          <w:vertAlign w:val="baseline"/>
          <w:lang w:val="ru-RU"/>
        </w:rPr>
        <w:tab/>
      </w:r>
      <w:r>
        <w:rPr>
          <w:lang w:val="ru-RU"/>
        </w:rPr>
        <w:t xml:space="preserve">В соответствии с программой работы Комитета по внутреннему транспорту </w:t>
      </w:r>
      <w:r w:rsidRPr="00771EDA">
        <w:rPr>
          <w:lang w:val="ru-RU"/>
        </w:rPr>
        <w:br/>
      </w:r>
      <w:r>
        <w:rPr>
          <w:lang w:val="ru-RU"/>
        </w:rPr>
        <w:t>на 2016–2017 годы (ECE/TRANS/2016/28/Add.1 (9.2)).</w:t>
      </w:r>
    </w:p>
  </w:footnote>
  <w:footnote w:id="2">
    <w:p w:rsidR="00417007" w:rsidRPr="00771EDA" w:rsidRDefault="00417007">
      <w:pPr>
        <w:pStyle w:val="FootnoteText"/>
        <w:rPr>
          <w:sz w:val="20"/>
          <w:lang w:val="ru-RU"/>
        </w:rPr>
      </w:pPr>
      <w:r w:rsidRPr="00771EDA">
        <w:rPr>
          <w:lang w:val="ru-RU"/>
        </w:rPr>
        <w:tab/>
      </w:r>
      <w:r w:rsidRPr="00771EDA">
        <w:rPr>
          <w:rStyle w:val="FootnoteReference"/>
          <w:sz w:val="20"/>
          <w:vertAlign w:val="baseline"/>
          <w:lang w:val="ru-RU"/>
        </w:rPr>
        <w:t>**</w:t>
      </w:r>
      <w:r w:rsidRPr="00771EDA">
        <w:rPr>
          <w:rStyle w:val="FootnoteReference"/>
          <w:vertAlign w:val="baseline"/>
          <w:lang w:val="ru-RU"/>
        </w:rPr>
        <w:tab/>
      </w:r>
      <w:r>
        <w:rPr>
          <w:lang w:val="ru-RU"/>
        </w:rPr>
        <w:t>Распространено Межправительственной организацией по международным железнодорожным перевозкам (ОТИФ) под символом OTIF/RID/RC/2017/33.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007" w:rsidRPr="00DF301C" w:rsidRDefault="001F337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16125C">
      <w:t>ECE/TRANS/WP.15/AC.1/2017/33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007" w:rsidRPr="00DF301C" w:rsidRDefault="001F3372" w:rsidP="00DF301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6125C">
      <w:t>ECE/TRANS/WP.15/AC.1/2017/33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D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6125C"/>
    <w:rsid w:val="00180183"/>
    <w:rsid w:val="0018024D"/>
    <w:rsid w:val="0018649F"/>
    <w:rsid w:val="00196389"/>
    <w:rsid w:val="001B3EF6"/>
    <w:rsid w:val="001C7A89"/>
    <w:rsid w:val="001F3372"/>
    <w:rsid w:val="00244CD0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17007"/>
    <w:rsid w:val="00424203"/>
    <w:rsid w:val="00452493"/>
    <w:rsid w:val="00453318"/>
    <w:rsid w:val="00454AF2"/>
    <w:rsid w:val="00454E07"/>
    <w:rsid w:val="00472C5C"/>
    <w:rsid w:val="004D78D9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C4309"/>
    <w:rsid w:val="006D461A"/>
    <w:rsid w:val="006F35EE"/>
    <w:rsid w:val="007021FF"/>
    <w:rsid w:val="00712895"/>
    <w:rsid w:val="00734ACB"/>
    <w:rsid w:val="00757357"/>
    <w:rsid w:val="00771EDA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A14DA8"/>
    <w:rsid w:val="00A257D4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301C"/>
    <w:rsid w:val="00DF5767"/>
    <w:rsid w:val="00DF71B9"/>
    <w:rsid w:val="00E12C5F"/>
    <w:rsid w:val="00E73F76"/>
    <w:rsid w:val="00EA2C9F"/>
    <w:rsid w:val="00EA420E"/>
    <w:rsid w:val="00ED0BDA"/>
    <w:rsid w:val="00ED2AAE"/>
    <w:rsid w:val="00EE142A"/>
    <w:rsid w:val="00EF1360"/>
    <w:rsid w:val="00EF3220"/>
    <w:rsid w:val="00F2523A"/>
    <w:rsid w:val="00F43903"/>
    <w:rsid w:val="00F52D3A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C69CF07-D8DC-4262-A10C-5DE3B5FF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Tabletext9">
    <w:name w:val="Table text (9)"/>
    <w:basedOn w:val="Normal"/>
    <w:rsid w:val="00DF301C"/>
    <w:pPr>
      <w:spacing w:before="60" w:after="60" w:line="210" w:lineRule="atLeast"/>
      <w:jc w:val="both"/>
    </w:pPr>
    <w:rPr>
      <w:rFonts w:ascii="Arial" w:eastAsia="MS Mincho" w:hAnsi="Arial" w:cs="Times New Roman"/>
      <w:spacing w:val="0"/>
      <w:w w:val="100"/>
      <w:kern w:val="0"/>
      <w:sz w:val="18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3329</Words>
  <Characters>18980</Characters>
  <Application>Microsoft Office Word</Application>
  <DocSecurity>0</DocSecurity>
  <Lines>158</Lines>
  <Paragraphs>44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ECE/TRANS/WP.15/AC.1/2017/33</vt:lpstr>
      <vt:lpstr>ECE/TRANS/WP.15/AC.1/2017/33</vt:lpstr>
      <vt:lpstr>A/</vt:lpstr>
    </vt:vector>
  </TitlesOfParts>
  <Company>DCM</Company>
  <LinksUpToDate>false</LinksUpToDate>
  <CharactersWithSpaces>22265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ECE/TRANS/WP.15/AC.1/2017/33</dc:title>
  <dc:subject/>
  <dc:creator>Anna Blagodatskikh</dc:creator>
  <cp:keywords/>
  <cp:lastModifiedBy>Christine Barrio-Champeau</cp:lastModifiedBy>
  <cp:revision>2</cp:revision>
  <cp:lastPrinted>2017-07-28T07:44:00Z</cp:lastPrinted>
  <dcterms:created xsi:type="dcterms:W3CDTF">2017-08-04T08:16:00Z</dcterms:created>
  <dcterms:modified xsi:type="dcterms:W3CDTF">2017-08-04T08:16:00Z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