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749C2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3749C2" w:rsidRDefault="003749C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749C2" w:rsidRDefault="003641EC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3749C2" w:rsidRDefault="003641EC" w:rsidP="00941473">
            <w:pPr>
              <w:jc w:val="right"/>
            </w:pPr>
            <w:r>
              <w:rPr>
                <w:sz w:val="40"/>
              </w:rPr>
              <w:t>ECE</w:t>
            </w:r>
            <w:r w:rsidR="001E334E">
              <w:t>/TRANS/WP.15/AC.1/2017</w:t>
            </w:r>
            <w:r w:rsidR="00B669F8">
              <w:t>/</w:t>
            </w:r>
            <w:r w:rsidR="001E334E">
              <w:t>2</w:t>
            </w:r>
            <w:r w:rsidR="00941473">
              <w:t>7</w:t>
            </w:r>
          </w:p>
        </w:tc>
      </w:tr>
      <w:tr w:rsidR="003749C2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749C2" w:rsidRDefault="003641EC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4375" cy="590550"/>
                  <wp:effectExtent l="0" t="0" r="9525" b="0"/>
                  <wp:docPr id="3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749C2" w:rsidRDefault="003641EC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749C2" w:rsidRDefault="003641EC">
            <w:pPr>
              <w:spacing w:before="240"/>
            </w:pPr>
            <w:r>
              <w:t>Distr. générale</w:t>
            </w:r>
          </w:p>
          <w:p w:rsidR="003749C2" w:rsidRDefault="00B25953">
            <w:pPr>
              <w:spacing w:line="240" w:lineRule="exact"/>
            </w:pPr>
            <w:r>
              <w:t>2</w:t>
            </w:r>
            <w:r w:rsidR="00B669F8">
              <w:t xml:space="preserve"> </w:t>
            </w:r>
            <w:r w:rsidR="001E334E">
              <w:t>juin</w:t>
            </w:r>
            <w:r w:rsidR="00B669F8">
              <w:t xml:space="preserve"> 201</w:t>
            </w:r>
            <w:r w:rsidR="001E334E">
              <w:t>7</w:t>
            </w:r>
          </w:p>
          <w:p w:rsidR="003749C2" w:rsidRDefault="003749C2">
            <w:pPr>
              <w:spacing w:line="240" w:lineRule="exact"/>
            </w:pPr>
          </w:p>
          <w:p w:rsidR="003749C2" w:rsidRDefault="003641EC">
            <w:pPr>
              <w:spacing w:line="240" w:lineRule="exact"/>
            </w:pPr>
            <w:r>
              <w:t>Original: français</w:t>
            </w:r>
          </w:p>
        </w:tc>
      </w:tr>
    </w:tbl>
    <w:p w:rsidR="003749C2" w:rsidRDefault="003641EC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Commission économique pour l’Europe</w:t>
      </w:r>
    </w:p>
    <w:p w:rsidR="003749C2" w:rsidRDefault="003641EC">
      <w:pPr>
        <w:spacing w:before="120"/>
        <w:rPr>
          <w:sz w:val="28"/>
          <w:szCs w:val="28"/>
        </w:rPr>
      </w:pPr>
      <w:r>
        <w:rPr>
          <w:sz w:val="28"/>
          <w:szCs w:val="28"/>
        </w:rPr>
        <w:t>Comité des transports intérieurs</w:t>
      </w:r>
    </w:p>
    <w:p w:rsidR="003749C2" w:rsidRDefault="003641EC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des transports de marchandises dangereuses</w:t>
      </w:r>
    </w:p>
    <w:p w:rsidR="003749C2" w:rsidRDefault="003641EC">
      <w:pPr>
        <w:spacing w:before="120"/>
        <w:rPr>
          <w:b/>
        </w:rPr>
      </w:pPr>
      <w:r>
        <w:rPr>
          <w:b/>
        </w:rPr>
        <w:t>Réunion commune de la Commission d’experts du RID et</w:t>
      </w:r>
      <w:r>
        <w:rPr>
          <w:b/>
        </w:rPr>
        <w:br/>
        <w:t>du Groupe de travail des transports de marchandises dangereuses</w:t>
      </w:r>
    </w:p>
    <w:p w:rsidR="003749C2" w:rsidRDefault="003951BE">
      <w:pPr>
        <w:suppressAutoHyphens w:val="0"/>
        <w:spacing w:line="240" w:lineRule="auto"/>
        <w:rPr>
          <w:lang w:eastAsia="fr-CH"/>
        </w:rPr>
      </w:pPr>
      <w:r>
        <w:t>Genève</w:t>
      </w:r>
      <w:bookmarkStart w:id="0" w:name="_GoBack"/>
      <w:bookmarkEnd w:id="0"/>
      <w:r w:rsidR="003641EC">
        <w:t>, 1</w:t>
      </w:r>
      <w:r w:rsidR="00AC4D63">
        <w:t>9</w:t>
      </w:r>
      <w:r w:rsidR="003641EC">
        <w:t>-</w:t>
      </w:r>
      <w:r w:rsidR="00AC4D63">
        <w:t>29</w:t>
      </w:r>
      <w:r w:rsidR="003641EC">
        <w:t xml:space="preserve"> </w:t>
      </w:r>
      <w:r w:rsidR="00AC4D63">
        <w:t>septembre</w:t>
      </w:r>
      <w:r w:rsidR="003641EC">
        <w:t xml:space="preserve"> 201</w:t>
      </w:r>
      <w:r w:rsidR="00AC4D63">
        <w:t>7</w:t>
      </w:r>
    </w:p>
    <w:p w:rsidR="003749C2" w:rsidRDefault="0045132A">
      <w:pPr>
        <w:rPr>
          <w:lang w:eastAsia="fr-CH"/>
        </w:rPr>
      </w:pPr>
      <w:r>
        <w:rPr>
          <w:lang w:eastAsia="fr-CH"/>
        </w:rPr>
        <w:t>Point 5 b</w:t>
      </w:r>
      <w:r w:rsidR="003641EC">
        <w:rPr>
          <w:lang w:eastAsia="fr-CH"/>
        </w:rPr>
        <w:t>) de l'ordre du jour provisoire</w:t>
      </w:r>
    </w:p>
    <w:p w:rsidR="003749C2" w:rsidRDefault="003641EC">
      <w:pPr>
        <w:rPr>
          <w:b/>
        </w:rPr>
      </w:pPr>
      <w:r>
        <w:rPr>
          <w:b/>
          <w:lang w:eastAsia="fr-CH"/>
        </w:rPr>
        <w:t>Propositions diverses d’amendements au RID/ADR/ADN</w:t>
      </w:r>
      <w:r>
        <w:rPr>
          <w:b/>
        </w:rPr>
        <w:t>:</w:t>
      </w:r>
    </w:p>
    <w:p w:rsidR="003749C2" w:rsidRPr="00B669F8" w:rsidRDefault="00643924">
      <w:pPr>
        <w:rPr>
          <w:b/>
        </w:rPr>
      </w:pPr>
      <w:r>
        <w:rPr>
          <w:b/>
        </w:rPr>
        <w:t>n</w:t>
      </w:r>
      <w:r w:rsidR="0045132A">
        <w:rPr>
          <w:b/>
        </w:rPr>
        <w:t>ouvelles propositions</w:t>
      </w:r>
    </w:p>
    <w:p w:rsidR="003749C2" w:rsidRDefault="004D25D6">
      <w:pPr>
        <w:pStyle w:val="HChG"/>
        <w:rPr>
          <w:rFonts w:eastAsia="Arial"/>
        </w:rPr>
      </w:pPr>
      <w:r>
        <w:tab/>
      </w:r>
      <w:r>
        <w:tab/>
        <w:t>Disposition spéciale 666</w:t>
      </w:r>
      <w:r w:rsidR="003641EC">
        <w:t xml:space="preserve"> </w:t>
      </w:r>
    </w:p>
    <w:p w:rsidR="003749C2" w:rsidRPr="00613CA5" w:rsidRDefault="003641EC">
      <w:pPr>
        <w:pStyle w:val="H1G"/>
        <w:rPr>
          <w:rFonts w:eastAsia="Arial"/>
          <w:b w:val="0"/>
          <w:vertAlign w:val="superscript"/>
        </w:rPr>
      </w:pPr>
      <w:r>
        <w:rPr>
          <w:rFonts w:eastAsia="Arial"/>
          <w:lang w:val="fr-FR"/>
        </w:rPr>
        <w:tab/>
      </w:r>
      <w:r>
        <w:rPr>
          <w:rFonts w:eastAsia="Arial"/>
          <w:lang w:val="fr-FR"/>
        </w:rPr>
        <w:tab/>
        <w:t>Communication du Gouvernement de la Suisse</w:t>
      </w:r>
      <w:r w:rsidR="00613CA5" w:rsidRPr="00613CA5">
        <w:rPr>
          <w:rStyle w:val="FootnoteReference"/>
          <w:rFonts w:eastAsia="Arial"/>
          <w:sz w:val="20"/>
        </w:rPr>
        <w:footnoteReference w:id="2"/>
      </w:r>
      <w:r w:rsidR="00613CA5">
        <w:rPr>
          <w:rFonts w:eastAsia="Arial"/>
          <w:b w:val="0"/>
          <w:vertAlign w:val="superscript"/>
          <w:lang w:val="fr-FR"/>
        </w:rPr>
        <w:t xml:space="preserve">, </w:t>
      </w:r>
      <w:r w:rsidR="00613CA5" w:rsidRPr="00CC56BB">
        <w:rPr>
          <w:rStyle w:val="FootnoteReference"/>
          <w:rFonts w:eastAsia="Arial"/>
          <w:b w:val="0"/>
          <w:sz w:val="20"/>
        </w:rPr>
        <w:footnoteReference w:customMarkFollows="1" w:id="3"/>
        <w:t>**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7"/>
      </w:tblGrid>
      <w:tr w:rsidR="003749C2">
        <w:trPr>
          <w:jc w:val="center"/>
        </w:trPr>
        <w:tc>
          <w:tcPr>
            <w:tcW w:w="9637" w:type="dxa"/>
            <w:shd w:val="clear" w:color="auto" w:fill="auto"/>
          </w:tcPr>
          <w:p w:rsidR="003749C2" w:rsidRDefault="003641EC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3749C2">
        <w:trPr>
          <w:jc w:val="center"/>
        </w:trPr>
        <w:tc>
          <w:tcPr>
            <w:tcW w:w="9637" w:type="dxa"/>
            <w:shd w:val="clear" w:color="auto" w:fill="auto"/>
          </w:tcPr>
          <w:p w:rsidR="003749C2" w:rsidRDefault="003641EC" w:rsidP="004D25D6">
            <w:pPr>
              <w:pStyle w:val="SingleTxtG"/>
              <w:tabs>
                <w:tab w:val="left" w:pos="3260"/>
              </w:tabs>
              <w:ind w:left="3260" w:hanging="2126"/>
            </w:pPr>
            <w:r>
              <w:rPr>
                <w:b/>
              </w:rPr>
              <w:t>Résumé analytique:</w:t>
            </w:r>
            <w:r>
              <w:rPr>
                <w:b/>
              </w:rPr>
              <w:tab/>
            </w:r>
            <w:r w:rsidR="004D25D6">
              <w:t>La compréhension du champ d’application de la disposition spéciale 666 peut être améliorée par une élimination des termes superflus.</w:t>
            </w:r>
          </w:p>
        </w:tc>
      </w:tr>
      <w:tr w:rsidR="003749C2">
        <w:trPr>
          <w:jc w:val="center"/>
        </w:trPr>
        <w:tc>
          <w:tcPr>
            <w:tcW w:w="9637" w:type="dxa"/>
            <w:shd w:val="clear" w:color="auto" w:fill="auto"/>
          </w:tcPr>
          <w:p w:rsidR="003749C2" w:rsidRDefault="003641EC" w:rsidP="004D25D6">
            <w:pPr>
              <w:pStyle w:val="SingleTxtG"/>
              <w:tabs>
                <w:tab w:val="left" w:pos="3260"/>
              </w:tabs>
              <w:ind w:left="3260" w:hanging="2126"/>
            </w:pPr>
            <w:r>
              <w:rPr>
                <w:b/>
              </w:rPr>
              <w:t>Mesures à prendre:</w:t>
            </w:r>
            <w:r>
              <w:rPr>
                <w:b/>
              </w:rPr>
              <w:tab/>
            </w:r>
            <w:r>
              <w:t xml:space="preserve">Modifier </w:t>
            </w:r>
            <w:r w:rsidR="004D25D6">
              <w:t>la phrase d’introduction de la 666</w:t>
            </w:r>
            <w:r w:rsidR="00AC4D63">
              <w:t>.</w:t>
            </w:r>
          </w:p>
        </w:tc>
      </w:tr>
      <w:tr w:rsidR="003749C2">
        <w:trPr>
          <w:jc w:val="center"/>
        </w:trPr>
        <w:tc>
          <w:tcPr>
            <w:tcW w:w="9637" w:type="dxa"/>
            <w:shd w:val="clear" w:color="auto" w:fill="auto"/>
          </w:tcPr>
          <w:p w:rsidR="003749C2" w:rsidRDefault="003749C2" w:rsidP="004D25D6">
            <w:pPr>
              <w:pStyle w:val="SingleTxtG"/>
              <w:tabs>
                <w:tab w:val="left" w:pos="3260"/>
              </w:tabs>
              <w:ind w:left="3260" w:hanging="2126"/>
            </w:pPr>
          </w:p>
        </w:tc>
      </w:tr>
      <w:tr w:rsidR="003749C2">
        <w:trPr>
          <w:jc w:val="center"/>
        </w:trPr>
        <w:tc>
          <w:tcPr>
            <w:tcW w:w="9637" w:type="dxa"/>
            <w:shd w:val="clear" w:color="auto" w:fill="auto"/>
          </w:tcPr>
          <w:p w:rsidR="003749C2" w:rsidRDefault="003749C2"/>
        </w:tc>
      </w:tr>
    </w:tbl>
    <w:p w:rsidR="003749C2" w:rsidRDefault="00566F6F">
      <w:pPr>
        <w:pStyle w:val="HChG"/>
      </w:pPr>
      <w:r>
        <w:tab/>
      </w:r>
      <w:r>
        <w:tab/>
      </w:r>
      <w:r w:rsidR="003641EC">
        <w:t>Introduction</w:t>
      </w:r>
    </w:p>
    <w:p w:rsidR="001A7A61" w:rsidRDefault="003641EC">
      <w:pPr>
        <w:pStyle w:val="SingleTxtG"/>
      </w:pPr>
      <w:r>
        <w:t>1.</w:t>
      </w:r>
      <w:r>
        <w:tab/>
      </w:r>
      <w:r w:rsidR="001A7A61">
        <w:t>L’introduction da</w:t>
      </w:r>
      <w:r w:rsidR="00FB593E">
        <w:t>ns</w:t>
      </w:r>
      <w:r w:rsidR="001A7A61">
        <w:t xml:space="preserve"> le premier paragraphe de la disposition spéciale 666 nous semble trop compliquée et inutilement longue si l’on remet ce texte dans le contexte du RID-ADR-ADN.</w:t>
      </w:r>
    </w:p>
    <w:p w:rsidR="001A7A61" w:rsidRDefault="001A7A61">
      <w:pPr>
        <w:pStyle w:val="SingleTxtG"/>
      </w:pPr>
      <w:r>
        <w:lastRenderedPageBreak/>
        <w:t>2.</w:t>
      </w:r>
      <w:r>
        <w:tab/>
        <w:t>Il y est question de véhi</w:t>
      </w:r>
      <w:r w:rsidR="00FB593E">
        <w:t>cules</w:t>
      </w:r>
      <w:r w:rsidR="0045132A">
        <w:t xml:space="preserve"> affectés au No ONU</w:t>
      </w:r>
      <w:r>
        <w:t xml:space="preserve"> 3171 et d’équipements m</w:t>
      </w:r>
      <w:r w:rsidR="00FB593E">
        <w:t>û</w:t>
      </w:r>
      <w:r>
        <w:t xml:space="preserve"> par des accumulateurs affectés au No ONU 3171</w:t>
      </w:r>
      <w:r w:rsidR="004D25D6">
        <w:t xml:space="preserve"> ainsi que de dispositions spéciales 240, 312, et 385</w:t>
      </w:r>
      <w:r>
        <w:t xml:space="preserve">. </w:t>
      </w:r>
    </w:p>
    <w:p w:rsidR="001A7A61" w:rsidRDefault="001A7A61">
      <w:pPr>
        <w:pStyle w:val="SingleTxtG"/>
      </w:pPr>
      <w:r>
        <w:t>3.</w:t>
      </w:r>
      <w:r>
        <w:tab/>
        <w:t xml:space="preserve">Etant donné que la disposition spéciale est affectée exclusivement aux Nos ONU 3166 et 3171 ces précisions, qui pouvaient avoir un sens lors de l’élaboration des nouvelles dispositions </w:t>
      </w:r>
      <w:r w:rsidR="00FB593E">
        <w:t>alors qu’</w:t>
      </w:r>
      <w:r>
        <w:t>il n’était pas encore clair à quelles rubriques quelles dispositions devaient être affectées, ont perdu leur justification à la fin du processus. Par conséquent il est superflu de préciser dans la disposition spéciale 666 à quelles rubriques celle-ci s’applique vu qu’elle figure justement au regard de ces rubriques dans le tableau A du chapitre 3.2. On peut donc élim</w:t>
      </w:r>
      <w:r w:rsidR="00D93357">
        <w:t>i</w:t>
      </w:r>
      <w:r>
        <w:t xml:space="preserve">ner </w:t>
      </w:r>
      <w:r w:rsidR="00FB593E">
        <w:t>l</w:t>
      </w:r>
      <w:r>
        <w:t>es références</w:t>
      </w:r>
      <w:r w:rsidR="00FB593E">
        <w:t xml:space="preserve"> aux Nos ONU 3166 et 3171</w:t>
      </w:r>
      <w:r>
        <w:t>.</w:t>
      </w:r>
    </w:p>
    <w:p w:rsidR="00FB593E" w:rsidRDefault="00D93357">
      <w:pPr>
        <w:pStyle w:val="SingleTxtG"/>
      </w:pPr>
      <w:r>
        <w:t>4.</w:t>
      </w:r>
      <w:r>
        <w:tab/>
        <w:t>De la même manière l’affectation aux Nos ONU 3166 et 3171 et la définition de véhicule qui figurent dans les dispositions spéciales 240, 31</w:t>
      </w:r>
      <w:r w:rsidR="00FB593E">
        <w:t>2</w:t>
      </w:r>
      <w:r>
        <w:t xml:space="preserve"> et 385 sont des critères qu’il faut avoir vérifié </w:t>
      </w:r>
      <w:r w:rsidR="00FB593E">
        <w:t xml:space="preserve">auparavant </w:t>
      </w:r>
      <w:r>
        <w:t xml:space="preserve">afin d’établir selon quelle rubrique un véhicule ou équipement doit être transporté. Il est donc inutile de préciser </w:t>
      </w:r>
      <w:r w:rsidR="00FB593E">
        <w:t xml:space="preserve">l’existence des DS 240, 312 et 385 </w:t>
      </w:r>
      <w:r>
        <w:t>encore une fois dans la DS666 vu que celle-ci ne s’applique précisément qu’</w:t>
      </w:r>
      <w:r w:rsidR="00FB593E">
        <w:t>aux rubriques préalablement établies par l’expéditeur auxquelles les dispositions spéciales en question le conduisent</w:t>
      </w:r>
      <w:r>
        <w:t xml:space="preserve">. La répétition dans la DS66 de la référence </w:t>
      </w:r>
      <w:r w:rsidR="00FB593E">
        <w:t>aux</w:t>
      </w:r>
      <w:r>
        <w:t xml:space="preserve"> dispositions s</w:t>
      </w:r>
      <w:r w:rsidR="00F54671">
        <w:t>péciales 240, 312 et 385 est</w:t>
      </w:r>
      <w:r>
        <w:t xml:space="preserve"> également superflue et peut être éliminée.</w:t>
      </w:r>
    </w:p>
    <w:p w:rsidR="00F3251A" w:rsidRDefault="00B25953">
      <w:pPr>
        <w:pStyle w:val="SingleTxtG"/>
      </w:pPr>
      <w:r>
        <w:t>5.</w:t>
      </w:r>
      <w:r>
        <w:tab/>
        <w:t>La disposition des termes «</w:t>
      </w:r>
      <w:r w:rsidR="00F3251A">
        <w:rPr>
          <w:b/>
          <w:u w:val="single"/>
        </w:rPr>
        <w:t>transportés</w:t>
      </w:r>
      <w:r>
        <w:t xml:space="preserve"> en tant que chargement</w:t>
      </w:r>
      <w:r w:rsidR="00F3251A">
        <w:t xml:space="preserve">» dans la phrase d’introduction prête à confusion. Il ne semble pas que le but était d’exonérer </w:t>
      </w:r>
      <w:r w:rsidR="00F802F9">
        <w:t>les marchandises dangereuses transportées en tant que chargement. Or la disposition de ces termes</w:t>
      </w:r>
      <w:r w:rsidR="002E420F">
        <w:t xml:space="preserve"> situés juste avant le membre de phrase « ne sont soumises à aucune autre disposition de l’ADR, » </w:t>
      </w:r>
      <w:r w:rsidR="00F802F9">
        <w:t xml:space="preserve">peut être interprétée comme exonérant les carburants pour véhicules d’une manière générale et indépendamment du fait qu’ils soient ou pas contenus dans les véhicules. </w:t>
      </w:r>
      <w:r w:rsidR="002E420F">
        <w:t>L</w:t>
      </w:r>
      <w:r w:rsidR="00F802F9">
        <w:t>e</w:t>
      </w:r>
      <w:r w:rsidR="002E420F">
        <w:t xml:space="preserve">s termes </w:t>
      </w:r>
      <w:r>
        <w:t>«</w:t>
      </w:r>
      <w:r w:rsidR="002E420F">
        <w:rPr>
          <w:b/>
          <w:u w:val="single"/>
        </w:rPr>
        <w:t>transportés</w:t>
      </w:r>
      <w:r>
        <w:t xml:space="preserve"> en tant que chargement</w:t>
      </w:r>
      <w:r w:rsidR="002E420F">
        <w:t>» doivent</w:t>
      </w:r>
      <w:r w:rsidR="00F802F9">
        <w:t xml:space="preserve"> doit être placé</w:t>
      </w:r>
      <w:r w:rsidR="004821F4">
        <w:t>s</w:t>
      </w:r>
      <w:r w:rsidR="00F802F9">
        <w:t xml:space="preserve"> à un autre endroit dans la phrase.</w:t>
      </w:r>
    </w:p>
    <w:p w:rsidR="00D93357" w:rsidRDefault="00FB593E">
      <w:pPr>
        <w:pStyle w:val="SingleTxtG"/>
      </w:pPr>
      <w:r>
        <w:t>5.</w:t>
      </w:r>
      <w:r>
        <w:tab/>
        <w:t xml:space="preserve">La DS666 est destinée à définir les conditions d’exemption d’une part </w:t>
      </w:r>
      <w:r w:rsidR="0052576A">
        <w:t>d</w:t>
      </w:r>
      <w:r>
        <w:t xml:space="preserve">es véhicules des rubriques Nos ONU 3166 et 3171 </w:t>
      </w:r>
      <w:r w:rsidR="00F802F9">
        <w:t xml:space="preserve">et </w:t>
      </w:r>
      <w:r>
        <w:t>d’autre part des marchandises dangereuses qu’ils contiennent lorsqu</w:t>
      </w:r>
      <w:r w:rsidR="00F802F9">
        <w:t xml:space="preserve">e les véhicules </w:t>
      </w:r>
      <w:r>
        <w:t>sont transportés en tant que chargement. Toutes ces références rendent la compréhension du but de la DS666 inutilement difficile. Le texte avec les modifications en</w:t>
      </w:r>
      <w:r w:rsidR="00B25953">
        <w:t>visagées se présente comme suit</w:t>
      </w:r>
      <w:r>
        <w:t>:</w:t>
      </w:r>
    </w:p>
    <w:p w:rsidR="001A7A61" w:rsidRDefault="001A7A61" w:rsidP="00B25953">
      <w:pPr>
        <w:pStyle w:val="SingleTxtG"/>
        <w:ind w:left="1701"/>
      </w:pPr>
      <w:r>
        <w:t>666</w:t>
      </w:r>
      <w:r>
        <w:tab/>
      </w:r>
      <w:r w:rsidRPr="00FB593E">
        <w:t xml:space="preserve">Les </w:t>
      </w:r>
      <w:r>
        <w:t xml:space="preserve">véhicules </w:t>
      </w:r>
      <w:r w:rsidRPr="001A7A61">
        <w:rPr>
          <w:strike/>
        </w:rPr>
        <w:t>affectés au Nos ONU 3166 ou 3171</w:t>
      </w:r>
      <w:r>
        <w:t xml:space="preserve"> et </w:t>
      </w:r>
      <w:r w:rsidRPr="00FB593E">
        <w:t xml:space="preserve">les </w:t>
      </w:r>
      <w:r>
        <w:t xml:space="preserve">équipements mus par des accumulateurs </w:t>
      </w:r>
      <w:r w:rsidRPr="00D93357">
        <w:rPr>
          <w:strike/>
        </w:rPr>
        <w:t>affectés au No ONU 3171</w:t>
      </w:r>
      <w:r>
        <w:t xml:space="preserve"> </w:t>
      </w:r>
      <w:r w:rsidRPr="00D93357">
        <w:rPr>
          <w:strike/>
        </w:rPr>
        <w:t>conformément aux dispositions spéciales 240, 312 et 385</w:t>
      </w:r>
      <w:r>
        <w:t xml:space="preserve"> </w:t>
      </w:r>
      <w:r w:rsidR="004D25D6">
        <w:t xml:space="preserve">, </w:t>
      </w:r>
      <w:r w:rsidR="004D25D6" w:rsidRPr="004D25D6">
        <w:rPr>
          <w:b/>
          <w:u w:val="single"/>
        </w:rPr>
        <w:t>transportés en tant que chargement</w:t>
      </w:r>
      <w:r w:rsidR="004D25D6">
        <w:t xml:space="preserve"> </w:t>
      </w:r>
      <w:r>
        <w:t>ainsi qu</w:t>
      </w:r>
      <w:r w:rsidRPr="00FB593E">
        <w:t>e</w:t>
      </w:r>
      <w:r>
        <w:t xml:space="preserve"> </w:t>
      </w:r>
      <w:r w:rsidRPr="00FB593E">
        <w:t>les</w:t>
      </w:r>
      <w:r w:rsidRPr="00D93357">
        <w:rPr>
          <w:strike/>
        </w:rPr>
        <w:t xml:space="preserve"> </w:t>
      </w:r>
      <w:r>
        <w:t xml:space="preserve">marchandises dangereuses qu'ils contiennent qui sont nécessaires à leur fonctionnement ou au fonctionnement de leur équipement, </w:t>
      </w:r>
      <w:r w:rsidRPr="004D25D6">
        <w:rPr>
          <w:strike/>
        </w:rPr>
        <w:t>transportés en tant que chargement</w:t>
      </w:r>
      <w:r>
        <w:t>, ne sont soumis</w:t>
      </w:r>
      <w:r w:rsidRPr="00FB593E">
        <w:rPr>
          <w:strike/>
        </w:rPr>
        <w:t>es</w:t>
      </w:r>
      <w:r>
        <w:t xml:space="preserve"> à aucune autre disposition de l’ADR, à condition que les condi</w:t>
      </w:r>
      <w:r w:rsidR="00B25953">
        <w:t>tions suivantes soient remplies.</w:t>
      </w:r>
    </w:p>
    <w:p w:rsidR="00FB593E" w:rsidRDefault="00FB593E" w:rsidP="00FB593E">
      <w:pPr>
        <w:pStyle w:val="SingleTxtG"/>
      </w:pPr>
      <w:r>
        <w:t>6.</w:t>
      </w:r>
      <w:r>
        <w:tab/>
        <w:t>Le p</w:t>
      </w:r>
      <w:r w:rsidR="004D25D6">
        <w:t>a</w:t>
      </w:r>
      <w:r>
        <w:t>ragraphe d’introduction peu</w:t>
      </w:r>
      <w:r w:rsidR="00B25953">
        <w:t>t se lire finalement comme suit</w:t>
      </w:r>
      <w:r>
        <w:t>:</w:t>
      </w:r>
    </w:p>
    <w:p w:rsidR="00FB593E" w:rsidRDefault="00FB593E" w:rsidP="00B25953">
      <w:pPr>
        <w:pStyle w:val="SingleTxtG"/>
        <w:ind w:left="1701"/>
      </w:pPr>
      <w:r>
        <w:t>666</w:t>
      </w:r>
      <w:r>
        <w:tab/>
      </w:r>
      <w:r w:rsidRPr="00FB593E">
        <w:t xml:space="preserve">Les </w:t>
      </w:r>
      <w:r>
        <w:t xml:space="preserve">véhicules et </w:t>
      </w:r>
      <w:r w:rsidRPr="00FB593E">
        <w:t xml:space="preserve">les </w:t>
      </w:r>
      <w:r>
        <w:t>équipe</w:t>
      </w:r>
      <w:r w:rsidR="004D25D6">
        <w:t xml:space="preserve">ments mus par des accumulateurs, transportés en tant que chargement, </w:t>
      </w:r>
      <w:r>
        <w:t>ainsi qu</w:t>
      </w:r>
      <w:r w:rsidRPr="00FB593E">
        <w:t>e</w:t>
      </w:r>
      <w:r>
        <w:t xml:space="preserve"> </w:t>
      </w:r>
      <w:r w:rsidRPr="00FB593E">
        <w:t>les</w:t>
      </w:r>
      <w:r w:rsidR="0052576A">
        <w:t xml:space="preserve"> </w:t>
      </w:r>
      <w:r>
        <w:t>marchandises dangereuses qu'ils contiennent qui sont nécessaires à leur fonctionnement ou au fonctionnement de leur équipement</w:t>
      </w:r>
      <w:r w:rsidR="00E70C03">
        <w:t xml:space="preserve">, </w:t>
      </w:r>
      <w:r>
        <w:t>ne sont soumis à aucune autre disposition de l’ADR, à condition que les conditions suivantes soient rempl</w:t>
      </w:r>
      <w:r w:rsidR="00B25953">
        <w:t>ies.</w:t>
      </w:r>
    </w:p>
    <w:p w:rsidR="003749C2" w:rsidRDefault="003641EC">
      <w:pPr>
        <w:pStyle w:val="SingleTxtG"/>
        <w:spacing w:before="240" w:after="0"/>
        <w:ind w:left="709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749C2">
      <w:headerReference w:type="even" r:id="rId10"/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FF5" w:rsidRDefault="004E7FF5"/>
  </w:endnote>
  <w:endnote w:type="continuationSeparator" w:id="0">
    <w:p w:rsidR="004E7FF5" w:rsidRDefault="004E7FF5"/>
  </w:endnote>
  <w:endnote w:type="continuationNotice" w:id="1">
    <w:p w:rsidR="004E7FF5" w:rsidRDefault="004E7F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FF5" w:rsidRDefault="004E7FF5">
    <w:pPr>
      <w:pStyle w:val="Footer"/>
      <w:tabs>
        <w:tab w:val="right" w:pos="9638"/>
      </w:tabs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3951BE">
      <w:rPr>
        <w:b/>
        <w:noProof/>
        <w:sz w:val="18"/>
      </w:rPr>
      <w:t>2</w:t>
    </w:r>
    <w:r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FF5" w:rsidRDefault="004E7FF5">
    <w:pPr>
      <w:pStyle w:val="Footer"/>
      <w:tabs>
        <w:tab w:val="right" w:pos="9638"/>
      </w:tabs>
      <w:rPr>
        <w:b/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FB593E">
      <w:rPr>
        <w:b/>
        <w:noProof/>
        <w:sz w:val="18"/>
      </w:rPr>
      <w:t>7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FF5" w:rsidRDefault="004E7FF5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E7FF5" w:rsidRDefault="004E7FF5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E7FF5" w:rsidRDefault="004E7FF5"/>
  </w:footnote>
  <w:footnote w:id="2">
    <w:p w:rsidR="00613CA5" w:rsidRPr="00613CA5" w:rsidRDefault="00613CA5">
      <w:pPr>
        <w:pStyle w:val="FootnoteText"/>
        <w:rPr>
          <w:sz w:val="20"/>
        </w:rPr>
      </w:pPr>
      <w:r>
        <w:rPr>
          <w:sz w:val="20"/>
        </w:rPr>
        <w:tab/>
      </w:r>
      <w:r w:rsidRPr="00613CA5">
        <w:rPr>
          <w:rStyle w:val="FootnoteReference"/>
          <w:sz w:val="20"/>
        </w:rPr>
        <w:footnoteRef/>
      </w:r>
      <w:r>
        <w:rPr>
          <w:sz w:val="20"/>
        </w:rPr>
        <w:tab/>
      </w:r>
      <w:r w:rsidRPr="00811D4D">
        <w:t>Conformément au programme de travail du Comité des transports intérieurs pour 2016-2017 (ECE/TRANS/2016/28/Add.1 (9.2)).</w:t>
      </w:r>
    </w:p>
  </w:footnote>
  <w:footnote w:id="3">
    <w:p w:rsidR="00613CA5" w:rsidRPr="00613CA5" w:rsidRDefault="00613CA5">
      <w:pPr>
        <w:pStyle w:val="FootnoteText"/>
        <w:rPr>
          <w:sz w:val="20"/>
        </w:rPr>
      </w:pPr>
      <w:r>
        <w:tab/>
      </w:r>
      <w:r w:rsidRPr="00613CA5">
        <w:rPr>
          <w:rStyle w:val="FootnoteReference"/>
          <w:sz w:val="20"/>
        </w:rPr>
        <w:t>**</w:t>
      </w:r>
      <w:r>
        <w:rPr>
          <w:sz w:val="20"/>
        </w:rPr>
        <w:tab/>
      </w:r>
      <w:r w:rsidRPr="00811D4D">
        <w:t>Distribuée par l</w:t>
      </w:r>
      <w:r>
        <w:t>’</w:t>
      </w:r>
      <w:r w:rsidRPr="00811D4D">
        <w:t xml:space="preserve">Organisation intergouvernementale pour les transports internationaux ferroviaires (OTIF) </w:t>
      </w:r>
      <w:r>
        <w:t>sous la cote OTIF/RID/RC/2016/27</w:t>
      </w:r>
      <w:r w:rsidRPr="00811D4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FF5" w:rsidRDefault="00D25F90">
    <w:pPr>
      <w:pStyle w:val="Header"/>
    </w:pPr>
    <w:r>
      <w:t>ECE/TRANS/WP.15/AC.1/2017/27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FF5" w:rsidRDefault="004E7FF5">
    <w:pPr>
      <w:pStyle w:val="Header"/>
      <w:jc w:val="right"/>
    </w:pPr>
    <w:r>
      <w:t>ECE/TRANS/WP.15/AC.1/2016/16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E69E7"/>
    <w:multiLevelType w:val="hybridMultilevel"/>
    <w:tmpl w:val="2F28A252"/>
    <w:lvl w:ilvl="0" w:tplc="04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2360900C" w:tentative="1">
      <w:start w:val="1"/>
      <w:numFmt w:val="bullet"/>
      <w:lvlText w:val="•"/>
      <w:lvlJc w:val="left"/>
      <w:pPr>
        <w:tabs>
          <w:tab w:val="num" w:pos="2574"/>
        </w:tabs>
        <w:ind w:left="2574" w:hanging="360"/>
      </w:pPr>
      <w:rPr>
        <w:rFonts w:ascii="Times New Roman" w:hAnsi="Times New Roman" w:hint="default"/>
      </w:rPr>
    </w:lvl>
    <w:lvl w:ilvl="2" w:tplc="C1C66FE4" w:tentative="1">
      <w:start w:val="1"/>
      <w:numFmt w:val="bullet"/>
      <w:lvlText w:val="•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FE2A2488" w:tentative="1">
      <w:start w:val="1"/>
      <w:numFmt w:val="bullet"/>
      <w:lvlText w:val="•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E3D64EBE" w:tentative="1">
      <w:start w:val="1"/>
      <w:numFmt w:val="bullet"/>
      <w:lvlText w:val="•"/>
      <w:lvlJc w:val="left"/>
      <w:pPr>
        <w:tabs>
          <w:tab w:val="num" w:pos="4734"/>
        </w:tabs>
        <w:ind w:left="4734" w:hanging="360"/>
      </w:pPr>
      <w:rPr>
        <w:rFonts w:ascii="Times New Roman" w:hAnsi="Times New Roman" w:hint="default"/>
      </w:rPr>
    </w:lvl>
    <w:lvl w:ilvl="5" w:tplc="61243CB0" w:tentative="1">
      <w:start w:val="1"/>
      <w:numFmt w:val="bullet"/>
      <w:lvlText w:val="•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8E7492A8" w:tentative="1">
      <w:start w:val="1"/>
      <w:numFmt w:val="bullet"/>
      <w:lvlText w:val="•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AC14193E" w:tentative="1">
      <w:start w:val="1"/>
      <w:numFmt w:val="bullet"/>
      <w:lvlText w:val="•"/>
      <w:lvlJc w:val="left"/>
      <w:pPr>
        <w:tabs>
          <w:tab w:val="num" w:pos="6894"/>
        </w:tabs>
        <w:ind w:left="6894" w:hanging="360"/>
      </w:pPr>
      <w:rPr>
        <w:rFonts w:ascii="Times New Roman" w:hAnsi="Times New Roman" w:hint="default"/>
      </w:rPr>
    </w:lvl>
    <w:lvl w:ilvl="8" w:tplc="B6C072C2" w:tentative="1">
      <w:start w:val="1"/>
      <w:numFmt w:val="bullet"/>
      <w:lvlText w:val="•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2" w15:restartNumberingAfterBreak="0">
    <w:nsid w:val="1AB54FEE"/>
    <w:multiLevelType w:val="hybridMultilevel"/>
    <w:tmpl w:val="2D929E3C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4C6716"/>
    <w:multiLevelType w:val="hybridMultilevel"/>
    <w:tmpl w:val="DD385F0C"/>
    <w:lvl w:ilvl="0" w:tplc="F64C8474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BC60ECF"/>
    <w:multiLevelType w:val="hybridMultilevel"/>
    <w:tmpl w:val="A1886658"/>
    <w:lvl w:ilvl="0" w:tplc="04090019">
      <w:start w:val="1"/>
      <w:numFmt w:val="lowerLetter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2360900C" w:tentative="1">
      <w:start w:val="1"/>
      <w:numFmt w:val="bullet"/>
      <w:lvlText w:val="•"/>
      <w:lvlJc w:val="left"/>
      <w:pPr>
        <w:tabs>
          <w:tab w:val="num" w:pos="2574"/>
        </w:tabs>
        <w:ind w:left="2574" w:hanging="360"/>
      </w:pPr>
      <w:rPr>
        <w:rFonts w:ascii="Times New Roman" w:hAnsi="Times New Roman" w:hint="default"/>
      </w:rPr>
    </w:lvl>
    <w:lvl w:ilvl="2" w:tplc="C1C66FE4" w:tentative="1">
      <w:start w:val="1"/>
      <w:numFmt w:val="bullet"/>
      <w:lvlText w:val="•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FE2A2488" w:tentative="1">
      <w:start w:val="1"/>
      <w:numFmt w:val="bullet"/>
      <w:lvlText w:val="•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E3D64EBE" w:tentative="1">
      <w:start w:val="1"/>
      <w:numFmt w:val="bullet"/>
      <w:lvlText w:val="•"/>
      <w:lvlJc w:val="left"/>
      <w:pPr>
        <w:tabs>
          <w:tab w:val="num" w:pos="4734"/>
        </w:tabs>
        <w:ind w:left="4734" w:hanging="360"/>
      </w:pPr>
      <w:rPr>
        <w:rFonts w:ascii="Times New Roman" w:hAnsi="Times New Roman" w:hint="default"/>
      </w:rPr>
    </w:lvl>
    <w:lvl w:ilvl="5" w:tplc="61243CB0" w:tentative="1">
      <w:start w:val="1"/>
      <w:numFmt w:val="bullet"/>
      <w:lvlText w:val="•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8E7492A8" w:tentative="1">
      <w:start w:val="1"/>
      <w:numFmt w:val="bullet"/>
      <w:lvlText w:val="•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AC14193E" w:tentative="1">
      <w:start w:val="1"/>
      <w:numFmt w:val="bullet"/>
      <w:lvlText w:val="•"/>
      <w:lvlJc w:val="left"/>
      <w:pPr>
        <w:tabs>
          <w:tab w:val="num" w:pos="6894"/>
        </w:tabs>
        <w:ind w:left="6894" w:hanging="360"/>
      </w:pPr>
      <w:rPr>
        <w:rFonts w:ascii="Times New Roman" w:hAnsi="Times New Roman" w:hint="default"/>
      </w:rPr>
    </w:lvl>
    <w:lvl w:ilvl="8" w:tplc="B6C072C2" w:tentative="1">
      <w:start w:val="1"/>
      <w:numFmt w:val="bullet"/>
      <w:lvlText w:val="•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5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3B113379"/>
    <w:multiLevelType w:val="hybridMultilevel"/>
    <w:tmpl w:val="7488F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40E50"/>
    <w:multiLevelType w:val="hybridMultilevel"/>
    <w:tmpl w:val="9C0ACA72"/>
    <w:lvl w:ilvl="0" w:tplc="0D50022E">
      <w:start w:val="5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AC35B49"/>
    <w:multiLevelType w:val="hybridMultilevel"/>
    <w:tmpl w:val="F7AC1D3C"/>
    <w:lvl w:ilvl="0" w:tplc="04C2C946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46D47"/>
    <w:multiLevelType w:val="hybridMultilevel"/>
    <w:tmpl w:val="E6168740"/>
    <w:lvl w:ilvl="0" w:tplc="36A4983C">
      <w:start w:val="5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62FA4BD4"/>
    <w:multiLevelType w:val="hybridMultilevel"/>
    <w:tmpl w:val="A80419C8"/>
    <w:lvl w:ilvl="0" w:tplc="5D585758">
      <w:start w:val="1"/>
      <w:numFmt w:val="bullet"/>
      <w:lvlText w:val="•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2360900C" w:tentative="1">
      <w:start w:val="1"/>
      <w:numFmt w:val="bullet"/>
      <w:lvlText w:val="•"/>
      <w:lvlJc w:val="left"/>
      <w:pPr>
        <w:tabs>
          <w:tab w:val="num" w:pos="2574"/>
        </w:tabs>
        <w:ind w:left="2574" w:hanging="360"/>
      </w:pPr>
      <w:rPr>
        <w:rFonts w:ascii="Times New Roman" w:hAnsi="Times New Roman" w:hint="default"/>
      </w:rPr>
    </w:lvl>
    <w:lvl w:ilvl="2" w:tplc="C1C66FE4" w:tentative="1">
      <w:start w:val="1"/>
      <w:numFmt w:val="bullet"/>
      <w:lvlText w:val="•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FE2A2488" w:tentative="1">
      <w:start w:val="1"/>
      <w:numFmt w:val="bullet"/>
      <w:lvlText w:val="•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E3D64EBE" w:tentative="1">
      <w:start w:val="1"/>
      <w:numFmt w:val="bullet"/>
      <w:lvlText w:val="•"/>
      <w:lvlJc w:val="left"/>
      <w:pPr>
        <w:tabs>
          <w:tab w:val="num" w:pos="4734"/>
        </w:tabs>
        <w:ind w:left="4734" w:hanging="360"/>
      </w:pPr>
      <w:rPr>
        <w:rFonts w:ascii="Times New Roman" w:hAnsi="Times New Roman" w:hint="default"/>
      </w:rPr>
    </w:lvl>
    <w:lvl w:ilvl="5" w:tplc="61243CB0" w:tentative="1">
      <w:start w:val="1"/>
      <w:numFmt w:val="bullet"/>
      <w:lvlText w:val="•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8E7492A8" w:tentative="1">
      <w:start w:val="1"/>
      <w:numFmt w:val="bullet"/>
      <w:lvlText w:val="•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AC14193E" w:tentative="1">
      <w:start w:val="1"/>
      <w:numFmt w:val="bullet"/>
      <w:lvlText w:val="•"/>
      <w:lvlJc w:val="left"/>
      <w:pPr>
        <w:tabs>
          <w:tab w:val="num" w:pos="6894"/>
        </w:tabs>
        <w:ind w:left="6894" w:hanging="360"/>
      </w:pPr>
      <w:rPr>
        <w:rFonts w:ascii="Times New Roman" w:hAnsi="Times New Roman" w:hint="default"/>
      </w:rPr>
    </w:lvl>
    <w:lvl w:ilvl="8" w:tplc="B6C072C2" w:tentative="1">
      <w:start w:val="1"/>
      <w:numFmt w:val="bullet"/>
      <w:lvlText w:val="•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1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747C7B9D"/>
    <w:multiLevelType w:val="hybridMultilevel"/>
    <w:tmpl w:val="30CEAA36"/>
    <w:lvl w:ilvl="0" w:tplc="2AFECE70">
      <w:start w:val="1"/>
      <w:numFmt w:val="bullet"/>
      <w:lvlText w:val=""/>
      <w:lvlJc w:val="left"/>
      <w:pPr>
        <w:tabs>
          <w:tab w:val="num" w:pos="1486"/>
        </w:tabs>
        <w:ind w:left="1486" w:hanging="172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8"/>
  </w:num>
  <w:num w:numId="13">
    <w:abstractNumId w:val="9"/>
  </w:num>
  <w:num w:numId="14">
    <w:abstractNumId w:val="0"/>
  </w:num>
  <w:num w:numId="15">
    <w:abstractNumId w:val="7"/>
  </w:num>
  <w:num w:numId="16">
    <w:abstractNumId w:val="2"/>
  </w:num>
  <w:num w:numId="1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C2"/>
    <w:rsid w:val="00043508"/>
    <w:rsid w:val="000B4376"/>
    <w:rsid w:val="000D345C"/>
    <w:rsid w:val="00143484"/>
    <w:rsid w:val="001A22D1"/>
    <w:rsid w:val="001A61AD"/>
    <w:rsid w:val="001A7A61"/>
    <w:rsid w:val="001E334E"/>
    <w:rsid w:val="00241778"/>
    <w:rsid w:val="002B4C81"/>
    <w:rsid w:val="002C5C7C"/>
    <w:rsid w:val="002E420F"/>
    <w:rsid w:val="00333DE2"/>
    <w:rsid w:val="003641EC"/>
    <w:rsid w:val="003749C2"/>
    <w:rsid w:val="003951BE"/>
    <w:rsid w:val="003C3E07"/>
    <w:rsid w:val="003F6E22"/>
    <w:rsid w:val="0045132A"/>
    <w:rsid w:val="004821F4"/>
    <w:rsid w:val="004D25D6"/>
    <w:rsid w:val="004E7FF5"/>
    <w:rsid w:val="004F05E6"/>
    <w:rsid w:val="0052576A"/>
    <w:rsid w:val="00532504"/>
    <w:rsid w:val="00566F6F"/>
    <w:rsid w:val="00604CC6"/>
    <w:rsid w:val="00613CA5"/>
    <w:rsid w:val="00643924"/>
    <w:rsid w:val="00680C09"/>
    <w:rsid w:val="00770CEA"/>
    <w:rsid w:val="007F4832"/>
    <w:rsid w:val="008574FC"/>
    <w:rsid w:val="00941473"/>
    <w:rsid w:val="00976FB0"/>
    <w:rsid w:val="00977C4A"/>
    <w:rsid w:val="00A02A89"/>
    <w:rsid w:val="00A12279"/>
    <w:rsid w:val="00A2268E"/>
    <w:rsid w:val="00AC4D63"/>
    <w:rsid w:val="00AC6C7E"/>
    <w:rsid w:val="00B25953"/>
    <w:rsid w:val="00B669F8"/>
    <w:rsid w:val="00B83424"/>
    <w:rsid w:val="00BB0391"/>
    <w:rsid w:val="00BB599C"/>
    <w:rsid w:val="00C909A6"/>
    <w:rsid w:val="00CC56BB"/>
    <w:rsid w:val="00CC585D"/>
    <w:rsid w:val="00D13C49"/>
    <w:rsid w:val="00D25F90"/>
    <w:rsid w:val="00D27797"/>
    <w:rsid w:val="00D93357"/>
    <w:rsid w:val="00DC39BF"/>
    <w:rsid w:val="00DD4392"/>
    <w:rsid w:val="00E52003"/>
    <w:rsid w:val="00E532CC"/>
    <w:rsid w:val="00E70C03"/>
    <w:rsid w:val="00E71C2B"/>
    <w:rsid w:val="00E733B2"/>
    <w:rsid w:val="00E942B1"/>
    <w:rsid w:val="00F057E3"/>
    <w:rsid w:val="00F3251A"/>
    <w:rsid w:val="00F54671"/>
    <w:rsid w:val="00F802F9"/>
    <w:rsid w:val="00FB593E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3A584995"/>
  <w15:docId w15:val="{37F26212-9B01-4169-A8DF-21D0C6FD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qFormat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qFormat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</w:style>
  <w:style w:type="character" w:styleId="PageNumber">
    <w:name w:val="page number"/>
    <w:aliases w:val="7_G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pPr>
      <w:spacing w:line="240" w:lineRule="auto"/>
    </w:pPr>
    <w:rPr>
      <w:sz w:val="16"/>
    </w:rPr>
  </w:style>
  <w:style w:type="character" w:styleId="Hyperlink">
    <w:name w:val="Hyperlink"/>
    <w:semiHidden/>
    <w:rPr>
      <w:color w:val="auto"/>
      <w:u w:val="none"/>
    </w:rPr>
  </w:style>
  <w:style w:type="character" w:styleId="FollowedHyperlink">
    <w:name w:val="FollowedHyperlink"/>
    <w:semiHidden/>
    <w:rPr>
      <w:color w:val="auto"/>
      <w:u w:val="none"/>
    </w:rPr>
  </w:style>
  <w:style w:type="table" w:styleId="TableGrid1">
    <w:name w:val="Table Grid 1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Pr>
      <w:lang w:val="fr-CH" w:eastAsia="en-US"/>
    </w:rPr>
  </w:style>
  <w:style w:type="paragraph" w:styleId="BalloonText">
    <w:name w:val="Balloon Text"/>
    <w:basedOn w:val="Normal"/>
    <w:link w:val="BalloonTextChar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fr-CH"/>
    </w:rPr>
  </w:style>
  <w:style w:type="character" w:customStyle="1" w:styleId="SingleTxtGCar">
    <w:name w:val="_ Single Txt_G Car"/>
    <w:rPr>
      <w:lang w:val="fr-CH" w:eastAsia="en-US" w:bidi="ar-SA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link w:val="CommentText"/>
    <w:rPr>
      <w:lang w:val="fr-CH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val="fr-CH"/>
    </w:rPr>
  </w:style>
  <w:style w:type="character" w:customStyle="1" w:styleId="FootnoteTextChar">
    <w:name w:val="Footnote Text Char"/>
    <w:aliases w:val="5_G Char"/>
    <w:link w:val="FootnoteText"/>
    <w:rPr>
      <w:sz w:val="18"/>
      <w:lang w:val="fr-CH" w:eastAsia="en-US"/>
    </w:rPr>
  </w:style>
  <w:style w:type="paragraph" w:customStyle="1" w:styleId="ParNoG">
    <w:name w:val="_ParNo_G"/>
    <w:basedOn w:val="SingleTxtG"/>
    <w:link w:val="ParNoGCar"/>
    <w:pPr>
      <w:numPr>
        <w:numId w:val="14"/>
      </w:numPr>
    </w:pPr>
  </w:style>
  <w:style w:type="character" w:customStyle="1" w:styleId="ParNoGCar">
    <w:name w:val="_ParNo_G Car"/>
    <w:link w:val="ParNoG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4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54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28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50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S666 Commentaires OFT"/>
    <f:field ref="objsubject" par="" edit="true" text=""/>
    <f:field ref="objcreatedby" par="" text="Blanchard Bakx, Valérie (BAV - blv)"/>
    <f:field ref="objcreatedat" par="" text="21.12.2015 15:11:08"/>
    <f:field ref="objchangedby" par="" text="Bonnet, Colin (BAV - boc)"/>
    <f:field ref="objmodifiedat" par="" text="22.12.2015 17:44:50"/>
    <f:field ref="doc_FSCFOLIO_1_1001_FieldDocumentNumber" par="" text=""/>
    <f:field ref="doc_FSCFOLIO_1_1001_FieldSubject" par="" edit="true" text=""/>
    <f:field ref="FSCFOLIO_1_1001_FieldCurrentUser" par="" text="Valérie Blanchard Bakx"/>
    <f:field ref="CCAPRECONFIG_15_1001_Objektname" par="" edit="true" text="DS666 Commentaires OFT"/>
    <f:field ref="CHPRECONFIG_1_1001_Objektname" par="" edit="true" text="DS666 Commentaires OFT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Courrier B"/>
    <f:field ref="CCAPRECONFIG_15_1001_Kategorie" par="" text="Destinataire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Subject (single-li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BAVCFG_15_1700_AnredePartner" text=""/>
    <f:field ref="CCAPRECONFIG_15_1001_zH" text="à l'att. de"/>
    <f:field ref="CCAPRECONFIG_15_1001_Adresse" text="Adresse"/>
    <f:field ref="CHPRECONFIG_1_1001_EMailAdresse" text="Adresse e-mail"/>
    <f:field ref="CCAPRECONFIG_15_1001_Postalische_Adresse" text="Adresse postale"/>
    <f:field ref="BAVCFG_15_1700_Adresse1" text="Adresse1"/>
    <f:field ref="BAVCFG_15_1700_Adresse1_AP" text="Adresse1_AP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CAPRECONFIG_15_1001_Postfach" text="Case postale"/>
    <f:field ref="CCAPRECONFIG_15_1001_Postleitzahl" text="Code postal"/>
    <f:field ref="CCAPRECONFIG_15_1001_Organisationskurzname" text="Diminutif de l'organisation"/>
    <f:field ref="CCAPRECONFIG_15_1001_Email" text="E-Mail"/>
    <f:field ref="BAVCFG_15_1700_EMail_AP" text="E-Mail_AP"/>
    <f:field ref="CCAPRECONFIG_15_1001_Stiege" text="Escalier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Anrede" text="Formule d'appel"/>
    <f:field ref="CHPRECONFIG_1_1001_Anrede" text="Formule d'appel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_Anrede" text="Geschlecht_Anrede"/>
    <f:field ref="CCAPRECONFIG_15_1001_Nachgestellter_Titel" text="Intitulé du poste"/>
    <f:field ref="CCAPRECONFIG_15_1001_Kategorie" text="Kategorie"/>
    <f:field ref="CCAPRECONFIG_15_1001_Ort" text="Localité"/>
    <f:field ref="CHPRECONFIG_1_1001_Ort" text="Localité"/>
    <f:field ref="BAVCFG_15_1700_Nachname_AP" text="Nachname_AP"/>
    <f:field ref="CHPRECONFIG_1_1001_Nachname" text="Nom"/>
    <f:field ref="CCAPRECONFIG_15_1001_Nachname" text="Nom"/>
    <f:field ref="CCAPRECONFIG_15_1001_Organisationsname" text="Nom de l'organisation"/>
    <f:field ref="CCAPRECONFIG_15_1001_Name_Zeile_2" text="Nom_Ligne_2"/>
    <f:field ref="CCAPRECONFIG_15_1001_Name_Zeile_3" text="Nom_Ligne_3"/>
    <f:field ref="CHPRECONFIG_1_1001_Postleitzahl" text="NPA"/>
    <f:field ref="CCAPRECONFIG_15_1001_Hausnummer" text="Numéro"/>
    <f:field ref="BAVCFG_15_1700_Ort_AP" text="Ort_AP"/>
    <f:field ref="CCAPRECONFIG_15_1001_Land" text="Pays"/>
    <f:field ref="CCAPRECONFIG_15_1001_Tuer" text="Porte"/>
    <f:field ref="BAVCFG_15_1700_Posfach" text="Posfach"/>
    <f:field ref="BAVCFG_15_1700_Posfach_AP" text="Posfach_AP"/>
    <f:field ref="BAVCFG_15_1700_Postleitzahl_AP" text="Postleitzahl_AP"/>
    <f:field ref="CHPRECONFIG_1_1001_Vorname" text="Prénom"/>
    <f:field ref="CCAPRECONFIG_15_1001_Vorname" text="Prénom"/>
    <f:field ref="CCAPRECONFIG_15_1001_Rechtsform" text="Rechtsform"/>
    <f:field ref="CCAPRECONFIG_15_1001_Abschriftsbemerkung" text="Remarque de l'expéditeur"/>
    <f:field ref="CCAPRECONFIG_15_1001_Strasse" text="Rue"/>
    <f:field ref="CHPRECONFIG_1_1001_Strasse" text="Rue"/>
    <f:field ref="CCAPRECONFIG_15_1001_Geschlecht" text="Sexe"/>
    <f:field ref="CCAPRECONFIG_15_1001_Sozialversicherungsnummer" text="Sozialversicherungsnummer"/>
    <f:field ref="CCAPRECONFIG_15_1001_Stock" text="Stock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BAVCFG_15_1700_Titel_AP" text="Titel_AP"/>
    <f:field ref="CHPRECONFIG_1_1001_Titel" text="Titre"/>
    <f:field ref="CCAPRECONFIG_15_1001_Titel" text="Titre"/>
    <f:field ref="CCAPRECONFIG_15_1001_Versandart" text="Type d'envoi"/>
    <f:field ref="BAVCFG_15_1700_Vorname_AP" text="Vorname_AP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290DD51-0457-4798-9CE5-FE0FC657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ECE/TRANS/WP.15/AC.1/2010/40</vt:lpstr>
      <vt:lpstr>ECE/TRANS/WP.15/AC.1/2010/40</vt:lpstr>
    </vt:vector>
  </TitlesOfParts>
  <Company>CSD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ECE/TRANS/WP.15/AC.1/2010/40</dc:title>
  <dc:subject>final</dc:subject>
  <dc:creator>ROBERT</dc:creator>
  <cp:lastModifiedBy>Christine Barrio-Champeau</cp:lastModifiedBy>
  <cp:revision>14</cp:revision>
  <cp:lastPrinted>2017-06-02T11:51:00Z</cp:lastPrinted>
  <dcterms:created xsi:type="dcterms:W3CDTF">2017-05-19T12:16:00Z</dcterms:created>
  <dcterms:modified xsi:type="dcterms:W3CDTF">2017-06-30T14:30:00Z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/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/>
  </property>
  <property fmtid="{D5CDD505-2E9C-101B-9397-08002B2CF9AE}" pid="5" name="FSC#BAVTEMPL@102.1950:DocumentID">
    <vt:lpwstr/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/>
  </property>
  <property fmtid="{D5CDD505-2E9C-101B-9397-08002B2CF9AE}" pid="16" name="FSC#BAVTEMPL@102.1950:FileRespFax">
    <vt:lpwstr/>
  </property>
  <property fmtid="{D5CDD505-2E9C-101B-9397-08002B2CF9AE}" pid="17" name="FSC#BAVTEMPL@102.1950:FileRespHome">
    <vt:lpwstr/>
  </property>
  <property fmtid="{D5CDD505-2E9C-101B-9397-08002B2CF9AE}" pid="18" name="FSC#BAVTEMPL@102.1950:FileResponsible">
    <vt:lpwstr/>
  </property>
  <property fmtid="{D5CDD505-2E9C-101B-9397-08002B2CF9AE}" pid="19" name="FSC#BAVTEMPL@102.1950:FileRespOrg">
    <vt:lpwstr/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Umwelt</vt:lpwstr>
  </property>
  <property fmtid="{D5CDD505-2E9C-101B-9397-08002B2CF9AE}" pid="24" name="FSC#BAVTEMPL@102.1950:FileRespStreet">
    <vt:lpwstr/>
  </property>
  <property fmtid="{D5CDD505-2E9C-101B-9397-08002B2CF9AE}" pid="25" name="FSC#BAVTEMPL@102.1950:FileRespTel">
    <vt:lpwstr/>
  </property>
  <property fmtid="{D5CDD505-2E9C-101B-9397-08002B2CF9AE}" pid="26" name="FSC#BAVTEMPL@102.1950:FileRespZipCode">
    <vt:lpwstr/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/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/>
  </property>
  <property fmtid="{D5CDD505-2E9C-101B-9397-08002B2CF9AE}" pid="31" name="FSC#BAVTEMPL@102.1950:RegPlanPos">
    <vt:lpwstr>BAV-510.42</vt:lpwstr>
  </property>
  <property fmtid="{D5CDD505-2E9C-101B-9397-08002B2CF9AE}" pid="32" name="FSC#BAVTEMPL@102.1950:Subject">
    <vt:lpwstr/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/>
  </property>
  <property fmtid="{D5CDD505-2E9C-101B-9397-08002B2CF9AE}" pid="35" name="FSC#BAVTEMPL@102.1950:VornameNameFileResponsible">
    <vt:lpwstr/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/>
  </property>
  <property fmtid="{D5CDD505-2E9C-101B-9397-08002B2CF9AE}" pid="38" name="FSC#UVEKCFG@15.1700:Function">
    <vt:lpwstr/>
  </property>
  <property fmtid="{D5CDD505-2E9C-101B-9397-08002B2CF9AE}" pid="39" name="FSC#UVEKCFG@15.1700:FileRespOrg">
    <vt:lpwstr>Umwelt</vt:lpwstr>
  </property>
  <property fmtid="{D5CDD505-2E9C-101B-9397-08002B2CF9AE}" pid="40" name="FSC#UVEKCFG@15.1700:DefaultGroupFileResponsible">
    <vt:lpwstr/>
  </property>
  <property fmtid="{D5CDD505-2E9C-101B-9397-08002B2CF9AE}" pid="41" name="FSC#UVEKCFG@15.1700:FileRespFunction">
    <vt:lpwstr/>
  </property>
  <property fmtid="{D5CDD505-2E9C-101B-9397-08002B2CF9AE}" pid="42" name="FSC#UVEKCFG@15.1700:AssignedClassification">
    <vt:lpwstr/>
  </property>
  <property fmtid="{D5CDD505-2E9C-101B-9397-08002B2CF9AE}" pid="43" name="FSC#UVEKCFG@15.1700:AssignedClassificationCode">
    <vt:lpwstr/>
  </property>
  <property fmtid="{D5CDD505-2E9C-101B-9397-08002B2CF9AE}" pid="44" name="FSC#UVEKCFG@15.1700:FileResponsible">
    <vt:lpwstr/>
  </property>
  <property fmtid="{D5CDD505-2E9C-101B-9397-08002B2CF9AE}" pid="45" name="FSC#UVEKCFG@15.1700:FileResponsibleTel">
    <vt:lpwstr/>
  </property>
  <property fmtid="{D5CDD505-2E9C-101B-9397-08002B2CF9AE}" pid="46" name="FSC#UVEKCFG@15.1700:FileResponsibleEmail">
    <vt:lpwstr/>
  </property>
  <property fmtid="{D5CDD505-2E9C-101B-9397-08002B2CF9AE}" pid="47" name="FSC#UVEKCFG@15.1700:FileResponsibleFax">
    <vt:lpwstr/>
  </property>
  <property fmtid="{D5CDD505-2E9C-101B-9397-08002B2CF9AE}" pid="48" name="FSC#UVEKCFG@15.1700:FileResponsibleAddress">
    <vt:lpwstr/>
  </property>
  <property fmtid="{D5CDD505-2E9C-101B-9397-08002B2CF9AE}" pid="49" name="FSC#UVEKCFG@15.1700:FileResponsibleStreet">
    <vt:lpwstr/>
  </property>
  <property fmtid="{D5CDD505-2E9C-101B-9397-08002B2CF9AE}" pid="50" name="FSC#UVEKCFG@15.1700:FileResponsiblezipcode">
    <vt:lpwstr/>
  </property>
  <property fmtid="{D5CDD505-2E9C-101B-9397-08002B2CF9AE}" pid="51" name="FSC#UVEKCFG@15.1700:FileResponsiblecity">
    <vt:lpwstr/>
  </property>
  <property fmtid="{D5CDD505-2E9C-101B-9397-08002B2CF9AE}" pid="52" name="FSC#UVEKCFG@15.1700:FileResponsibleAbbreviation">
    <vt:lpwstr/>
  </property>
  <property fmtid="{D5CDD505-2E9C-101B-9397-08002B2CF9AE}" pid="53" name="FSC#UVEKCFG@15.1700:FileRespOrgHome">
    <vt:lpwstr/>
  </property>
  <property fmtid="{D5CDD505-2E9C-101B-9397-08002B2CF9AE}" pid="54" name="FSC#UVEKCFG@15.1700:CurrUserAbbreviation">
    <vt:lpwstr>blv</vt:lpwstr>
  </property>
  <property fmtid="{D5CDD505-2E9C-101B-9397-08002B2CF9AE}" pid="55" name="FSC#UVEKCFG@15.1700:CategoryReference">
    <vt:lpwstr>BAV-510.42</vt:lpwstr>
  </property>
  <property fmtid="{D5CDD505-2E9C-101B-9397-08002B2CF9AE}" pid="56" name="FSC#UVEKCFG@15.1700:cooAddress">
    <vt:lpwstr>COO.2125.100.2.8222107</vt:lpwstr>
  </property>
  <property fmtid="{D5CDD505-2E9C-101B-9397-08002B2CF9AE}" pid="57" name="FSC#UVEKCFG@15.1700:sleeveFileReference">
    <vt:lpwstr/>
  </property>
  <property fmtid="{D5CDD505-2E9C-101B-9397-08002B2CF9AE}" pid="58" name="FSC#UVEKCFG@15.1700:BureauName">
    <vt:lpwstr/>
  </property>
  <property fmtid="{D5CDD505-2E9C-101B-9397-08002B2CF9AE}" pid="59" name="FSC#UVEKCFG@15.1700:BureauShortName">
    <vt:lpwstr/>
  </property>
  <property fmtid="{D5CDD505-2E9C-101B-9397-08002B2CF9AE}" pid="60" name="FSC#UVEKCFG@15.1700:BureauWebsite">
    <vt:lpwstr/>
  </property>
  <property fmtid="{D5CDD505-2E9C-101B-9397-08002B2CF9AE}" pid="61" name="FSC#UVEKCFG@15.1700:SubFileTitle">
    <vt:lpwstr>DS666 Commentaires OFT</vt:lpwstr>
  </property>
  <property fmtid="{D5CDD505-2E9C-101B-9397-08002B2CF9AE}" pid="62" name="FSC#UVEKCFG@15.1700:ForeignNumber">
    <vt:lpwstr/>
  </property>
  <property fmtid="{D5CDD505-2E9C-101B-9397-08002B2CF9AE}" pid="63" name="FSC#UVEKCFG@15.1700:Amtstitel">
    <vt:lpwstr/>
  </property>
  <property fmtid="{D5CDD505-2E9C-101B-9397-08002B2CF9AE}" pid="64" name="FSC#UVEKCFG@15.1700:ZusendungAm">
    <vt:lpwstr/>
  </property>
  <property fmtid="{D5CDD505-2E9C-101B-9397-08002B2CF9AE}" pid="65" name="FSC#UVEKCFG@15.1700:SignerLeft">
    <vt:lpwstr/>
  </property>
  <property fmtid="{D5CDD505-2E9C-101B-9397-08002B2CF9AE}" pid="66" name="FSC#UVEKCFG@15.1700:SignerRight">
    <vt:lpwstr/>
  </property>
  <property fmtid="{D5CDD505-2E9C-101B-9397-08002B2CF9AE}" pid="67" name="FSC#UVEKCFG@15.1700:SignerLeftJobTitle">
    <vt:lpwstr/>
  </property>
  <property fmtid="{D5CDD505-2E9C-101B-9397-08002B2CF9AE}" pid="68" name="FSC#UVEKCFG@15.1700:SignerRightJobTitle">
    <vt:lpwstr/>
  </property>
  <property fmtid="{D5CDD505-2E9C-101B-9397-08002B2CF9AE}" pid="69" name="FSC#UVEKCFG@15.1700:SignerLeftFunction">
    <vt:lpwstr/>
  </property>
  <property fmtid="{D5CDD505-2E9C-101B-9397-08002B2CF9AE}" pid="70" name="FSC#UVEKCFG@15.1700:SignerRightFunction">
    <vt:lpwstr/>
  </property>
  <property fmtid="{D5CDD505-2E9C-101B-9397-08002B2CF9AE}" pid="71" name="FSC#UVEKCFG@15.1700:SignerLeftUserRoleGroup">
    <vt:lpwstr/>
  </property>
  <property fmtid="{D5CDD505-2E9C-101B-9397-08002B2CF9AE}" pid="72" name="FSC#UVEKCFG@15.1700:SignerRightUserRoleGroup">
    <vt:lpwstr/>
  </property>
  <property fmtid="{D5CDD505-2E9C-101B-9397-08002B2CF9AE}" pid="73" name="FSC#COOELAK@1.1001:Subject">
    <vt:lpwstr/>
  </property>
  <property fmtid="{D5CDD505-2E9C-101B-9397-08002B2CF9AE}" pid="74" name="FSC#COOELAK@1.1001:FileReference">
    <vt:lpwstr>BAV-510.42-00002</vt:lpwstr>
  </property>
  <property fmtid="{D5CDD505-2E9C-101B-9397-08002B2CF9AE}" pid="75" name="FSC#COOELAK@1.1001:FileRefYear">
    <vt:lpwstr>2014</vt:lpwstr>
  </property>
  <property fmtid="{D5CDD505-2E9C-101B-9397-08002B2CF9AE}" pid="76" name="FSC#COOELAK@1.1001:FileRefOrdinal">
    <vt:lpwstr>2</vt:lpwstr>
  </property>
  <property fmtid="{D5CDD505-2E9C-101B-9397-08002B2CF9AE}" pid="77" name="FSC#COOELAK@1.1001:FileRefOU">
    <vt:lpwstr>reg_SI</vt:lpwstr>
  </property>
  <property fmtid="{D5CDD505-2E9C-101B-9397-08002B2CF9AE}" pid="78" name="FSC#COOELAK@1.1001:Organization">
    <vt:lpwstr/>
  </property>
  <property fmtid="{D5CDD505-2E9C-101B-9397-08002B2CF9AE}" pid="79" name="FSC#COOELAK@1.1001:Owner">
    <vt:lpwstr>Blanchard Bakx Valérie</vt:lpwstr>
  </property>
  <property fmtid="{D5CDD505-2E9C-101B-9397-08002B2CF9AE}" pid="80" name="FSC#COOELAK@1.1001:OwnerExtension">
    <vt:lpwstr>+41 58 465 72 72</vt:lpwstr>
  </property>
  <property fmtid="{D5CDD505-2E9C-101B-9397-08002B2CF9AE}" pid="81" name="FSC#COOELAK@1.1001:OwnerFaxExtension">
    <vt:lpwstr>+41 58 464 12 48</vt:lpwstr>
  </property>
  <property fmtid="{D5CDD505-2E9C-101B-9397-08002B2CF9AE}" pid="82" name="FSC#COOELAK@1.1001:DispatchedBy">
    <vt:lpwstr/>
  </property>
  <property fmtid="{D5CDD505-2E9C-101B-9397-08002B2CF9AE}" pid="83" name="FSC#COOELAK@1.1001:DispatchedAt">
    <vt:lpwstr/>
  </property>
  <property fmtid="{D5CDD505-2E9C-101B-9397-08002B2CF9AE}" pid="84" name="FSC#COOELAK@1.1001:ApprovedBy">
    <vt:lpwstr/>
  </property>
  <property fmtid="{D5CDD505-2E9C-101B-9397-08002B2CF9AE}" pid="85" name="FSC#COOELAK@1.1001:ApprovedAt">
    <vt:lpwstr/>
  </property>
  <property fmtid="{D5CDD505-2E9C-101B-9397-08002B2CF9AE}" pid="86" name="FSC#COOELAK@1.1001:Department">
    <vt:lpwstr>Umwelt (BAV)</vt:lpwstr>
  </property>
  <property fmtid="{D5CDD505-2E9C-101B-9397-08002B2CF9AE}" pid="87" name="FSC#COOELAK@1.1001:CreatedAt">
    <vt:lpwstr>21.12.2015</vt:lpwstr>
  </property>
  <property fmtid="{D5CDD505-2E9C-101B-9397-08002B2CF9AE}" pid="88" name="FSC#COOELAK@1.1001:OU">
    <vt:lpwstr>Umwelt (BAV)</vt:lpwstr>
  </property>
  <property fmtid="{D5CDD505-2E9C-101B-9397-08002B2CF9AE}" pid="89" name="FSC#COOELAK@1.1001:Priority">
    <vt:lpwstr> ()</vt:lpwstr>
  </property>
  <property fmtid="{D5CDD505-2E9C-101B-9397-08002B2CF9AE}" pid="90" name="FSC#COOELAK@1.1001:ObjBarCode">
    <vt:lpwstr>*COO.2125.100.2.8222107*</vt:lpwstr>
  </property>
  <property fmtid="{D5CDD505-2E9C-101B-9397-08002B2CF9AE}" pid="91" name="FSC#COOELAK@1.1001:RefBarCode">
    <vt:lpwstr>*COO.2125.100.2.8222108*</vt:lpwstr>
  </property>
  <property fmtid="{D5CDD505-2E9C-101B-9397-08002B2CF9AE}" pid="92" name="FSC#COOELAK@1.1001:FileRefBarCode">
    <vt:lpwstr>*BAV-510.42-00002*</vt:lpwstr>
  </property>
  <property fmtid="{D5CDD505-2E9C-101B-9397-08002B2CF9AE}" pid="93" name="FSC#COOELAK@1.1001:ExternalRef">
    <vt:lpwstr/>
  </property>
  <property fmtid="{D5CDD505-2E9C-101B-9397-08002B2CF9AE}" pid="94" name="FSC#COOELAK@1.1001:IncomingNumber">
    <vt:lpwstr/>
  </property>
  <property fmtid="{D5CDD505-2E9C-101B-9397-08002B2CF9AE}" pid="95" name="FSC#COOELAK@1.1001:IncomingSubject">
    <vt:lpwstr/>
  </property>
  <property fmtid="{D5CDD505-2E9C-101B-9397-08002B2CF9AE}" pid="96" name="FSC#COOELAK@1.1001:ProcessResponsible">
    <vt:lpwstr>Bonnet Colin</vt:lpwstr>
  </property>
  <property fmtid="{D5CDD505-2E9C-101B-9397-08002B2CF9AE}" pid="97" name="FSC#COOELAK@1.1001:ProcessResponsiblePhone">
    <vt:lpwstr>+41 58 463 89 96</vt:lpwstr>
  </property>
  <property fmtid="{D5CDD505-2E9C-101B-9397-08002B2CF9AE}" pid="98" name="FSC#COOELAK@1.1001:ProcessResponsibleMail">
    <vt:lpwstr>colin.bonnet@bav.admin.ch</vt:lpwstr>
  </property>
  <property fmtid="{D5CDD505-2E9C-101B-9397-08002B2CF9AE}" pid="99" name="FSC#COOELAK@1.1001:ProcessResponsibleFax">
    <vt:lpwstr>+41 58 464 12 48</vt:lpwstr>
  </property>
  <property fmtid="{D5CDD505-2E9C-101B-9397-08002B2CF9AE}" pid="100" name="FSC#COOELAK@1.1001:ApproverFirstName">
    <vt:lpwstr/>
  </property>
  <property fmtid="{D5CDD505-2E9C-101B-9397-08002B2CF9AE}" pid="101" name="FSC#COOELAK@1.1001:ApproverSurName">
    <vt:lpwstr/>
  </property>
  <property fmtid="{D5CDD505-2E9C-101B-9397-08002B2CF9AE}" pid="102" name="FSC#COOELAK@1.1001:ApproverTitle">
    <vt:lpwstr/>
  </property>
  <property fmtid="{D5CDD505-2E9C-101B-9397-08002B2CF9AE}" pid="103" name="FSC#COOELAK@1.1001:ExternalDate">
    <vt:lpwstr/>
  </property>
  <property fmtid="{D5CDD505-2E9C-101B-9397-08002B2CF9AE}" pid="104" name="FSC#COOELAK@1.1001:SettlementApprovedAt">
    <vt:lpwstr/>
  </property>
  <property fmtid="{D5CDD505-2E9C-101B-9397-08002B2CF9AE}" pid="105" name="FSC#COOELAK@1.1001:BaseNumber">
    <vt:lpwstr>BAV-510.42</vt:lpwstr>
  </property>
  <property fmtid="{D5CDD505-2E9C-101B-9397-08002B2CF9AE}" pid="106" name="FSC#COOELAK@1.1001:CurrentUserRolePos">
    <vt:lpwstr>Collaborateur, -trice spécialisé(e)</vt:lpwstr>
  </property>
  <property fmtid="{D5CDD505-2E9C-101B-9397-08002B2CF9AE}" pid="107" name="FSC#COOELAK@1.1001:CurrentUserEmail">
    <vt:lpwstr>valerie.blanchard@bav.admin.ch</vt:lpwstr>
  </property>
  <property fmtid="{D5CDD505-2E9C-101B-9397-08002B2CF9AE}" pid="108" name="FSC#ELAKGOV@1.1001:PersonalSubjGender">
    <vt:lpwstr/>
  </property>
  <property fmtid="{D5CDD505-2E9C-101B-9397-08002B2CF9AE}" pid="109" name="FSC#ELAKGOV@1.1001:PersonalSubjFirstName">
    <vt:lpwstr/>
  </property>
  <property fmtid="{D5CDD505-2E9C-101B-9397-08002B2CF9AE}" pid="110" name="FSC#ELAKGOV@1.1001:PersonalSubjSurName">
    <vt:lpwstr/>
  </property>
  <property fmtid="{D5CDD505-2E9C-101B-9397-08002B2CF9AE}" pid="111" name="FSC#ELAKGOV@1.1001:PersonalSubjSalutation">
    <vt:lpwstr/>
  </property>
  <property fmtid="{D5CDD505-2E9C-101B-9397-08002B2CF9AE}" pid="112" name="FSC#ELAKGOV@1.1001:PersonalSubjAddress">
    <vt:lpwstr/>
  </property>
  <property fmtid="{D5CDD505-2E9C-101B-9397-08002B2CF9AE}" pid="113" name="FSC#ATSTATECFG@1.1001:Office">
    <vt:lpwstr/>
  </property>
  <property fmtid="{D5CDD505-2E9C-101B-9397-08002B2CF9AE}" pid="114" name="FSC#ATSTATECFG@1.1001:Agent">
    <vt:lpwstr/>
  </property>
  <property fmtid="{D5CDD505-2E9C-101B-9397-08002B2CF9AE}" pid="115" name="FSC#ATSTATECFG@1.1001:AgentPhone">
    <vt:lpwstr/>
  </property>
  <property fmtid="{D5CDD505-2E9C-101B-9397-08002B2CF9AE}" pid="116" name="FSC#ATSTATECFG@1.1001:DepartmentFax">
    <vt:lpwstr/>
  </property>
  <property fmtid="{D5CDD505-2E9C-101B-9397-08002B2CF9AE}" pid="117" name="FSC#ATSTATECFG@1.1001:DepartmentEmail">
    <vt:lpwstr/>
  </property>
  <property fmtid="{D5CDD505-2E9C-101B-9397-08002B2CF9AE}" pid="118" name="FSC#ATSTATECFG@1.1001:SubfileDate">
    <vt:lpwstr/>
  </property>
  <property fmtid="{D5CDD505-2E9C-101B-9397-08002B2CF9AE}" pid="119" name="FSC#ATSTATECFG@1.1001:SubfileSubject">
    <vt:lpwstr>DS666f</vt:lpwstr>
  </property>
  <property fmtid="{D5CDD505-2E9C-101B-9397-08002B2CF9AE}" pid="120" name="FSC#ATSTATECFG@1.1001:DepartmentZipCode">
    <vt:lpwstr/>
  </property>
  <property fmtid="{D5CDD505-2E9C-101B-9397-08002B2CF9AE}" pid="121" name="FSC#ATSTATECFG@1.1001:DepartmentCountry">
    <vt:lpwstr/>
  </property>
  <property fmtid="{D5CDD505-2E9C-101B-9397-08002B2CF9AE}" pid="122" name="FSC#ATSTATECFG@1.1001:DepartmentCity">
    <vt:lpwstr/>
  </property>
  <property fmtid="{D5CDD505-2E9C-101B-9397-08002B2CF9AE}" pid="123" name="FSC#ATSTATECFG@1.1001:DepartmentStreet">
    <vt:lpwstr/>
  </property>
  <property fmtid="{D5CDD505-2E9C-101B-9397-08002B2CF9AE}" pid="124" name="FSC#ATSTATECFG@1.1001:DepartmentDVR">
    <vt:lpwstr/>
  </property>
  <property fmtid="{D5CDD505-2E9C-101B-9397-08002B2CF9AE}" pid="125" name="FSC#ATSTATECFG@1.1001:DepartmentUID">
    <vt:lpwstr/>
  </property>
  <property fmtid="{D5CDD505-2E9C-101B-9397-08002B2CF9AE}" pid="126" name="FSC#ATSTATECFG@1.1001:SubfileReference">
    <vt:lpwstr>BAV-510.42-00002/00001/00009</vt:lpwstr>
  </property>
  <property fmtid="{D5CDD505-2E9C-101B-9397-08002B2CF9AE}" pid="127" name="FSC#ATSTATECFG@1.1001:Clause">
    <vt:lpwstr/>
  </property>
  <property fmtid="{D5CDD505-2E9C-101B-9397-08002B2CF9AE}" pid="128" name="FSC#ATSTATECFG@1.1001:ApprovedSignature">
    <vt:lpwstr/>
  </property>
  <property fmtid="{D5CDD505-2E9C-101B-9397-08002B2CF9AE}" pid="129" name="FSC#ATSTATECFG@1.1001:BankAccount">
    <vt:lpwstr/>
  </property>
  <property fmtid="{D5CDD505-2E9C-101B-9397-08002B2CF9AE}" pid="130" name="FSC#ATSTATECFG@1.1001:BankAccountOwner">
    <vt:lpwstr/>
  </property>
  <property fmtid="{D5CDD505-2E9C-101B-9397-08002B2CF9AE}" pid="131" name="FSC#ATSTATECFG@1.1001:BankInstitute">
    <vt:lpwstr/>
  </property>
  <property fmtid="{D5CDD505-2E9C-101B-9397-08002B2CF9AE}" pid="132" name="FSC#ATSTATECFG@1.1001:BankAccountID">
    <vt:lpwstr/>
  </property>
  <property fmtid="{D5CDD505-2E9C-101B-9397-08002B2CF9AE}" pid="133" name="FSC#ATSTATECFG@1.1001:BankAccountIBAN">
    <vt:lpwstr/>
  </property>
  <property fmtid="{D5CDD505-2E9C-101B-9397-08002B2CF9AE}" pid="134" name="FSC#ATSTATECFG@1.1001:BankAccountBIC">
    <vt:lpwstr/>
  </property>
  <property fmtid="{D5CDD505-2E9C-101B-9397-08002B2CF9AE}" pid="135" name="FSC#ATSTATECFG@1.1001:BankName">
    <vt:lpwstr/>
  </property>
  <property fmtid="{D5CDD505-2E9C-101B-9397-08002B2CF9AE}" pid="136" name="FSC#CCAPRECONFIG@15.1001:AddrAnrede">
    <vt:lpwstr/>
  </property>
  <property fmtid="{D5CDD505-2E9C-101B-9397-08002B2CF9AE}" pid="137" name="FSC#CCAPRECONFIG@15.1001:AddrTitel">
    <vt:lpwstr/>
  </property>
  <property fmtid="{D5CDD505-2E9C-101B-9397-08002B2CF9AE}" pid="138" name="FSC#CCAPRECONFIG@15.1001:AddrNachgestellter_Titel">
    <vt:lpwstr/>
  </property>
  <property fmtid="{D5CDD505-2E9C-101B-9397-08002B2CF9AE}" pid="139" name="FSC#CCAPRECONFIG@15.1001:AddrVorname">
    <vt:lpwstr/>
  </property>
  <property fmtid="{D5CDD505-2E9C-101B-9397-08002B2CF9AE}" pid="140" name="FSC#CCAPRECONFIG@15.1001:AddrNachname">
    <vt:lpwstr/>
  </property>
  <property fmtid="{D5CDD505-2E9C-101B-9397-08002B2CF9AE}" pid="141" name="FSC#CCAPRECONFIG@15.1001:AddrzH">
    <vt:lpwstr/>
  </property>
  <property fmtid="{D5CDD505-2E9C-101B-9397-08002B2CF9AE}" pid="142" name="FSC#CCAPRECONFIG@15.1001:AddrGeschlecht">
    <vt:lpwstr/>
  </property>
  <property fmtid="{D5CDD505-2E9C-101B-9397-08002B2CF9AE}" pid="143" name="FSC#CCAPRECONFIG@15.1001:AddrStrasse">
    <vt:lpwstr/>
  </property>
  <property fmtid="{D5CDD505-2E9C-101B-9397-08002B2CF9AE}" pid="144" name="FSC#CCAPRECONFIG@15.1001:AddrHausnummer">
    <vt:lpwstr/>
  </property>
  <property fmtid="{D5CDD505-2E9C-101B-9397-08002B2CF9AE}" pid="145" name="FSC#CCAPRECONFIG@15.1001:AddrStiege">
    <vt:lpwstr/>
  </property>
  <property fmtid="{D5CDD505-2E9C-101B-9397-08002B2CF9AE}" pid="146" name="FSC#CCAPRECONFIG@15.1001:AddrTuer">
    <vt:lpwstr/>
  </property>
  <property fmtid="{D5CDD505-2E9C-101B-9397-08002B2CF9AE}" pid="147" name="FSC#CCAPRECONFIG@15.1001:AddrPostfach">
    <vt:lpwstr/>
  </property>
  <property fmtid="{D5CDD505-2E9C-101B-9397-08002B2CF9AE}" pid="148" name="FSC#CCAPRECONFIG@15.1001:AddrPostleitzahl">
    <vt:lpwstr/>
  </property>
  <property fmtid="{D5CDD505-2E9C-101B-9397-08002B2CF9AE}" pid="149" name="FSC#CCAPRECONFIG@15.1001:AddrOrt">
    <vt:lpwstr/>
  </property>
  <property fmtid="{D5CDD505-2E9C-101B-9397-08002B2CF9AE}" pid="150" name="FSC#CCAPRECONFIG@15.1001:AddrLand">
    <vt:lpwstr/>
  </property>
  <property fmtid="{D5CDD505-2E9C-101B-9397-08002B2CF9AE}" pid="151" name="FSC#CCAPRECONFIG@15.1001:AddrEmail">
    <vt:lpwstr/>
  </property>
  <property fmtid="{D5CDD505-2E9C-101B-9397-08002B2CF9AE}" pid="152" name="FSC#CCAPRECONFIG@15.1001:AddrAdresse">
    <vt:lpwstr/>
  </property>
  <property fmtid="{D5CDD505-2E9C-101B-9397-08002B2CF9AE}" pid="153" name="FSC#CCAPRECONFIG@15.1001:AddrFax">
    <vt:lpwstr/>
  </property>
  <property fmtid="{D5CDD505-2E9C-101B-9397-08002B2CF9AE}" pid="154" name="FSC#CCAPRECONFIG@15.1001:AddrOrganisationsname">
    <vt:lpwstr/>
  </property>
  <property fmtid="{D5CDD505-2E9C-101B-9397-08002B2CF9AE}" pid="155" name="FSC#CCAPRECONFIG@15.1001:AddrOrganisationskurzname">
    <vt:lpwstr/>
  </property>
  <property fmtid="{D5CDD505-2E9C-101B-9397-08002B2CF9AE}" pid="156" name="FSC#CCAPRECONFIG@15.1001:AddrAbschriftsbemerkung">
    <vt:lpwstr/>
  </property>
  <property fmtid="{D5CDD505-2E9C-101B-9397-08002B2CF9AE}" pid="157" name="FSC#CCAPRECONFIG@15.1001:AddrName_Zeile_2">
    <vt:lpwstr/>
  </property>
  <property fmtid="{D5CDD505-2E9C-101B-9397-08002B2CF9AE}" pid="158" name="FSC#CCAPRECONFIG@15.1001:AddrName_Zeile_3">
    <vt:lpwstr/>
  </property>
  <property fmtid="{D5CDD505-2E9C-101B-9397-08002B2CF9AE}" pid="159" name="FSC#CCAPRECONFIG@15.1001:AddrPostalischeAdresse">
    <vt:lpwstr/>
  </property>
  <property fmtid="{D5CDD505-2E9C-101B-9397-08002B2CF9AE}" pid="160" name="FSC#COOSYSTEM@1.1:Container">
    <vt:lpwstr>COO.2125.100.2.8222107</vt:lpwstr>
  </property>
  <property fmtid="{D5CDD505-2E9C-101B-9397-08002B2CF9AE}" pid="161" name="FSC#FSCFOLIO@1.1001:docpropproject">
    <vt:lpwstr/>
  </property>
</Properties>
</file>