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960236" w14:paraId="025D7459" w14:textId="77777777" w:rsidTr="00B6553F">
        <w:trPr>
          <w:cantSplit/>
          <w:trHeight w:hRule="exact" w:val="851"/>
        </w:trPr>
        <w:tc>
          <w:tcPr>
            <w:tcW w:w="1276" w:type="dxa"/>
            <w:tcBorders>
              <w:bottom w:val="single" w:sz="4" w:space="0" w:color="auto"/>
            </w:tcBorders>
            <w:vAlign w:val="bottom"/>
          </w:tcPr>
          <w:p w14:paraId="270A4420" w14:textId="77777777" w:rsidR="00B56E9C" w:rsidRPr="00960236" w:rsidRDefault="00B56E9C" w:rsidP="00B6553F">
            <w:pPr>
              <w:spacing w:after="80"/>
            </w:pPr>
          </w:p>
        </w:tc>
        <w:tc>
          <w:tcPr>
            <w:tcW w:w="2268" w:type="dxa"/>
            <w:tcBorders>
              <w:bottom w:val="single" w:sz="4" w:space="0" w:color="auto"/>
            </w:tcBorders>
            <w:vAlign w:val="bottom"/>
          </w:tcPr>
          <w:p w14:paraId="4FE44382" w14:textId="77777777" w:rsidR="00B56E9C" w:rsidRPr="00960236" w:rsidRDefault="00B56E9C" w:rsidP="00B6553F">
            <w:pPr>
              <w:spacing w:after="80" w:line="300" w:lineRule="exact"/>
              <w:rPr>
                <w:b/>
                <w:sz w:val="24"/>
                <w:szCs w:val="24"/>
              </w:rPr>
            </w:pPr>
            <w:r w:rsidRPr="00960236">
              <w:rPr>
                <w:sz w:val="28"/>
                <w:szCs w:val="28"/>
              </w:rPr>
              <w:t>United Nations</w:t>
            </w:r>
          </w:p>
        </w:tc>
        <w:tc>
          <w:tcPr>
            <w:tcW w:w="6095" w:type="dxa"/>
            <w:gridSpan w:val="2"/>
            <w:tcBorders>
              <w:bottom w:val="single" w:sz="4" w:space="0" w:color="auto"/>
            </w:tcBorders>
            <w:vAlign w:val="bottom"/>
          </w:tcPr>
          <w:p w14:paraId="02FEC1CD" w14:textId="19D7E2BC" w:rsidR="00B56E9C" w:rsidRPr="00960236" w:rsidRDefault="00F86404" w:rsidP="00915BA8">
            <w:pPr>
              <w:jc w:val="right"/>
            </w:pPr>
            <w:r w:rsidRPr="00960236">
              <w:rPr>
                <w:sz w:val="40"/>
              </w:rPr>
              <w:t>ECE</w:t>
            </w:r>
            <w:r w:rsidR="00BD06C9">
              <w:t>/TRANS/WP.15/AC.1/</w:t>
            </w:r>
            <w:r w:rsidR="00182555" w:rsidRPr="00960236">
              <w:t>148</w:t>
            </w:r>
            <w:r w:rsidRPr="00960236">
              <w:t>/Add.1</w:t>
            </w:r>
          </w:p>
        </w:tc>
      </w:tr>
      <w:tr w:rsidR="00B56E9C" w:rsidRPr="00960236" w14:paraId="18665434" w14:textId="77777777" w:rsidTr="00B6553F">
        <w:trPr>
          <w:cantSplit/>
          <w:trHeight w:hRule="exact" w:val="2835"/>
        </w:trPr>
        <w:tc>
          <w:tcPr>
            <w:tcW w:w="1276" w:type="dxa"/>
            <w:tcBorders>
              <w:top w:val="single" w:sz="4" w:space="0" w:color="auto"/>
              <w:bottom w:val="single" w:sz="12" w:space="0" w:color="auto"/>
            </w:tcBorders>
          </w:tcPr>
          <w:p w14:paraId="56452784" w14:textId="77777777" w:rsidR="00B56E9C" w:rsidRPr="00960236" w:rsidRDefault="00FF7D48" w:rsidP="00B6553F">
            <w:pPr>
              <w:spacing w:before="120"/>
            </w:pPr>
            <w:r w:rsidRPr="00960236">
              <w:rPr>
                <w:noProof/>
                <w:lang w:val="en-US"/>
              </w:rPr>
              <w:drawing>
                <wp:inline distT="0" distB="0" distL="0" distR="0" wp14:anchorId="6BF1537D" wp14:editId="241CCF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09D1BC" w14:textId="77777777" w:rsidR="00B56E9C" w:rsidRPr="00960236" w:rsidRDefault="00D773DF" w:rsidP="00D773DF">
            <w:pPr>
              <w:spacing w:before="120" w:line="420" w:lineRule="exact"/>
              <w:rPr>
                <w:sz w:val="40"/>
                <w:szCs w:val="40"/>
              </w:rPr>
            </w:pPr>
            <w:r w:rsidRPr="00960236">
              <w:rPr>
                <w:b/>
                <w:sz w:val="40"/>
                <w:szCs w:val="40"/>
              </w:rPr>
              <w:t>Economic and Social Council</w:t>
            </w:r>
          </w:p>
        </w:tc>
        <w:tc>
          <w:tcPr>
            <w:tcW w:w="2835" w:type="dxa"/>
            <w:tcBorders>
              <w:top w:val="single" w:sz="4" w:space="0" w:color="auto"/>
              <w:bottom w:val="single" w:sz="12" w:space="0" w:color="auto"/>
            </w:tcBorders>
          </w:tcPr>
          <w:p w14:paraId="31BFE2E1" w14:textId="77777777" w:rsidR="00B56E9C" w:rsidRPr="00960236" w:rsidRDefault="00F86404" w:rsidP="00F86404">
            <w:pPr>
              <w:spacing w:before="240" w:line="240" w:lineRule="exact"/>
            </w:pPr>
            <w:r w:rsidRPr="00960236">
              <w:t>Distr.: General</w:t>
            </w:r>
          </w:p>
          <w:p w14:paraId="296F9374" w14:textId="2F4E1E30" w:rsidR="00F86404" w:rsidRPr="00960236" w:rsidRDefault="0089767C" w:rsidP="00F86404">
            <w:pPr>
              <w:spacing w:line="240" w:lineRule="exact"/>
            </w:pPr>
            <w:r>
              <w:t>20</w:t>
            </w:r>
            <w:r w:rsidR="00F86404" w:rsidRPr="00960236">
              <w:t xml:space="preserve"> October 2017</w:t>
            </w:r>
          </w:p>
          <w:p w14:paraId="38788815" w14:textId="77777777" w:rsidR="00F86404" w:rsidRPr="00960236" w:rsidRDefault="00F86404" w:rsidP="00F86404">
            <w:pPr>
              <w:spacing w:line="240" w:lineRule="exact"/>
            </w:pPr>
            <w:r w:rsidRPr="00960236">
              <w:t>English</w:t>
            </w:r>
          </w:p>
          <w:p w14:paraId="0309574A" w14:textId="77777777" w:rsidR="00F86404" w:rsidRPr="00960236" w:rsidRDefault="00F86404" w:rsidP="00F86404">
            <w:pPr>
              <w:spacing w:line="240" w:lineRule="exact"/>
            </w:pPr>
            <w:r w:rsidRPr="00960236">
              <w:t>Original: English and French</w:t>
            </w:r>
          </w:p>
        </w:tc>
      </w:tr>
    </w:tbl>
    <w:p w14:paraId="28B909B7" w14:textId="77777777" w:rsidR="00F86404" w:rsidRPr="00960236" w:rsidRDefault="00F86404" w:rsidP="00F86404">
      <w:pPr>
        <w:spacing w:before="120"/>
        <w:rPr>
          <w:b/>
          <w:sz w:val="28"/>
          <w:szCs w:val="28"/>
        </w:rPr>
      </w:pPr>
      <w:r w:rsidRPr="00960236">
        <w:rPr>
          <w:b/>
          <w:sz w:val="28"/>
          <w:szCs w:val="28"/>
        </w:rPr>
        <w:t>Economic Commission for Europe</w:t>
      </w:r>
    </w:p>
    <w:p w14:paraId="5DB66C26" w14:textId="77777777" w:rsidR="00F86404" w:rsidRPr="00960236" w:rsidRDefault="00F86404" w:rsidP="00F86404">
      <w:pPr>
        <w:spacing w:before="120"/>
        <w:rPr>
          <w:sz w:val="28"/>
          <w:szCs w:val="28"/>
        </w:rPr>
      </w:pPr>
      <w:r w:rsidRPr="00960236">
        <w:rPr>
          <w:sz w:val="28"/>
          <w:szCs w:val="28"/>
        </w:rPr>
        <w:t>Inland Transport Committee</w:t>
      </w:r>
    </w:p>
    <w:p w14:paraId="3A5FD043" w14:textId="77777777" w:rsidR="00F86404" w:rsidRPr="00960236" w:rsidRDefault="00F86404" w:rsidP="00F86404">
      <w:pPr>
        <w:spacing w:before="120" w:after="120"/>
        <w:rPr>
          <w:b/>
          <w:sz w:val="24"/>
          <w:szCs w:val="24"/>
        </w:rPr>
      </w:pPr>
      <w:r w:rsidRPr="00960236">
        <w:rPr>
          <w:b/>
          <w:sz w:val="24"/>
          <w:szCs w:val="24"/>
        </w:rPr>
        <w:t>Working Party on the Transport of Dangerous Goods</w:t>
      </w:r>
    </w:p>
    <w:p w14:paraId="08C567BF" w14:textId="77777777" w:rsidR="00F86404" w:rsidRPr="00960236" w:rsidRDefault="00F86404" w:rsidP="00F86404">
      <w:pPr>
        <w:rPr>
          <w:b/>
        </w:rPr>
      </w:pPr>
      <w:r w:rsidRPr="00960236">
        <w:rPr>
          <w:b/>
        </w:rPr>
        <w:t>Joint Meeting of the RID Committee of Experts and the</w:t>
      </w:r>
    </w:p>
    <w:p w14:paraId="1829AFDB" w14:textId="77777777" w:rsidR="00F86404" w:rsidRPr="00960236" w:rsidRDefault="00F86404" w:rsidP="00F86404">
      <w:pPr>
        <w:rPr>
          <w:b/>
        </w:rPr>
      </w:pPr>
      <w:r w:rsidRPr="00960236">
        <w:rPr>
          <w:b/>
        </w:rPr>
        <w:t>Working Party on the Transport of Dangerous Goods</w:t>
      </w:r>
    </w:p>
    <w:p w14:paraId="5BBB02FF" w14:textId="49B7FCCC" w:rsidR="00F86404" w:rsidRPr="00960236" w:rsidRDefault="00F86404" w:rsidP="00F86404">
      <w:pPr>
        <w:pStyle w:val="HChG"/>
      </w:pPr>
      <w:r w:rsidRPr="00960236">
        <w:tab/>
      </w:r>
      <w:r w:rsidRPr="00960236">
        <w:tab/>
        <w:t>Report of the Joint Meeting of the RID Committee of Experts and the Working Party on the Transport of Dangerous Goods on its autumn 2017 session</w:t>
      </w:r>
      <w:r w:rsidR="00A87742" w:rsidRPr="00A87742">
        <w:rPr>
          <w:rStyle w:val="FootnoteReference"/>
          <w:sz w:val="20"/>
        </w:rPr>
        <w:footnoteReference w:customMarkFollows="1" w:id="2"/>
        <w:t>*</w:t>
      </w:r>
    </w:p>
    <w:p w14:paraId="306EE91F" w14:textId="77777777" w:rsidR="00F86404" w:rsidRPr="00960236" w:rsidRDefault="00F86404" w:rsidP="00F86404">
      <w:r w:rsidRPr="00960236">
        <w:tab/>
      </w:r>
      <w:r w:rsidRPr="00960236">
        <w:tab/>
        <w:t>held in Geneva, 19-29 September 2017</w:t>
      </w:r>
    </w:p>
    <w:p w14:paraId="29F22719" w14:textId="57566B25" w:rsidR="00F86404" w:rsidRPr="00960236" w:rsidRDefault="00F86404" w:rsidP="00F86404">
      <w:pPr>
        <w:pStyle w:val="H23G"/>
      </w:pPr>
      <w:r w:rsidRPr="00960236">
        <w:tab/>
      </w:r>
      <w:r w:rsidRPr="00960236">
        <w:tab/>
        <w:t>Addendum</w:t>
      </w:r>
      <w:r w:rsidR="00A87742" w:rsidRPr="00A87742">
        <w:rPr>
          <w:rStyle w:val="FootnoteReference"/>
          <w:sz w:val="20"/>
        </w:rPr>
        <w:footnoteReference w:customMarkFollows="1" w:id="3"/>
        <w:t>**</w:t>
      </w:r>
    </w:p>
    <w:p w14:paraId="5176C838" w14:textId="07D93755" w:rsidR="00F86404" w:rsidRPr="00960236" w:rsidRDefault="00F86404" w:rsidP="00F86404">
      <w:pPr>
        <w:rPr>
          <w:b/>
        </w:rPr>
      </w:pPr>
    </w:p>
    <w:p w14:paraId="54EBE4AF" w14:textId="77777777" w:rsidR="00A6129C" w:rsidRPr="00960236" w:rsidRDefault="00A6129C" w:rsidP="00C96DF2"/>
    <w:p w14:paraId="78B0ED54" w14:textId="77777777" w:rsidR="00F86404" w:rsidRPr="00960236" w:rsidRDefault="00F86404">
      <w:pPr>
        <w:suppressAutoHyphens w:val="0"/>
        <w:spacing w:line="240" w:lineRule="auto"/>
        <w:rPr>
          <w:b/>
        </w:rPr>
      </w:pPr>
      <w:r w:rsidRPr="00960236">
        <w:rPr>
          <w:b/>
        </w:rPr>
        <w:br w:type="page"/>
      </w:r>
    </w:p>
    <w:p w14:paraId="0A98341D" w14:textId="0709F660" w:rsidR="00A863EE" w:rsidRPr="00960236" w:rsidRDefault="00A863EE" w:rsidP="00A863EE">
      <w:pPr>
        <w:pStyle w:val="HChG"/>
      </w:pPr>
      <w:r w:rsidRPr="00960236">
        <w:lastRenderedPageBreak/>
        <w:t>Annex I</w:t>
      </w:r>
    </w:p>
    <w:p w14:paraId="0C13F7F5" w14:textId="0A4928FE" w:rsidR="00A863EE" w:rsidRPr="00960236" w:rsidRDefault="00A863EE" w:rsidP="00A863EE">
      <w:pPr>
        <w:pStyle w:val="HChG"/>
      </w:pPr>
      <w:r w:rsidRPr="00960236">
        <w:tab/>
      </w:r>
      <w:r w:rsidRPr="00960236">
        <w:tab/>
        <w:t>Draft amendments to RID, ADR and ADN for ent</w:t>
      </w:r>
      <w:r w:rsidR="00035CCD">
        <w:t>ry into force on 1 January 2019</w:t>
      </w:r>
    </w:p>
    <w:p w14:paraId="75642E89" w14:textId="77777777" w:rsidR="009F27C3" w:rsidRPr="00960236" w:rsidRDefault="00375A94" w:rsidP="009F27C3">
      <w:pPr>
        <w:pStyle w:val="H23G"/>
        <w:rPr>
          <w:rStyle w:val="H1GChar"/>
          <w:b/>
        </w:rPr>
      </w:pPr>
      <w:r w:rsidRPr="00960236">
        <w:tab/>
      </w:r>
      <w:r w:rsidRPr="00960236">
        <w:tab/>
      </w:r>
      <w:r w:rsidR="009F27C3" w:rsidRPr="00960236">
        <w:rPr>
          <w:rStyle w:val="H1GChar"/>
          <w:b/>
        </w:rPr>
        <w:t>Chapter 1.1</w:t>
      </w:r>
    </w:p>
    <w:p w14:paraId="1F5A3090" w14:textId="77777777" w:rsidR="009F27C3" w:rsidRPr="00960236" w:rsidRDefault="009F27C3" w:rsidP="009F27C3">
      <w:pPr>
        <w:spacing w:after="120"/>
        <w:ind w:left="1134" w:right="1134"/>
        <w:jc w:val="both"/>
        <w:rPr>
          <w:rFonts w:eastAsia="Calibri"/>
        </w:rPr>
      </w:pPr>
      <w:r w:rsidRPr="00960236">
        <w:rPr>
          <w:rFonts w:eastAsia="Calibri"/>
        </w:rPr>
        <w:t>1.1.3.6.3</w:t>
      </w:r>
      <w:r w:rsidRPr="00960236">
        <w:rPr>
          <w:rFonts w:eastAsia="Calibri"/>
        </w:rPr>
        <w:tab/>
        <w:t xml:space="preserve">In the text after the table, in the first indent, replace “gross mass in kilograms” by “total mass in kilograms of the articles without their </w:t>
      </w:r>
      <w:proofErr w:type="spellStart"/>
      <w:r w:rsidRPr="00960236">
        <w:rPr>
          <w:rFonts w:eastAsia="Calibri"/>
        </w:rPr>
        <w:t>packagings</w:t>
      </w:r>
      <w:proofErr w:type="spellEnd"/>
      <w:r w:rsidRPr="00960236">
        <w:rPr>
          <w:rFonts w:eastAsia="Calibri"/>
        </w:rPr>
        <w:t>”.</w:t>
      </w:r>
    </w:p>
    <w:p w14:paraId="6205C247" w14:textId="77777777" w:rsidR="009F27C3" w:rsidRPr="00960236" w:rsidRDefault="009F27C3" w:rsidP="009F27C3">
      <w:pPr>
        <w:pStyle w:val="SingleTxtG"/>
        <w:rPr>
          <w:i/>
          <w:iCs/>
        </w:rPr>
      </w:pPr>
      <w:r w:rsidRPr="00960236">
        <w:rPr>
          <w:rFonts w:eastAsia="Calibri"/>
          <w:i/>
        </w:rPr>
        <w:t xml:space="preserve">(Reference document: </w:t>
      </w:r>
      <w:r w:rsidRPr="00960236">
        <w:rPr>
          <w:i/>
          <w:iCs/>
        </w:rPr>
        <w:t>ECE/TRANS/WP.15/AC.1/2017/37, option 2, as amended)</w:t>
      </w:r>
    </w:p>
    <w:p w14:paraId="11FAFFF4" w14:textId="77777777" w:rsidR="009F27C3" w:rsidRPr="00960236" w:rsidRDefault="009F27C3" w:rsidP="009F27C3">
      <w:pPr>
        <w:pStyle w:val="SingleTxtG"/>
        <w:rPr>
          <w:i/>
        </w:rPr>
      </w:pPr>
      <w:r w:rsidRPr="00960236">
        <w:t>1.1.4.3</w:t>
      </w:r>
      <w:r w:rsidRPr="00960236">
        <w:tab/>
      </w:r>
      <w:r w:rsidR="000F06F2" w:rsidRPr="00960236">
        <w:tab/>
      </w:r>
      <w:r w:rsidRPr="00960236">
        <w:t xml:space="preserve">In the footnote, replace “DSC.1/Circ.12 and Corrigenda” by </w:t>
      </w:r>
      <w:r w:rsidRPr="00960236">
        <w:rPr>
          <w:iCs/>
        </w:rPr>
        <w:t>“CCC.1/Circ.3”.</w:t>
      </w:r>
    </w:p>
    <w:p w14:paraId="6539E52B" w14:textId="77777777" w:rsidR="009F27C3" w:rsidRPr="00960236" w:rsidRDefault="009F27C3" w:rsidP="009F27C3">
      <w:pPr>
        <w:pStyle w:val="SingleTxtG"/>
        <w:rPr>
          <w:i/>
        </w:rPr>
      </w:pPr>
      <w:r w:rsidRPr="00960236">
        <w:rPr>
          <w:i/>
        </w:rPr>
        <w:t>(Reference document: informal document INF.14)</w:t>
      </w:r>
    </w:p>
    <w:p w14:paraId="79197EEE" w14:textId="77777777" w:rsidR="00375A94" w:rsidRPr="00960236" w:rsidRDefault="009F27C3" w:rsidP="00375A94">
      <w:pPr>
        <w:pStyle w:val="H1G"/>
      </w:pPr>
      <w:r w:rsidRPr="00960236">
        <w:tab/>
      </w:r>
      <w:r w:rsidRPr="00960236">
        <w:tab/>
      </w:r>
      <w:r w:rsidR="00375A94" w:rsidRPr="00960236">
        <w:t>Chapter 1.2</w:t>
      </w:r>
    </w:p>
    <w:p w14:paraId="62276845" w14:textId="7D8C00CD" w:rsidR="00375A94" w:rsidRDefault="00375A94" w:rsidP="00375A94">
      <w:pPr>
        <w:pStyle w:val="SingleTxtG"/>
      </w:pPr>
      <w:r w:rsidRPr="00960236">
        <w:t>1.2.1</w:t>
      </w:r>
      <w:r w:rsidRPr="00960236">
        <w:tab/>
        <w:t>In the definition of “UN Model Regulations”, replace “nineteenth” by “twentieth” and replace “(ST/SG/AC.10/1/Rev.19)” by “(ST/SG/AC.10/1/Rev.20)”.</w:t>
      </w:r>
    </w:p>
    <w:p w14:paraId="7F07BFDD" w14:textId="00599A99" w:rsidR="00F66F00" w:rsidRDefault="00F66F00" w:rsidP="00375A94">
      <w:pPr>
        <w:pStyle w:val="SingleTxtG"/>
      </w:pPr>
      <w:r>
        <w:t>1.2.1</w:t>
      </w:r>
      <w:r>
        <w:tab/>
        <w:t>Add the following new definition:</w:t>
      </w:r>
    </w:p>
    <w:p w14:paraId="3801C1D7" w14:textId="77777777" w:rsidR="00F66F00" w:rsidRPr="00C71A32" w:rsidRDefault="00F66F00" w:rsidP="00F66F00">
      <w:pPr>
        <w:pStyle w:val="SingleTxtG"/>
        <w:spacing w:before="120"/>
      </w:pPr>
      <w:r w:rsidRPr="00C71A32">
        <w:t>“</w:t>
      </w:r>
      <w:r w:rsidRPr="00C71A32">
        <w:rPr>
          <w:i/>
        </w:rPr>
        <w:t xml:space="preserve">"Over-moulded cylinder" </w:t>
      </w:r>
      <w:r w:rsidRPr="00C71A32">
        <w:t xml:space="preserve">means a cylinder intended for the carriage of LPG with a water capacity not exceeding </w:t>
      </w:r>
      <w:smartTag w:uri="urn:schemas-microsoft-com:office:smarttags" w:element="metricconverter">
        <w:smartTagPr>
          <w:attr w:name="ProductID" w:val="3.3”"/>
        </w:smartTagPr>
        <w:r w:rsidRPr="00C71A32">
          <w:t>13 litres</w:t>
        </w:r>
      </w:smartTag>
      <w:r w:rsidRPr="00C71A32">
        <w:t xml:space="preserve"> made of a coated welded steel inner cylinder with an over-moulded protective case made from cellular plastic, which is non-removable and bonded to the outer surface of the steel cylinder</w:t>
      </w:r>
      <w:r w:rsidRPr="00C71A32">
        <w:rPr>
          <w:spacing w:val="-25"/>
        </w:rPr>
        <w:t xml:space="preserve"> </w:t>
      </w:r>
      <w:r w:rsidRPr="00C71A32">
        <w:t>wall;”.</w:t>
      </w:r>
    </w:p>
    <w:p w14:paraId="088C7E62" w14:textId="4DFA54F6" w:rsidR="00F66F00" w:rsidRPr="00F66F00" w:rsidRDefault="00F66F00" w:rsidP="00375A94">
      <w:pPr>
        <w:pStyle w:val="SingleTxtG"/>
        <w:rPr>
          <w:i/>
          <w:iCs/>
        </w:rPr>
      </w:pPr>
      <w:r w:rsidRPr="00AF6025">
        <w:rPr>
          <w:i/>
          <w:iCs/>
        </w:rPr>
        <w:t xml:space="preserve">(Reference document: </w:t>
      </w:r>
      <w:r>
        <w:rPr>
          <w:i/>
          <w:iCs/>
        </w:rPr>
        <w:t>ECE/TRANS/WP.15/AC.1/2017/33 as amended in informal documents INF.55 and INF.56</w:t>
      </w:r>
      <w:r w:rsidRPr="00AF6025">
        <w:rPr>
          <w:i/>
          <w:iCs/>
        </w:rPr>
        <w:t>)</w:t>
      </w:r>
    </w:p>
    <w:p w14:paraId="1CD809FE" w14:textId="14181685" w:rsidR="00915707" w:rsidRPr="00A863EE" w:rsidRDefault="00A863EE" w:rsidP="00A863EE">
      <w:pPr>
        <w:pStyle w:val="H1G"/>
        <w:rPr>
          <w:rStyle w:val="H1GChar"/>
          <w:b/>
        </w:rPr>
      </w:pPr>
      <w:r>
        <w:rPr>
          <w:rStyle w:val="H1GChar"/>
          <w:b/>
        </w:rPr>
        <w:tab/>
      </w:r>
      <w:r>
        <w:rPr>
          <w:rStyle w:val="H1GChar"/>
          <w:b/>
        </w:rPr>
        <w:tab/>
      </w:r>
      <w:r w:rsidR="00915707" w:rsidRPr="00A863EE">
        <w:rPr>
          <w:rStyle w:val="H1GChar"/>
          <w:b/>
        </w:rPr>
        <w:t>Chapter 1.6</w:t>
      </w:r>
    </w:p>
    <w:p w14:paraId="27041078" w14:textId="77777777" w:rsidR="000F06F2" w:rsidRPr="00960236" w:rsidRDefault="000F06F2" w:rsidP="000F06F2">
      <w:pPr>
        <w:pStyle w:val="SingleTxtG"/>
        <w:tabs>
          <w:tab w:val="left" w:pos="1985"/>
          <w:tab w:val="left" w:pos="2268"/>
        </w:tabs>
      </w:pPr>
      <w:r w:rsidRPr="00960236">
        <w:t>1.6.1.1</w:t>
      </w:r>
      <w:r w:rsidRPr="00960236">
        <w:tab/>
        <w:t>Replace “30 June 2017” by “30 June 2019”. Replace “31 December 2016” by “31 December 2018”.</w:t>
      </w:r>
    </w:p>
    <w:p w14:paraId="4B9F46BB" w14:textId="1D567AC2" w:rsidR="00D34035" w:rsidRPr="00960236" w:rsidRDefault="00D34035" w:rsidP="00D34035">
      <w:pPr>
        <w:pStyle w:val="SingleTxtG"/>
        <w:tabs>
          <w:tab w:val="left" w:pos="1985"/>
          <w:tab w:val="left" w:pos="2268"/>
        </w:tabs>
      </w:pPr>
      <w:r>
        <w:t>(RID:) In footnote 15, replace "2015" by "2017".</w:t>
      </w:r>
    </w:p>
    <w:p w14:paraId="61F89219" w14:textId="6DEC0D34" w:rsidR="000F06F2" w:rsidRPr="00960236" w:rsidRDefault="000F06F2" w:rsidP="00D34035">
      <w:pPr>
        <w:pStyle w:val="SingleTxtG"/>
        <w:rPr>
          <w:i/>
          <w:iCs/>
        </w:rPr>
      </w:pPr>
      <w:r w:rsidRPr="00960236">
        <w:rPr>
          <w:i/>
          <w:iCs/>
        </w:rPr>
        <w:t>(Reference document: informal document INF.30)</w:t>
      </w:r>
    </w:p>
    <w:p w14:paraId="1809C65D" w14:textId="5394E841" w:rsidR="000F06F2" w:rsidRPr="00960236" w:rsidRDefault="000F06F2" w:rsidP="000F06F2">
      <w:pPr>
        <w:pStyle w:val="SingleTxtG"/>
      </w:pPr>
      <w:r w:rsidRPr="00960236">
        <w:t xml:space="preserve">1.6.1.25, </w:t>
      </w:r>
      <w:r w:rsidR="00D34035">
        <w:t xml:space="preserve">(RID:) 1.6.1.37, </w:t>
      </w:r>
      <w:r w:rsidRPr="00960236">
        <w:t xml:space="preserve">1.6.1.39, 1.6.1.40 and 1.6.1.42 </w:t>
      </w:r>
      <w:r w:rsidRPr="00960236">
        <w:tab/>
        <w:t>Delete and add “</w:t>
      </w:r>
      <w:r w:rsidRPr="00960236">
        <w:rPr>
          <w:i/>
          <w:iCs/>
        </w:rPr>
        <w:t>(Deleted)</w:t>
      </w:r>
      <w:r w:rsidRPr="00960236">
        <w:t xml:space="preserve">”. </w:t>
      </w:r>
    </w:p>
    <w:p w14:paraId="4A0BAC3C" w14:textId="77777777" w:rsidR="000F06F2" w:rsidRPr="00960236" w:rsidRDefault="000F06F2" w:rsidP="000F06F2">
      <w:pPr>
        <w:pStyle w:val="SingleTxtG"/>
        <w:rPr>
          <w:i/>
          <w:iCs/>
        </w:rPr>
      </w:pPr>
      <w:r w:rsidRPr="00960236">
        <w:rPr>
          <w:i/>
          <w:iCs/>
        </w:rPr>
        <w:t>(Reference document: informal document INF.30)</w:t>
      </w:r>
    </w:p>
    <w:p w14:paraId="3CDB5A74" w14:textId="61C09242" w:rsidR="00915707" w:rsidRPr="00960236" w:rsidRDefault="00D34035" w:rsidP="00915707">
      <w:pPr>
        <w:pStyle w:val="SingleTxtG"/>
      </w:pPr>
      <w:r>
        <w:t xml:space="preserve">(RID:) </w:t>
      </w:r>
      <w:r w:rsidR="00915707" w:rsidRPr="00960236">
        <w:t xml:space="preserve">1.6.3.15, </w:t>
      </w:r>
      <w:r>
        <w:t xml:space="preserve">(ADR:) </w:t>
      </w:r>
      <w:r w:rsidR="00915707" w:rsidRPr="00960236">
        <w:t>1.6.3.17, 1.6.3.42, 1.6.4.15, 1.6.4.38, 1.6.4.44, 1.6.4.45 Delete and add “</w:t>
      </w:r>
      <w:r w:rsidR="00915707" w:rsidRPr="00960236">
        <w:rPr>
          <w:i/>
          <w:iCs/>
        </w:rPr>
        <w:t>(Deleted)</w:t>
      </w:r>
      <w:r w:rsidR="00915707" w:rsidRPr="00960236">
        <w:t xml:space="preserve">”. </w:t>
      </w:r>
    </w:p>
    <w:p w14:paraId="4629FA1E" w14:textId="77777777" w:rsidR="00915707" w:rsidRPr="00960236" w:rsidRDefault="00915707" w:rsidP="00915707">
      <w:pPr>
        <w:pStyle w:val="SingleTxtG"/>
        <w:rPr>
          <w:i/>
          <w:iCs/>
        </w:rPr>
      </w:pPr>
      <w:r w:rsidRPr="00960236">
        <w:rPr>
          <w:i/>
          <w:iCs/>
        </w:rPr>
        <w:t>(Reference document: informal document INF.30)</w:t>
      </w:r>
    </w:p>
    <w:p w14:paraId="536D32E7" w14:textId="68B88A91" w:rsidR="00915707" w:rsidRPr="00960236" w:rsidRDefault="00D34035" w:rsidP="00915707">
      <w:pPr>
        <w:pStyle w:val="SingleTxtG"/>
      </w:pPr>
      <w:r>
        <w:t xml:space="preserve">(ADR:) </w:t>
      </w:r>
      <w:r w:rsidR="00915707" w:rsidRPr="00960236">
        <w:t>1.6.3.44</w:t>
      </w:r>
      <w:r w:rsidR="00915707" w:rsidRPr="00960236">
        <w:tab/>
        <w:t>Delete “, may continue to be used until their first intermediate or periodic inspection after 31 December 2015. After this date, they”.</w:t>
      </w:r>
    </w:p>
    <w:p w14:paraId="1F46B83D" w14:textId="77777777" w:rsidR="00915707" w:rsidRPr="00960236" w:rsidRDefault="00915707" w:rsidP="00915707">
      <w:pPr>
        <w:pStyle w:val="SingleTxtG"/>
        <w:rPr>
          <w:i/>
          <w:iCs/>
        </w:rPr>
      </w:pPr>
      <w:r w:rsidRPr="00960236">
        <w:rPr>
          <w:i/>
          <w:iCs/>
        </w:rPr>
        <w:t>(Reference document: informal document INF.30)</w:t>
      </w:r>
    </w:p>
    <w:p w14:paraId="7716BA59" w14:textId="77777777" w:rsidR="000F06F2" w:rsidRPr="00960236" w:rsidRDefault="000F06F2" w:rsidP="000F06F2">
      <w:pPr>
        <w:pStyle w:val="H1G"/>
        <w:rPr>
          <w:rStyle w:val="H1GChar"/>
          <w:b/>
        </w:rPr>
      </w:pPr>
      <w:r w:rsidRPr="00960236">
        <w:rPr>
          <w:rStyle w:val="H1GChar"/>
          <w:b/>
        </w:rPr>
        <w:tab/>
      </w:r>
      <w:r w:rsidRPr="00960236">
        <w:rPr>
          <w:rStyle w:val="H1GChar"/>
          <w:b/>
        </w:rPr>
        <w:tab/>
        <w:t>Chapter 1.10</w:t>
      </w:r>
    </w:p>
    <w:p w14:paraId="3DF7DF65" w14:textId="77777777" w:rsidR="000F06F2" w:rsidRPr="00960236" w:rsidRDefault="000F06F2" w:rsidP="000F06F2">
      <w:pPr>
        <w:pStyle w:val="SingleTxtG"/>
        <w:rPr>
          <w:rStyle w:val="H1GChar"/>
          <w:b w:val="0"/>
          <w:sz w:val="20"/>
        </w:rPr>
      </w:pPr>
      <w:r w:rsidRPr="00960236">
        <w:rPr>
          <w:rStyle w:val="H1GChar"/>
          <w:b w:val="0"/>
          <w:sz w:val="20"/>
        </w:rPr>
        <w:t>Table 1.10.3.1.2</w:t>
      </w:r>
      <w:r w:rsidRPr="00960236">
        <w:rPr>
          <w:rStyle w:val="H1GChar"/>
          <w:b w:val="0"/>
          <w:sz w:val="20"/>
        </w:rPr>
        <w:tab/>
        <w:t>Amend the text of the first line for Class 2 to read as follows: “Flammable, non-toxic gases (classification codes including only letters F or FC)”.</w:t>
      </w:r>
    </w:p>
    <w:p w14:paraId="6941F14B" w14:textId="77777777" w:rsidR="000F06F2" w:rsidRPr="00960236" w:rsidRDefault="000F06F2" w:rsidP="000F06F2">
      <w:pPr>
        <w:pStyle w:val="SingleTxtG"/>
        <w:rPr>
          <w:rStyle w:val="H1GChar"/>
          <w:b w:val="0"/>
          <w:i/>
          <w:iCs/>
          <w:sz w:val="20"/>
        </w:rPr>
      </w:pPr>
      <w:r w:rsidRPr="00960236">
        <w:rPr>
          <w:rStyle w:val="H1GChar"/>
          <w:b w:val="0"/>
          <w:i/>
          <w:iCs/>
          <w:sz w:val="20"/>
        </w:rPr>
        <w:lastRenderedPageBreak/>
        <w:t>(Reference document: ECE/TRANS/WP.15/AC.1/2017/29, as amended)</w:t>
      </w:r>
    </w:p>
    <w:p w14:paraId="21D2AEA7" w14:textId="1F321EA3" w:rsidR="000F06F2" w:rsidRPr="00A863EE" w:rsidRDefault="00A863EE" w:rsidP="00A863EE">
      <w:pPr>
        <w:pStyle w:val="H1G"/>
      </w:pPr>
      <w:r>
        <w:tab/>
      </w:r>
      <w:r>
        <w:tab/>
      </w:r>
      <w:r w:rsidR="000F06F2" w:rsidRPr="00A863EE">
        <w:t>Chapter 2.1</w:t>
      </w:r>
    </w:p>
    <w:p w14:paraId="2A82FF6E" w14:textId="77777777" w:rsidR="000F06F2" w:rsidRPr="00960236" w:rsidRDefault="000F06F2" w:rsidP="000F06F2">
      <w:pPr>
        <w:pStyle w:val="SingleTxtG"/>
      </w:pPr>
      <w:r w:rsidRPr="00960236">
        <w:t>[2.1.3.5.5</w:t>
      </w:r>
      <w:r w:rsidRPr="00960236">
        <w:tab/>
        <w:t>Amend the footnote 2 to read as follows:</w:t>
      </w:r>
    </w:p>
    <w:p w14:paraId="7E8DF2BA" w14:textId="17FFF1EA" w:rsidR="000F06F2" w:rsidRPr="00960236" w:rsidRDefault="000F06F2" w:rsidP="000F06F2">
      <w:pPr>
        <w:pStyle w:val="SingleTxtG"/>
        <w:rPr>
          <w:i/>
        </w:rPr>
      </w:pPr>
      <w:r w:rsidRPr="00960236">
        <w:t>“</w:t>
      </w:r>
      <w:r w:rsidRPr="00960236">
        <w:rPr>
          <w:b/>
          <w:vertAlign w:val="superscript"/>
        </w:rPr>
        <w:t>2</w:t>
      </w:r>
      <w:r w:rsidRPr="00960236">
        <w:t xml:space="preserve"> </w:t>
      </w:r>
      <w:r w:rsidRPr="00960236">
        <w:rPr>
          <w:i/>
        </w:rPr>
        <w:t xml:space="preserve">Such legislation is for instance the Commission Decision </w:t>
      </w:r>
      <w:r w:rsidRPr="00960236">
        <w:rPr>
          <w:i/>
          <w:iCs/>
        </w:rPr>
        <w:t xml:space="preserve">No 2014/955/EU </w:t>
      </w:r>
      <w:r w:rsidRPr="00960236">
        <w:rPr>
          <w:i/>
        </w:rPr>
        <w:t>of 18 December 2014 amending Decision 2000/532/EC on the list of waste pursuant to Directive 2008/98/EC of the European Parliament and of the Council (Official Journal of the European Union No. L 370 of 30 December 2014, pages 44 to 86)</w:t>
      </w:r>
      <w:r w:rsidR="00D34035">
        <w:rPr>
          <w:i/>
        </w:rPr>
        <w:t xml:space="preserve"> and</w:t>
      </w:r>
      <w:r w:rsidRPr="00960236">
        <w:rPr>
          <w:i/>
        </w:rPr>
        <w:t xml:space="preserve"> Commission Regulation (EU) No 1357/2014 of 18 December 2014 replacing Annex III to Directive 2008/98/EC of the European Parliament and of the Council on waste and repealing certain Directives (Official Journal of the European Union No. L 365 of 19 December 2014, pages 89 to 96).</w:t>
      </w:r>
      <w:r w:rsidRPr="00960236">
        <w:t>”</w:t>
      </w:r>
      <w:r w:rsidRPr="00960236">
        <w:rPr>
          <w:iCs/>
        </w:rPr>
        <w:t>.]</w:t>
      </w:r>
      <w:r w:rsidRPr="00960236">
        <w:rPr>
          <w:i/>
        </w:rPr>
        <w:t xml:space="preserve"> </w:t>
      </w:r>
    </w:p>
    <w:p w14:paraId="26A5CC9F" w14:textId="77777777" w:rsidR="000F06F2" w:rsidRPr="00960236" w:rsidRDefault="000F06F2" w:rsidP="000F06F2">
      <w:pPr>
        <w:pStyle w:val="SingleTxtG"/>
        <w:rPr>
          <w:i/>
        </w:rPr>
      </w:pPr>
      <w:r w:rsidRPr="00960236">
        <w:rPr>
          <w:i/>
        </w:rPr>
        <w:t>(Reference document: informal document INF.21)</w:t>
      </w:r>
    </w:p>
    <w:p w14:paraId="41A7BDC3" w14:textId="77777777" w:rsidR="000F06F2" w:rsidRPr="00960236" w:rsidRDefault="000F06F2" w:rsidP="000F06F2">
      <w:pPr>
        <w:pStyle w:val="H1G"/>
        <w:rPr>
          <w:rStyle w:val="H1GChar"/>
          <w:b/>
        </w:rPr>
      </w:pPr>
      <w:r w:rsidRPr="00960236">
        <w:rPr>
          <w:rStyle w:val="H1GChar"/>
        </w:rPr>
        <w:tab/>
      </w:r>
      <w:r w:rsidRPr="00960236">
        <w:rPr>
          <w:rStyle w:val="H1GChar"/>
        </w:rPr>
        <w:tab/>
      </w:r>
      <w:r w:rsidRPr="00960236">
        <w:rPr>
          <w:rStyle w:val="H1GChar"/>
          <w:b/>
        </w:rPr>
        <w:t>Chapter 2.2</w:t>
      </w:r>
    </w:p>
    <w:p w14:paraId="5B27BF0D" w14:textId="77777777" w:rsidR="000F06F2" w:rsidRPr="00960236" w:rsidRDefault="000F06F2" w:rsidP="000F06F2">
      <w:pPr>
        <w:pStyle w:val="SingleTxtG"/>
      </w:pPr>
      <w:r w:rsidRPr="00960236">
        <w:rPr>
          <w:rStyle w:val="H1GChar"/>
          <w:b w:val="0"/>
          <w:sz w:val="20"/>
        </w:rPr>
        <w:t>2.2.9.1.3</w:t>
      </w:r>
      <w:r w:rsidRPr="00960236">
        <w:rPr>
          <w:rStyle w:val="H1GChar"/>
          <w:b w:val="0"/>
          <w:sz w:val="20"/>
        </w:rPr>
        <w:tab/>
        <w:t xml:space="preserve">Replace </w:t>
      </w:r>
      <w:r w:rsidRPr="00960236">
        <w:t>“2.2.9.1.4 to 2.2.9.1.14” by “2.2.9.1.4 to 2.2.9.1.8, 2.2.9.1.10, 2.2.9.1.11, 2.2.9.1.13 and 2.2.9.1.14”.</w:t>
      </w:r>
    </w:p>
    <w:p w14:paraId="1ED92E11" w14:textId="77777777" w:rsidR="000F06F2" w:rsidRPr="00960236" w:rsidRDefault="000F06F2" w:rsidP="000F06F2">
      <w:pPr>
        <w:pStyle w:val="SingleTxtG"/>
        <w:rPr>
          <w:i/>
          <w:iCs/>
        </w:rPr>
      </w:pPr>
      <w:r w:rsidRPr="00960236">
        <w:rPr>
          <w:i/>
          <w:iCs/>
        </w:rPr>
        <w:t xml:space="preserve">(Reference document: </w:t>
      </w:r>
      <w:r w:rsidRPr="00960236">
        <w:rPr>
          <w:rStyle w:val="H1GChar"/>
          <w:b w:val="0"/>
          <w:i/>
          <w:iCs/>
          <w:sz w:val="20"/>
        </w:rPr>
        <w:t>ECE/TRANS/WP.15/AC.1/2017/43)</w:t>
      </w:r>
    </w:p>
    <w:p w14:paraId="0CC8FB93" w14:textId="77777777" w:rsidR="000F06F2" w:rsidRPr="00960236" w:rsidRDefault="00375A94" w:rsidP="000F06F2">
      <w:pPr>
        <w:pStyle w:val="H1G"/>
        <w:rPr>
          <w:rStyle w:val="H1GChar"/>
          <w:b/>
        </w:rPr>
      </w:pPr>
      <w:r w:rsidRPr="00960236">
        <w:tab/>
      </w:r>
      <w:r w:rsidRPr="00960236">
        <w:tab/>
      </w:r>
      <w:r w:rsidR="000F06F2" w:rsidRPr="00960236">
        <w:rPr>
          <w:rStyle w:val="H1GChar"/>
          <w:b/>
        </w:rPr>
        <w:t>Chapter 3.2</w:t>
      </w:r>
    </w:p>
    <w:p w14:paraId="4F4D655B" w14:textId="77777777" w:rsidR="000D4245" w:rsidRPr="00960236" w:rsidRDefault="000D4245" w:rsidP="000D4245">
      <w:pPr>
        <w:pStyle w:val="SingleTxtG"/>
      </w:pPr>
      <w:r w:rsidRPr="00960236">
        <w:t>3.2.1</w:t>
      </w:r>
      <w:r w:rsidRPr="00960236">
        <w:tab/>
        <w:t>In the explanatory text for column (3b), in the penultimate indent, delete “, 8”. Add a new indent right after to read as follows:</w:t>
      </w:r>
    </w:p>
    <w:p w14:paraId="67363FE1" w14:textId="3A1B8971" w:rsidR="000D4245" w:rsidRDefault="000D4245" w:rsidP="000D4245">
      <w:pPr>
        <w:pStyle w:val="SingleTxtG"/>
      </w:pPr>
      <w:r w:rsidRPr="00960236">
        <w:t>“-</w:t>
      </w:r>
      <w:r w:rsidRPr="00960236">
        <w:tab/>
        <w:t>For dangerous substances or articles of Class 8, the codes are explained in 2.2.8.1.4.1;”.</w:t>
      </w:r>
    </w:p>
    <w:p w14:paraId="4D7486EC" w14:textId="5AA0B5FE" w:rsidR="00960236" w:rsidRPr="00960236" w:rsidRDefault="00960236" w:rsidP="000D4245">
      <w:pPr>
        <w:pStyle w:val="SingleTxtG"/>
        <w:rPr>
          <w:i/>
        </w:rPr>
      </w:pPr>
      <w:r>
        <w:rPr>
          <w:i/>
        </w:rPr>
        <w:t>(Consequential amendment)</w:t>
      </w:r>
    </w:p>
    <w:p w14:paraId="4FE1FB17" w14:textId="77777777" w:rsidR="00A863EE" w:rsidRPr="00960236" w:rsidRDefault="00A863EE" w:rsidP="00A863EE">
      <w:pPr>
        <w:pStyle w:val="H23G"/>
      </w:pPr>
      <w:r w:rsidRPr="00960236">
        <w:tab/>
      </w:r>
      <w:r w:rsidRPr="00960236">
        <w:tab/>
        <w:t>3.2.1</w:t>
      </w:r>
      <w:r>
        <w:t xml:space="preserve">, </w:t>
      </w:r>
      <w:r w:rsidRPr="00960236">
        <w:t>Table A</w:t>
      </w:r>
    </w:p>
    <w:p w14:paraId="623501C1" w14:textId="77777777" w:rsidR="000F06F2" w:rsidRPr="00960236" w:rsidRDefault="000F06F2" w:rsidP="000F06F2">
      <w:pPr>
        <w:pStyle w:val="SingleTxtG"/>
      </w:pPr>
      <w:r w:rsidRPr="00960236">
        <w:t>For UN Nos. 1002, 1006, 1013, 1046, 1056, 1058, 1065, 1066, 1070, 1072, 1080, 1952, 1956, 2036, 2073, 2451, 3070, 3156, 3157, 3163, 3297, 3298 and 3299, insert “660” in column (6).</w:t>
      </w:r>
    </w:p>
    <w:p w14:paraId="26913A08" w14:textId="7E5DEC1E" w:rsidR="00375A94" w:rsidRDefault="000F06F2" w:rsidP="000F06F2">
      <w:pPr>
        <w:pStyle w:val="SingleTxtG"/>
        <w:rPr>
          <w:rStyle w:val="H1GChar"/>
          <w:b w:val="0"/>
          <w:i/>
          <w:iCs/>
          <w:sz w:val="20"/>
        </w:rPr>
      </w:pPr>
      <w:r w:rsidRPr="00960236">
        <w:rPr>
          <w:i/>
          <w:iCs/>
        </w:rPr>
        <w:t xml:space="preserve">(Reference document: </w:t>
      </w:r>
      <w:r w:rsidRPr="00960236">
        <w:rPr>
          <w:rStyle w:val="H1GChar"/>
          <w:b w:val="0"/>
          <w:i/>
          <w:iCs/>
          <w:sz w:val="20"/>
        </w:rPr>
        <w:t>informal document INF.54)</w:t>
      </w:r>
    </w:p>
    <w:p w14:paraId="76C848D4" w14:textId="0C06CC3A" w:rsidR="00F66F00" w:rsidRDefault="00F66F00" w:rsidP="00F66F00">
      <w:pPr>
        <w:pStyle w:val="SingleTxtG"/>
        <w:rPr>
          <w:i/>
          <w:iCs/>
        </w:rPr>
      </w:pPr>
      <w:r>
        <w:t>F</w:t>
      </w:r>
      <w:r w:rsidRPr="00C71A32">
        <w:t xml:space="preserve">or UN </w:t>
      </w:r>
      <w:r>
        <w:t>Nos.</w:t>
      </w:r>
      <w:r w:rsidRPr="00C71A32">
        <w:t xml:space="preserve"> 1011, 1075, 1965, 1969 and</w:t>
      </w:r>
      <w:r w:rsidRPr="00C71A32">
        <w:rPr>
          <w:spacing w:val="-16"/>
        </w:rPr>
        <w:t xml:space="preserve"> </w:t>
      </w:r>
      <w:r w:rsidRPr="00C71A32">
        <w:t>1978</w:t>
      </w:r>
      <w:r>
        <w:t xml:space="preserve">, </w:t>
      </w:r>
      <w:r w:rsidR="005C79F5">
        <w:t>insert “674” in column (6)</w:t>
      </w:r>
      <w:r w:rsidRPr="00C71A32">
        <w:t>.</w:t>
      </w:r>
    </w:p>
    <w:p w14:paraId="7C9ED1CA" w14:textId="77777777" w:rsidR="00F66F00" w:rsidRPr="00824FE3" w:rsidRDefault="00F66F00" w:rsidP="00F66F00">
      <w:pPr>
        <w:pStyle w:val="SingleTxtG"/>
        <w:rPr>
          <w:i/>
          <w:iCs/>
        </w:rPr>
      </w:pPr>
      <w:r w:rsidRPr="00AF6025">
        <w:rPr>
          <w:i/>
          <w:iCs/>
        </w:rPr>
        <w:t xml:space="preserve">(Reference document: </w:t>
      </w:r>
      <w:r>
        <w:rPr>
          <w:i/>
          <w:iCs/>
        </w:rPr>
        <w:t>ECE/TRANS/WP.15/AC.1/2017/33 as amended in informal documents INF.55 and INF.56</w:t>
      </w:r>
      <w:r w:rsidRPr="00AF6025">
        <w:rPr>
          <w:i/>
          <w:iCs/>
        </w:rPr>
        <w:t>)</w:t>
      </w:r>
    </w:p>
    <w:p w14:paraId="2C6C147B" w14:textId="77777777" w:rsidR="00B641F1" w:rsidRPr="00960236" w:rsidRDefault="00B641F1" w:rsidP="00B641F1">
      <w:pPr>
        <w:pStyle w:val="SingleTxtG"/>
      </w:pPr>
      <w:r w:rsidRPr="00960236">
        <w:t>For UN No. 1744, add “TU43” in column (13).</w:t>
      </w:r>
    </w:p>
    <w:p w14:paraId="495A88C7" w14:textId="77777777" w:rsidR="00B641F1" w:rsidRPr="00960236" w:rsidRDefault="00B641F1" w:rsidP="00B641F1">
      <w:pPr>
        <w:pStyle w:val="SingleTxtG"/>
      </w:pPr>
      <w:r w:rsidRPr="00960236">
        <w:rPr>
          <w:i/>
          <w:iCs/>
        </w:rPr>
        <w:t>(Reference document: informal document INF.46, proposal 2)</w:t>
      </w:r>
    </w:p>
    <w:p w14:paraId="313E08D2" w14:textId="77777777" w:rsidR="00B641F1" w:rsidRPr="00960236" w:rsidRDefault="00B641F1" w:rsidP="00B641F1">
      <w:pPr>
        <w:pStyle w:val="SingleTxtG"/>
      </w:pPr>
      <w:r w:rsidRPr="00960236">
        <w:t>For UN No. 3266, packing groups II and III</w:t>
      </w:r>
      <w:r w:rsidRPr="00960236">
        <w:tab/>
        <w:t>Add “TU42” in column (13).</w:t>
      </w:r>
    </w:p>
    <w:p w14:paraId="33E5218D" w14:textId="77777777" w:rsidR="00B641F1" w:rsidRPr="00960236" w:rsidRDefault="00B641F1" w:rsidP="00B641F1">
      <w:pPr>
        <w:pStyle w:val="SingleTxtG"/>
        <w:rPr>
          <w:i/>
          <w:iCs/>
        </w:rPr>
      </w:pPr>
      <w:r w:rsidRPr="00960236">
        <w:rPr>
          <w:i/>
          <w:iCs/>
        </w:rPr>
        <w:t>(Reference document: informal document INF.46, proposal 4)</w:t>
      </w:r>
    </w:p>
    <w:p w14:paraId="78450013" w14:textId="77777777" w:rsidR="000F06F2" w:rsidRPr="00960236" w:rsidRDefault="000F06F2" w:rsidP="000F06F2">
      <w:pPr>
        <w:pStyle w:val="SingleTxtG"/>
      </w:pPr>
      <w:r w:rsidRPr="00960236">
        <w:t>For UN Nos. 3359 and 3373 first entry, add “-” [(ADR:) in the upper case] of column (15).</w:t>
      </w:r>
    </w:p>
    <w:p w14:paraId="2A7D63D0" w14:textId="7B3FCBF6" w:rsidR="000D4245" w:rsidRPr="00960236" w:rsidRDefault="006C2042" w:rsidP="00960236">
      <w:pPr>
        <w:pStyle w:val="SingleTxtG"/>
        <w:rPr>
          <w:i/>
          <w:iCs/>
        </w:rPr>
      </w:pPr>
      <w:r w:rsidRPr="00960236">
        <w:rPr>
          <w:i/>
          <w:iCs/>
        </w:rPr>
        <w:t>(Consequential amendment)</w:t>
      </w:r>
      <w:r w:rsidR="00960236">
        <w:rPr>
          <w:i/>
          <w:iCs/>
        </w:rPr>
        <w:tab/>
      </w:r>
    </w:p>
    <w:p w14:paraId="276AF97B" w14:textId="77777777" w:rsidR="00915707" w:rsidRPr="00960236" w:rsidRDefault="000D4245" w:rsidP="00915707">
      <w:pPr>
        <w:pStyle w:val="H1G"/>
        <w:rPr>
          <w:rStyle w:val="H1GChar"/>
          <w:b/>
        </w:rPr>
      </w:pPr>
      <w:r w:rsidRPr="00960236">
        <w:rPr>
          <w:rStyle w:val="H1GChar"/>
          <w:b/>
        </w:rPr>
        <w:lastRenderedPageBreak/>
        <w:tab/>
      </w:r>
      <w:r w:rsidRPr="00960236">
        <w:rPr>
          <w:rStyle w:val="H1GChar"/>
          <w:b/>
        </w:rPr>
        <w:tab/>
      </w:r>
      <w:r w:rsidR="00915707" w:rsidRPr="00960236">
        <w:rPr>
          <w:rStyle w:val="H1GChar"/>
          <w:b/>
        </w:rPr>
        <w:t>Chapter 3.3</w:t>
      </w:r>
    </w:p>
    <w:p w14:paraId="4DF1B222" w14:textId="77777777" w:rsidR="006F58A0" w:rsidRPr="00960236" w:rsidRDefault="006F58A0" w:rsidP="006F58A0">
      <w:pPr>
        <w:pStyle w:val="SingleTxtG"/>
        <w:rPr>
          <w:rFonts w:eastAsia="SimSun"/>
        </w:rPr>
      </w:pPr>
      <w:r w:rsidRPr="00960236">
        <w:rPr>
          <w:rFonts w:eastAsia="SimSun"/>
        </w:rPr>
        <w:t>Special provision 660</w:t>
      </w:r>
      <w:r w:rsidRPr="00960236">
        <w:rPr>
          <w:rFonts w:eastAsia="SimSun"/>
        </w:rPr>
        <w:tab/>
        <w:t>Amend to read as follows:</w:t>
      </w:r>
    </w:p>
    <w:p w14:paraId="4C4BA302" w14:textId="2E150734" w:rsidR="006F58A0" w:rsidRPr="00960236" w:rsidRDefault="006F58A0" w:rsidP="006F58A0">
      <w:pPr>
        <w:pStyle w:val="SingleTxtG"/>
      </w:pPr>
      <w:r w:rsidRPr="00960236">
        <w:t xml:space="preserve">“660 </w:t>
      </w:r>
      <w:r w:rsidRPr="00960236">
        <w:tab/>
        <w:t xml:space="preserve">For the carriage of fuel gas containment systems designed and approved to be fitted in motor vehicles containing this gas the provisions of sub-section 4.1.4.1 and Chapter 6.2 </w:t>
      </w:r>
      <w:r w:rsidR="00734DBD" w:rsidRPr="00607400">
        <w:t xml:space="preserve">[ADN: of ADR] </w:t>
      </w:r>
      <w:r w:rsidRPr="00607400">
        <w:t xml:space="preserve">need not be applied when carried for disposal, recycling, repair, </w:t>
      </w:r>
      <w:r w:rsidRPr="00960236">
        <w:t>inspection, maintenance or from where they are manufactured to a vehicle assembly plant, provided the conditions described in special provision 392 are met. This also applies for mixtures of gases subject to special provision 392 and gases of group A subject to this special provision.”.</w:t>
      </w:r>
    </w:p>
    <w:p w14:paraId="0CB969B5" w14:textId="77777777" w:rsidR="006F58A0" w:rsidRPr="00960236" w:rsidRDefault="006F58A0" w:rsidP="006F58A0">
      <w:pPr>
        <w:pStyle w:val="SingleTxtG"/>
        <w:rPr>
          <w:i/>
        </w:rPr>
      </w:pPr>
      <w:r w:rsidRPr="00960236">
        <w:rPr>
          <w:i/>
        </w:rPr>
        <w:t>(Reference document: informal document INF.54)</w:t>
      </w:r>
    </w:p>
    <w:p w14:paraId="40190066" w14:textId="77777777" w:rsidR="00915707" w:rsidRPr="00960236" w:rsidRDefault="00915707" w:rsidP="00915707">
      <w:pPr>
        <w:pStyle w:val="SingleTxtG"/>
        <w:rPr>
          <w:rStyle w:val="H1GChar"/>
          <w:b w:val="0"/>
          <w:sz w:val="20"/>
        </w:rPr>
      </w:pPr>
      <w:r w:rsidRPr="00960236">
        <w:rPr>
          <w:rStyle w:val="H1GChar"/>
          <w:b w:val="0"/>
          <w:sz w:val="20"/>
        </w:rPr>
        <w:t>Special provision 666</w:t>
      </w:r>
      <w:r w:rsidRPr="00960236">
        <w:rPr>
          <w:rStyle w:val="H1GChar"/>
          <w:b w:val="0"/>
          <w:sz w:val="20"/>
        </w:rPr>
        <w:tab/>
        <w:t>Amend the first paragraph to read as follows:</w:t>
      </w:r>
    </w:p>
    <w:p w14:paraId="1A311303" w14:textId="7F2A72C3" w:rsidR="00915707" w:rsidRPr="00960236" w:rsidRDefault="00915707" w:rsidP="00915707">
      <w:pPr>
        <w:pStyle w:val="SingleTxtG"/>
      </w:pPr>
      <w:r w:rsidRPr="00960236">
        <w:rPr>
          <w:rStyle w:val="H1GChar"/>
          <w:b w:val="0"/>
        </w:rPr>
        <w:t>“</w:t>
      </w:r>
      <w:r w:rsidRPr="00960236">
        <w:t xml:space="preserve">Vehicles and battery powered equipment, referred to by special provision 388, when carried as a load, as well as any dangerous goods they contain that are necessary for their operation or the operation of their equipment, are not subject to any other provisions of </w:t>
      </w:r>
      <w:r w:rsidR="00EA7B08" w:rsidRPr="00960236">
        <w:t>RID/</w:t>
      </w:r>
      <w:r w:rsidRPr="00960236">
        <w:t>ADR</w:t>
      </w:r>
      <w:r w:rsidR="00EA7B08" w:rsidRPr="00960236">
        <w:t>/ADN</w:t>
      </w:r>
      <w:r w:rsidRPr="00960236">
        <w:t>, provided the following conditions are met:”.</w:t>
      </w:r>
    </w:p>
    <w:p w14:paraId="67B31847" w14:textId="77777777" w:rsidR="00915707" w:rsidRPr="00960236" w:rsidRDefault="00915707" w:rsidP="00915707">
      <w:pPr>
        <w:pStyle w:val="SingleTxtG"/>
        <w:rPr>
          <w:rStyle w:val="H1GChar"/>
          <w:b w:val="0"/>
          <w:i/>
          <w:iCs/>
          <w:sz w:val="20"/>
        </w:rPr>
      </w:pPr>
      <w:r w:rsidRPr="00960236">
        <w:rPr>
          <w:rStyle w:val="H1GChar"/>
          <w:b w:val="0"/>
          <w:i/>
          <w:iCs/>
          <w:sz w:val="20"/>
        </w:rPr>
        <w:t>(Replaces the amendment in document ECE/TRANS/WP.15/AC.1/2017/26/Add.1)</w:t>
      </w:r>
    </w:p>
    <w:p w14:paraId="5CB752DA" w14:textId="54873A53" w:rsidR="00915707" w:rsidRDefault="00915707" w:rsidP="00915707">
      <w:pPr>
        <w:pStyle w:val="SingleTxtG"/>
        <w:rPr>
          <w:rStyle w:val="H1GChar"/>
          <w:b w:val="0"/>
          <w:i/>
          <w:iCs/>
          <w:sz w:val="20"/>
        </w:rPr>
      </w:pPr>
      <w:r w:rsidRPr="00960236">
        <w:rPr>
          <w:rStyle w:val="H1GChar"/>
          <w:b w:val="0"/>
          <w:i/>
          <w:iCs/>
          <w:sz w:val="20"/>
        </w:rPr>
        <w:t>(Reference document: ECE/TRANS/WP.15/AC.1/2017/27, as amended)</w:t>
      </w:r>
    </w:p>
    <w:p w14:paraId="67FA986B" w14:textId="6666231D" w:rsidR="005C79F5" w:rsidRDefault="005C79F5" w:rsidP="005C79F5">
      <w:pPr>
        <w:pStyle w:val="SingleTxtG"/>
        <w:rPr>
          <w:rStyle w:val="H1GChar"/>
          <w:b w:val="0"/>
          <w:iCs/>
          <w:sz w:val="20"/>
        </w:rPr>
      </w:pPr>
      <w:r>
        <w:rPr>
          <w:rStyle w:val="H1GChar"/>
          <w:b w:val="0"/>
          <w:iCs/>
          <w:sz w:val="20"/>
        </w:rPr>
        <w:t>Add the following new special provision:</w:t>
      </w:r>
    </w:p>
    <w:p w14:paraId="1BD28D1E" w14:textId="77777777" w:rsidR="005C79F5" w:rsidRPr="00C71A32" w:rsidRDefault="005C79F5" w:rsidP="005C79F5">
      <w:pPr>
        <w:pStyle w:val="SingleTxtG"/>
      </w:pPr>
      <w:r w:rsidRPr="00C71A32">
        <w:t xml:space="preserve">“674 </w:t>
      </w:r>
      <w:r>
        <w:tab/>
      </w:r>
      <w:r w:rsidRPr="00C71A32">
        <w:t>This special provision applies to periodic inspection and test of over-moulded cylinders as defined in 1.2.1.</w:t>
      </w:r>
    </w:p>
    <w:p w14:paraId="777C66F3" w14:textId="77777777" w:rsidR="005C79F5" w:rsidRPr="00C71A32" w:rsidRDefault="005C79F5" w:rsidP="005C79F5">
      <w:pPr>
        <w:pStyle w:val="SingleTxtG"/>
      </w:pPr>
      <w:r w:rsidRPr="00C71A32">
        <w:t>Over-moulded cylinders subject to 6.2.3.5.3.1 shall be subject to periodic inspection and test in accordance with 6.2.1.6.1, adapted by the following alternative method:</w:t>
      </w:r>
    </w:p>
    <w:p w14:paraId="7A867B2C" w14:textId="6F2F8D79" w:rsidR="005C79F5" w:rsidRPr="00C71A32" w:rsidRDefault="009D1388" w:rsidP="009D1388">
      <w:pPr>
        <w:pStyle w:val="SingleTxtG"/>
      </w:pPr>
      <w:r>
        <w:t>-</w:t>
      </w:r>
      <w:r>
        <w:tab/>
      </w:r>
      <w:r w:rsidR="005C79F5" w:rsidRPr="00C71A32">
        <w:t>Substitute test required in 6.2.1.6.1 d) by alternative destructive tests;</w:t>
      </w:r>
    </w:p>
    <w:p w14:paraId="143053C7" w14:textId="1D1C3B49" w:rsidR="005C79F5" w:rsidRPr="00C71A32" w:rsidRDefault="009D1388" w:rsidP="009D1388">
      <w:pPr>
        <w:pStyle w:val="SingleTxtG"/>
      </w:pPr>
      <w:r>
        <w:t>-</w:t>
      </w:r>
      <w:r>
        <w:tab/>
      </w:r>
      <w:r w:rsidR="005C79F5" w:rsidRPr="00C71A32">
        <w:t xml:space="preserve">Perform specific additional destructive tests related to the characteristics of over-moulded cylinders. </w:t>
      </w:r>
    </w:p>
    <w:p w14:paraId="1D0AB876" w14:textId="77777777" w:rsidR="005C79F5" w:rsidRPr="00C71A32" w:rsidRDefault="005C79F5" w:rsidP="005C79F5">
      <w:pPr>
        <w:pStyle w:val="SingleTxtG"/>
      </w:pPr>
      <w:r w:rsidRPr="00C71A32">
        <w:t>The procedures and requirements of this alternative method are described below.</w:t>
      </w:r>
    </w:p>
    <w:p w14:paraId="3F533F10" w14:textId="77777777" w:rsidR="005C79F5" w:rsidRPr="00C71A32" w:rsidRDefault="005C79F5" w:rsidP="005C79F5">
      <w:pPr>
        <w:pStyle w:val="SingleTxtG"/>
      </w:pPr>
      <w:r w:rsidRPr="00C71A32">
        <w:rPr>
          <w:u w:color="000000"/>
        </w:rPr>
        <w:t>Alternative</w:t>
      </w:r>
      <w:r w:rsidRPr="00C71A32">
        <w:rPr>
          <w:spacing w:val="-10"/>
          <w:u w:color="000000"/>
        </w:rPr>
        <w:t xml:space="preserve"> </w:t>
      </w:r>
      <w:r w:rsidRPr="00C71A32">
        <w:rPr>
          <w:u w:color="000000"/>
        </w:rPr>
        <w:t>method:</w:t>
      </w:r>
    </w:p>
    <w:p w14:paraId="77A72B7D" w14:textId="322C0857" w:rsidR="005C79F5" w:rsidRPr="00C71A32" w:rsidRDefault="005C79F5" w:rsidP="005C79F5">
      <w:pPr>
        <w:pStyle w:val="SingleTxtG"/>
        <w:ind w:left="1701" w:hanging="567"/>
      </w:pPr>
      <w:r w:rsidRPr="00C71A32">
        <w:t>(a)</w:t>
      </w:r>
      <w:r w:rsidRPr="00C71A32">
        <w:tab/>
        <w:t>General</w:t>
      </w:r>
    </w:p>
    <w:p w14:paraId="633C6314" w14:textId="77777777" w:rsidR="005C79F5" w:rsidRPr="00C71A32" w:rsidRDefault="005C79F5" w:rsidP="009D1388">
      <w:pPr>
        <w:pStyle w:val="SingleTxtG"/>
        <w:ind w:left="1701"/>
      </w:pPr>
      <w:r w:rsidRPr="00C71A32">
        <w:t>The following provisions apply to over-moulded cylinders produced serially and based on welded steel cylinders in accordance with EN 1442:2017, EN 14140:2014 + AC:2015 or annex I, parts 1 to 3 to Council Directive 84/527/EEC. The design of the over-moulding shall prevent water from penetrating on to the inner steel cylinder. The conversion of the steel cylinder to an over-moulded cylinder shall comply with the relevant requirements of EN 1442:2017 and</w:t>
      </w:r>
      <w:r w:rsidRPr="00C71A32">
        <w:rPr>
          <w:spacing w:val="-30"/>
        </w:rPr>
        <w:t xml:space="preserve"> </w:t>
      </w:r>
      <w:r w:rsidRPr="00C71A32">
        <w:t>EN 14140:2014 + AC:2015.</w:t>
      </w:r>
    </w:p>
    <w:p w14:paraId="1EB1DC18" w14:textId="77777777" w:rsidR="005C79F5" w:rsidRPr="00C71A32" w:rsidRDefault="005C79F5" w:rsidP="005C79F5">
      <w:pPr>
        <w:pStyle w:val="SingleTxtG"/>
      </w:pPr>
      <w:r w:rsidRPr="00C71A32">
        <w:tab/>
      </w:r>
      <w:r w:rsidRPr="00C71A32">
        <w:tab/>
        <w:t>Over-moulded cylinders shall be equipped with self-closing</w:t>
      </w:r>
      <w:r w:rsidRPr="00C71A32">
        <w:rPr>
          <w:spacing w:val="-25"/>
        </w:rPr>
        <w:t xml:space="preserve"> </w:t>
      </w:r>
      <w:r w:rsidRPr="00C71A32">
        <w:t>valves.</w:t>
      </w:r>
    </w:p>
    <w:p w14:paraId="285558CA" w14:textId="7798DC35" w:rsidR="005C79F5" w:rsidRPr="00C71A32" w:rsidRDefault="009D1388" w:rsidP="005C79F5">
      <w:pPr>
        <w:pStyle w:val="SingleTxtG"/>
      </w:pPr>
      <w:r>
        <w:tab/>
      </w:r>
      <w:r w:rsidR="005C79F5" w:rsidRPr="00C71A32">
        <w:t>(b)</w:t>
      </w:r>
      <w:r w:rsidR="005C79F5" w:rsidRPr="00C71A32">
        <w:tab/>
        <w:t>Basic population</w:t>
      </w:r>
    </w:p>
    <w:p w14:paraId="6D3C0F94" w14:textId="77777777" w:rsidR="005C79F5" w:rsidRPr="00C71A32" w:rsidRDefault="005C79F5" w:rsidP="005C79F5">
      <w:pPr>
        <w:pStyle w:val="SingleTxtG"/>
        <w:ind w:left="1701"/>
      </w:pPr>
      <w:r w:rsidRPr="00C71A32">
        <w:t>A basic population of over-moulded cylinders is defined as the production of cylinders from only one over-moulding manufacturer using new inner cylinders manufactured by only one manufacturer within one calendar year, based on the same design type, the same materials and production</w:t>
      </w:r>
      <w:r w:rsidRPr="00C71A32">
        <w:rPr>
          <w:spacing w:val="-32"/>
        </w:rPr>
        <w:t xml:space="preserve"> </w:t>
      </w:r>
      <w:r w:rsidRPr="00C71A32">
        <w:t>processes.</w:t>
      </w:r>
    </w:p>
    <w:p w14:paraId="342E8492" w14:textId="391F3D48" w:rsidR="005C79F5" w:rsidRPr="00C71A32" w:rsidRDefault="009D1388" w:rsidP="005C79F5">
      <w:pPr>
        <w:pStyle w:val="SingleTxtG"/>
      </w:pPr>
      <w:r>
        <w:tab/>
      </w:r>
      <w:r w:rsidR="005C79F5" w:rsidRPr="00C71A32">
        <w:t>(c)</w:t>
      </w:r>
      <w:r w:rsidR="005C79F5" w:rsidRPr="00C71A32">
        <w:tab/>
        <w:t>Sub-groups of a basic population</w:t>
      </w:r>
    </w:p>
    <w:p w14:paraId="77A0ACC7" w14:textId="77777777" w:rsidR="005C79F5" w:rsidRPr="00C71A32" w:rsidRDefault="005C79F5" w:rsidP="005C79F5">
      <w:pPr>
        <w:pStyle w:val="SingleTxtG"/>
        <w:ind w:left="1701"/>
      </w:pPr>
      <w:r w:rsidRPr="00C71A32">
        <w:t>Within the above defined basic population, over-moulded cylinders belonging to different owners shall be separated into specific sub-groups, one per owner.</w:t>
      </w:r>
    </w:p>
    <w:p w14:paraId="6A114307" w14:textId="77777777" w:rsidR="005C79F5" w:rsidRPr="00C71A32" w:rsidRDefault="005C79F5" w:rsidP="005C79F5">
      <w:pPr>
        <w:pStyle w:val="SingleTxtG"/>
        <w:ind w:left="1701"/>
      </w:pPr>
      <w:r w:rsidRPr="00C71A32">
        <w:lastRenderedPageBreak/>
        <w:t>If the whole basic population is owned by one owner, the sub-group equals the basic population.</w:t>
      </w:r>
    </w:p>
    <w:p w14:paraId="334563BF" w14:textId="66BC7561" w:rsidR="005C79F5" w:rsidRPr="00C71A32" w:rsidRDefault="009D1388" w:rsidP="005C79F5">
      <w:pPr>
        <w:pStyle w:val="SingleTxtG"/>
      </w:pPr>
      <w:r>
        <w:tab/>
      </w:r>
      <w:r w:rsidR="005C79F5" w:rsidRPr="00C71A32">
        <w:t>(d)</w:t>
      </w:r>
      <w:r w:rsidR="005C79F5" w:rsidRPr="00C71A32">
        <w:tab/>
        <w:t>Traceability</w:t>
      </w:r>
    </w:p>
    <w:p w14:paraId="08106810" w14:textId="77777777" w:rsidR="005C79F5" w:rsidRPr="00C71A32" w:rsidRDefault="005C79F5" w:rsidP="005C79F5">
      <w:pPr>
        <w:pStyle w:val="SingleTxtG"/>
        <w:ind w:left="1701"/>
      </w:pPr>
      <w:r w:rsidRPr="00C71A32">
        <w:t>Inner steel cylinder marks in accordance with 6.2.3.9 shall be repeated on the over-moulding. In addition, each over-moulded cylinder shall be fitted with an individual resilient electronic identification device. The detailed characteristics of the over-moulded cylinders shall be recorded by the owner in a central database. The database shall be used to:</w:t>
      </w:r>
    </w:p>
    <w:p w14:paraId="7874E0D6" w14:textId="6B51AEBF" w:rsidR="005C79F5" w:rsidRPr="00C71A32" w:rsidRDefault="009D1388" w:rsidP="009D1388">
      <w:pPr>
        <w:pStyle w:val="Bullet1G"/>
        <w:numPr>
          <w:ilvl w:val="0"/>
          <w:numId w:val="0"/>
        </w:numPr>
        <w:ind w:left="1701"/>
      </w:pPr>
      <w:r>
        <w:t>-</w:t>
      </w:r>
      <w:r>
        <w:tab/>
      </w:r>
      <w:r w:rsidR="005C79F5" w:rsidRPr="00C71A32">
        <w:t>Identify the specific sub-group;</w:t>
      </w:r>
    </w:p>
    <w:p w14:paraId="36E26655" w14:textId="2B7D2ED7" w:rsidR="005C79F5" w:rsidRPr="00C71A32" w:rsidRDefault="009D1388" w:rsidP="009D1388">
      <w:pPr>
        <w:pStyle w:val="Bullet1G"/>
        <w:numPr>
          <w:ilvl w:val="0"/>
          <w:numId w:val="0"/>
        </w:numPr>
        <w:ind w:left="1701"/>
      </w:pPr>
      <w:r>
        <w:t>-</w:t>
      </w:r>
      <w:r>
        <w:tab/>
      </w:r>
      <w:r w:rsidR="005C79F5" w:rsidRPr="00C71A32">
        <w:t>Make available to inspection bodies, filling centres and competent authorities the specific technical characteristics of the cylinders consisting of at least the following: serial number, steel cylinder production batch, over-moulding production batch, date of over-moulding;</w:t>
      </w:r>
      <w:r w:rsidR="005C79F5" w:rsidRPr="00C71A32">
        <w:rPr>
          <w:spacing w:val="-5"/>
        </w:rPr>
        <w:t xml:space="preserve"> </w:t>
      </w:r>
    </w:p>
    <w:p w14:paraId="267C96A2" w14:textId="23DA67D3" w:rsidR="005C79F5" w:rsidRPr="00C71A32" w:rsidRDefault="009D1388" w:rsidP="009D1388">
      <w:pPr>
        <w:pStyle w:val="Bullet1G"/>
        <w:numPr>
          <w:ilvl w:val="0"/>
          <w:numId w:val="0"/>
        </w:numPr>
        <w:ind w:left="1701"/>
      </w:pPr>
      <w:r>
        <w:t>-</w:t>
      </w:r>
      <w:r>
        <w:tab/>
      </w:r>
      <w:r w:rsidR="005C79F5" w:rsidRPr="00C71A32">
        <w:t>Identify the cylinder by linking the electronic device to the</w:t>
      </w:r>
      <w:r w:rsidR="005C79F5" w:rsidRPr="00C71A32">
        <w:rPr>
          <w:spacing w:val="-25"/>
        </w:rPr>
        <w:t xml:space="preserve"> </w:t>
      </w:r>
      <w:r w:rsidR="005C79F5" w:rsidRPr="00C71A32">
        <w:t>database with the serial number;</w:t>
      </w:r>
    </w:p>
    <w:p w14:paraId="14AB90D5" w14:textId="648B0A49" w:rsidR="005C79F5" w:rsidRPr="00C71A32" w:rsidRDefault="009D1388" w:rsidP="009D1388">
      <w:pPr>
        <w:pStyle w:val="Bullet1G"/>
        <w:numPr>
          <w:ilvl w:val="0"/>
          <w:numId w:val="0"/>
        </w:numPr>
        <w:ind w:left="1701"/>
      </w:pPr>
      <w:r>
        <w:t>-</w:t>
      </w:r>
      <w:r>
        <w:tab/>
      </w:r>
      <w:r w:rsidR="005C79F5" w:rsidRPr="00C71A32">
        <w:t>Check individual cylinder history and determine measures (e.g. filling, sampling, retesting, withdrawal);</w:t>
      </w:r>
    </w:p>
    <w:p w14:paraId="14DFF5E7" w14:textId="2A1E5EAB" w:rsidR="005C79F5" w:rsidRPr="00C71A32" w:rsidRDefault="009D1388" w:rsidP="009D1388">
      <w:pPr>
        <w:pStyle w:val="Bullet1G"/>
        <w:numPr>
          <w:ilvl w:val="0"/>
          <w:numId w:val="0"/>
        </w:numPr>
        <w:ind w:left="1701"/>
      </w:pPr>
      <w:r>
        <w:t>-</w:t>
      </w:r>
      <w:r>
        <w:tab/>
      </w:r>
      <w:r w:rsidR="005C79F5" w:rsidRPr="00C71A32">
        <w:t>Record performed</w:t>
      </w:r>
      <w:r w:rsidR="005C79F5" w:rsidRPr="00C71A32">
        <w:rPr>
          <w:spacing w:val="-16"/>
        </w:rPr>
        <w:t xml:space="preserve"> </w:t>
      </w:r>
      <w:r w:rsidR="005C79F5" w:rsidRPr="00C71A32">
        <w:t>measures including the date and the address of where it was done.</w:t>
      </w:r>
    </w:p>
    <w:p w14:paraId="6EE94D12" w14:textId="77777777" w:rsidR="005C79F5" w:rsidRPr="00C71A32" w:rsidRDefault="005C79F5" w:rsidP="005C79F5">
      <w:pPr>
        <w:pStyle w:val="SingleTxtG"/>
        <w:ind w:left="1701"/>
      </w:pPr>
      <w:r w:rsidRPr="00C71A32">
        <w:t>The recorded data shall be kept available by the owner of the over-moulded cylinders for the entire life of the sub-group.</w:t>
      </w:r>
    </w:p>
    <w:p w14:paraId="073EA78D" w14:textId="48930188" w:rsidR="005C79F5" w:rsidRPr="00C71A32" w:rsidRDefault="009D1388" w:rsidP="005C79F5">
      <w:pPr>
        <w:pStyle w:val="SingleTxtG"/>
      </w:pPr>
      <w:r>
        <w:tab/>
      </w:r>
      <w:r w:rsidR="005C79F5" w:rsidRPr="00C71A32">
        <w:t>(e)</w:t>
      </w:r>
      <w:r w:rsidR="005C79F5" w:rsidRPr="00C71A32">
        <w:tab/>
        <w:t>Sampling for statistical</w:t>
      </w:r>
      <w:r w:rsidR="005C79F5" w:rsidRPr="00C71A32">
        <w:rPr>
          <w:spacing w:val="-21"/>
        </w:rPr>
        <w:t xml:space="preserve"> </w:t>
      </w:r>
      <w:r w:rsidR="005C79F5" w:rsidRPr="00C71A32">
        <w:t>assessment</w:t>
      </w:r>
    </w:p>
    <w:p w14:paraId="09AE7104" w14:textId="77777777" w:rsidR="005C79F5" w:rsidRPr="00C71A32" w:rsidRDefault="005C79F5" w:rsidP="005C79F5">
      <w:pPr>
        <w:pStyle w:val="SingleTxtG"/>
        <w:ind w:left="1701"/>
      </w:pPr>
      <w:r w:rsidRPr="00C71A32">
        <w:t>The sampling shall be random among a sub-group as defined in sub-paragraph (c). The size of each sample per sub-group shall be in accordance with the table in sub-paragraph</w:t>
      </w:r>
      <w:r w:rsidRPr="00C71A32">
        <w:rPr>
          <w:spacing w:val="-17"/>
        </w:rPr>
        <w:t xml:space="preserve"> </w:t>
      </w:r>
      <w:r w:rsidRPr="00C71A32">
        <w:t>(g).</w:t>
      </w:r>
    </w:p>
    <w:p w14:paraId="0432610D" w14:textId="71C2EA34" w:rsidR="005C79F5" w:rsidRPr="00C71A32" w:rsidRDefault="009D1388" w:rsidP="005C79F5">
      <w:pPr>
        <w:pStyle w:val="SingleTxtG"/>
      </w:pPr>
      <w:r>
        <w:tab/>
      </w:r>
      <w:r w:rsidR="005C79F5" w:rsidRPr="00C71A32">
        <w:t>(f)</w:t>
      </w:r>
      <w:r w:rsidR="005C79F5" w:rsidRPr="00C71A32">
        <w:tab/>
        <w:t>Test procedure for destructive</w:t>
      </w:r>
      <w:r w:rsidR="005C79F5" w:rsidRPr="00C71A32">
        <w:rPr>
          <w:spacing w:val="-17"/>
        </w:rPr>
        <w:t xml:space="preserve"> </w:t>
      </w:r>
      <w:r w:rsidR="005C79F5" w:rsidRPr="00C71A32">
        <w:t>testing</w:t>
      </w:r>
    </w:p>
    <w:p w14:paraId="1BC1E4D9" w14:textId="77777777" w:rsidR="005C79F5" w:rsidRPr="00C71A32" w:rsidRDefault="005C79F5" w:rsidP="005C79F5">
      <w:pPr>
        <w:pStyle w:val="SingleTxtG"/>
        <w:ind w:left="1701"/>
      </w:pPr>
      <w:r w:rsidRPr="00C71A32">
        <w:t>The inspection and test required by 6.2.1.6.1 shall be carried out except (d) which shall be substituted by the following</w:t>
      </w:r>
      <w:r w:rsidRPr="00C71A32">
        <w:rPr>
          <w:spacing w:val="-24"/>
        </w:rPr>
        <w:t xml:space="preserve"> </w:t>
      </w:r>
      <w:r w:rsidRPr="00C71A32">
        <w:t>test</w:t>
      </w:r>
      <w:r w:rsidRPr="00C71A32">
        <w:rPr>
          <w:spacing w:val="-24"/>
        </w:rPr>
        <w:t xml:space="preserve">  </w:t>
      </w:r>
      <w:r w:rsidRPr="00C71A32">
        <w:t>procedure:</w:t>
      </w:r>
    </w:p>
    <w:p w14:paraId="78752A5A" w14:textId="3C653970" w:rsidR="005C79F5" w:rsidRPr="00C71A32" w:rsidRDefault="009D1388" w:rsidP="009D1388">
      <w:pPr>
        <w:pStyle w:val="Bullet1G"/>
        <w:numPr>
          <w:ilvl w:val="0"/>
          <w:numId w:val="0"/>
        </w:numPr>
        <w:ind w:left="1701"/>
      </w:pPr>
      <w:r>
        <w:t>-</w:t>
      </w:r>
      <w:r>
        <w:tab/>
      </w:r>
      <w:r w:rsidR="005C79F5" w:rsidRPr="00C71A32">
        <w:t>Burst test (according to EN 1442:2017 or EN 14140:2014 + AC:2015).</w:t>
      </w:r>
    </w:p>
    <w:p w14:paraId="41E6B083" w14:textId="77777777" w:rsidR="005C79F5" w:rsidRPr="00C71A32" w:rsidRDefault="005C79F5" w:rsidP="005C79F5">
      <w:pPr>
        <w:pStyle w:val="SingleTxtG"/>
      </w:pPr>
      <w:r w:rsidRPr="00C71A32">
        <w:tab/>
      </w:r>
      <w:r w:rsidRPr="00C71A32">
        <w:tab/>
        <w:t>In addition, the following tests shall be performed:</w:t>
      </w:r>
    </w:p>
    <w:p w14:paraId="4A0E6822" w14:textId="06C3065E" w:rsidR="005C79F5" w:rsidRPr="00C71A32" w:rsidRDefault="009D1388" w:rsidP="009D1388">
      <w:pPr>
        <w:pStyle w:val="Bullet1G"/>
        <w:numPr>
          <w:ilvl w:val="0"/>
          <w:numId w:val="0"/>
        </w:numPr>
        <w:ind w:left="1701"/>
      </w:pPr>
      <w:r>
        <w:t>-</w:t>
      </w:r>
      <w:r>
        <w:tab/>
      </w:r>
      <w:r w:rsidR="005C79F5" w:rsidRPr="00C71A32">
        <w:t>Adhesion test (according to EN 1442:2017 or EN 14140:2014 + AC:2015);</w:t>
      </w:r>
    </w:p>
    <w:p w14:paraId="25BDB253" w14:textId="57333C53" w:rsidR="005C79F5" w:rsidRPr="00C71A32" w:rsidRDefault="009D1388" w:rsidP="009D1388">
      <w:pPr>
        <w:pStyle w:val="Bullet1G"/>
        <w:numPr>
          <w:ilvl w:val="0"/>
          <w:numId w:val="0"/>
        </w:numPr>
        <w:ind w:left="1701"/>
      </w:pPr>
      <w:r>
        <w:t>-</w:t>
      </w:r>
      <w:r>
        <w:tab/>
      </w:r>
      <w:r w:rsidR="005C79F5" w:rsidRPr="00C71A32">
        <w:t>Peeling and Corrosion tests (according to EN ISO 4628-3:2016).</w:t>
      </w:r>
    </w:p>
    <w:p w14:paraId="796EE90C" w14:textId="77777777" w:rsidR="005C79F5" w:rsidRPr="00C71A32" w:rsidRDefault="005C79F5" w:rsidP="005C79F5">
      <w:pPr>
        <w:pStyle w:val="SingleTxtG"/>
        <w:ind w:left="1701"/>
      </w:pPr>
      <w:r w:rsidRPr="00C71A32">
        <w:t>Adhesion test, peeling and corrosion tests, and burst test shall be performed on each related sample according to the table in sub-paragraph (g) and shall be conducted after the first 3 years in service and every 5 years thereafter.</w:t>
      </w:r>
    </w:p>
    <w:p w14:paraId="2EEF7BD4" w14:textId="593505C6" w:rsidR="005C79F5" w:rsidRPr="00C71A32" w:rsidRDefault="009D1388" w:rsidP="005C79F5">
      <w:pPr>
        <w:pStyle w:val="SingleTxtG"/>
      </w:pPr>
      <w:r>
        <w:tab/>
      </w:r>
      <w:r w:rsidR="005C79F5" w:rsidRPr="00C71A32">
        <w:t>(g)</w:t>
      </w:r>
      <w:r w:rsidR="005C79F5" w:rsidRPr="00C71A32">
        <w:tab/>
        <w:t>Statistical evaluation of test results –</w:t>
      </w:r>
      <w:r w:rsidR="005C79F5" w:rsidRPr="00C71A32">
        <w:rPr>
          <w:spacing w:val="-28"/>
        </w:rPr>
        <w:t xml:space="preserve"> </w:t>
      </w:r>
      <w:r w:rsidR="005C79F5" w:rsidRPr="00C71A32">
        <w:t>Method and minimum requirements</w:t>
      </w:r>
    </w:p>
    <w:p w14:paraId="346E4145" w14:textId="77777777" w:rsidR="005C79F5" w:rsidRPr="00C71A32" w:rsidRDefault="005C79F5" w:rsidP="005C79F5">
      <w:pPr>
        <w:spacing w:after="120"/>
        <w:ind w:left="1701" w:right="1134"/>
        <w:jc w:val="both"/>
      </w:pPr>
      <w:r w:rsidRPr="00C71A32">
        <w:t>The procedure for statistical evaluation according to the related rejection criteria is described in the following.</w:t>
      </w:r>
    </w:p>
    <w:tbl>
      <w:tblPr>
        <w:tblStyle w:val="TableGrid"/>
        <w:tblW w:w="8505" w:type="dxa"/>
        <w:tblInd w:w="1129" w:type="dxa"/>
        <w:tblLook w:val="04A0" w:firstRow="1" w:lastRow="0" w:firstColumn="1" w:lastColumn="0" w:noHBand="0" w:noVBand="1"/>
      </w:tblPr>
      <w:tblGrid>
        <w:gridCol w:w="1132"/>
        <w:gridCol w:w="1308"/>
        <w:gridCol w:w="1524"/>
        <w:gridCol w:w="2977"/>
        <w:gridCol w:w="1564"/>
      </w:tblGrid>
      <w:tr w:rsidR="005C79F5" w:rsidRPr="00C71A32" w14:paraId="1B0378B0" w14:textId="77777777" w:rsidTr="009D1388">
        <w:tc>
          <w:tcPr>
            <w:tcW w:w="0" w:type="auto"/>
            <w:tcBorders>
              <w:bottom w:val="single" w:sz="4" w:space="0" w:color="auto"/>
            </w:tcBorders>
          </w:tcPr>
          <w:p w14:paraId="04CAB1F6" w14:textId="77777777" w:rsidR="005C79F5" w:rsidRPr="00C71A32" w:rsidRDefault="005C79F5" w:rsidP="005C79F5">
            <w:pPr>
              <w:spacing w:line="240" w:lineRule="auto"/>
              <w:jc w:val="center"/>
            </w:pPr>
            <w:r w:rsidRPr="00C71A32">
              <w:rPr>
                <w:b/>
                <w:bCs/>
                <w:sz w:val="18"/>
                <w:szCs w:val="18"/>
              </w:rPr>
              <w:t>Test</w:t>
            </w:r>
            <w:r w:rsidRPr="00C71A32">
              <w:rPr>
                <w:b/>
                <w:bCs/>
                <w:sz w:val="18"/>
                <w:szCs w:val="18"/>
              </w:rPr>
              <w:br/>
              <w:t>interval</w:t>
            </w:r>
            <w:r w:rsidRPr="00C71A32">
              <w:rPr>
                <w:b/>
                <w:bCs/>
                <w:sz w:val="18"/>
                <w:szCs w:val="18"/>
              </w:rPr>
              <w:br/>
            </w:r>
            <w:r w:rsidRPr="00C71A32">
              <w:rPr>
                <w:sz w:val="18"/>
                <w:szCs w:val="18"/>
              </w:rPr>
              <w:t>(years)</w:t>
            </w:r>
          </w:p>
        </w:tc>
        <w:tc>
          <w:tcPr>
            <w:tcW w:w="0" w:type="auto"/>
          </w:tcPr>
          <w:p w14:paraId="6F19DF30" w14:textId="77777777" w:rsidR="005C79F5" w:rsidRPr="00C71A32" w:rsidRDefault="005C79F5" w:rsidP="005C79F5">
            <w:pPr>
              <w:spacing w:line="240" w:lineRule="auto"/>
              <w:jc w:val="center"/>
            </w:pPr>
            <w:r w:rsidRPr="00C71A32">
              <w:rPr>
                <w:b/>
                <w:bCs/>
                <w:sz w:val="18"/>
                <w:szCs w:val="18"/>
              </w:rPr>
              <w:t>Type of test</w:t>
            </w:r>
          </w:p>
        </w:tc>
        <w:tc>
          <w:tcPr>
            <w:tcW w:w="1524" w:type="dxa"/>
          </w:tcPr>
          <w:p w14:paraId="4E9436D0" w14:textId="77777777" w:rsidR="005C79F5" w:rsidRPr="00C71A32" w:rsidRDefault="005C79F5" w:rsidP="005C79F5">
            <w:pPr>
              <w:spacing w:line="240" w:lineRule="auto"/>
              <w:jc w:val="center"/>
              <w:rPr>
                <w:b/>
                <w:bCs/>
                <w:sz w:val="18"/>
                <w:szCs w:val="18"/>
              </w:rPr>
            </w:pPr>
            <w:r w:rsidRPr="00C71A32">
              <w:rPr>
                <w:b/>
                <w:bCs/>
                <w:sz w:val="18"/>
                <w:szCs w:val="18"/>
              </w:rPr>
              <w:t>Standard</w:t>
            </w:r>
          </w:p>
        </w:tc>
        <w:tc>
          <w:tcPr>
            <w:tcW w:w="2977" w:type="dxa"/>
          </w:tcPr>
          <w:p w14:paraId="2707A580" w14:textId="77777777" w:rsidR="005C79F5" w:rsidRPr="00C71A32" w:rsidRDefault="005C79F5" w:rsidP="005C79F5">
            <w:pPr>
              <w:spacing w:line="240" w:lineRule="auto"/>
              <w:jc w:val="center"/>
              <w:rPr>
                <w:b/>
                <w:bCs/>
                <w:sz w:val="18"/>
                <w:szCs w:val="18"/>
              </w:rPr>
            </w:pPr>
            <w:r w:rsidRPr="00C71A32">
              <w:rPr>
                <w:b/>
                <w:bCs/>
                <w:sz w:val="18"/>
                <w:szCs w:val="18"/>
              </w:rPr>
              <w:t>Rejection</w:t>
            </w:r>
            <w:r w:rsidRPr="00C71A32">
              <w:rPr>
                <w:b/>
                <w:bCs/>
                <w:sz w:val="18"/>
                <w:szCs w:val="18"/>
              </w:rPr>
              <w:br/>
              <w:t>criteria</w:t>
            </w:r>
          </w:p>
        </w:tc>
        <w:tc>
          <w:tcPr>
            <w:tcW w:w="1564" w:type="dxa"/>
          </w:tcPr>
          <w:p w14:paraId="6B64F477" w14:textId="77777777" w:rsidR="005C79F5" w:rsidRPr="00C71A32" w:rsidRDefault="005C79F5" w:rsidP="005C79F5">
            <w:pPr>
              <w:spacing w:line="240" w:lineRule="auto"/>
              <w:jc w:val="center"/>
              <w:rPr>
                <w:b/>
                <w:bCs/>
                <w:sz w:val="18"/>
                <w:szCs w:val="18"/>
              </w:rPr>
            </w:pPr>
            <w:r w:rsidRPr="00C71A32">
              <w:rPr>
                <w:b/>
                <w:bCs/>
                <w:sz w:val="18"/>
                <w:szCs w:val="18"/>
              </w:rPr>
              <w:t>Sampling out of a sub-group</w:t>
            </w:r>
          </w:p>
        </w:tc>
      </w:tr>
      <w:tr w:rsidR="005C79F5" w:rsidRPr="00C71A32" w14:paraId="55D9BE0D" w14:textId="77777777" w:rsidTr="009D1388">
        <w:tc>
          <w:tcPr>
            <w:tcW w:w="0" w:type="auto"/>
            <w:tcBorders>
              <w:bottom w:val="nil"/>
            </w:tcBorders>
          </w:tcPr>
          <w:p w14:paraId="6F39AA5D" w14:textId="77777777" w:rsidR="005C79F5" w:rsidRPr="00C71A32" w:rsidRDefault="005C79F5" w:rsidP="005C79F5">
            <w:pPr>
              <w:pStyle w:val="Tabletext9"/>
              <w:spacing w:before="0" w:after="0" w:line="240" w:lineRule="auto"/>
              <w:jc w:val="left"/>
              <w:rPr>
                <w:rFonts w:ascii="Times New Roman" w:hAnsi="Times New Roman"/>
                <w:szCs w:val="18"/>
              </w:rPr>
            </w:pPr>
            <w:r w:rsidRPr="00C71A32">
              <w:rPr>
                <w:rFonts w:ascii="Times New Roman" w:hAnsi="Times New Roman"/>
                <w:szCs w:val="18"/>
              </w:rPr>
              <w:t>After 3 years in service</w:t>
            </w:r>
          </w:p>
          <w:p w14:paraId="124994FE" w14:textId="77777777" w:rsidR="005C79F5" w:rsidRPr="00C71A32" w:rsidRDefault="005C79F5" w:rsidP="005C79F5">
            <w:pPr>
              <w:spacing w:line="240" w:lineRule="auto"/>
            </w:pPr>
            <w:r w:rsidRPr="00C71A32">
              <w:rPr>
                <w:sz w:val="18"/>
                <w:szCs w:val="18"/>
              </w:rPr>
              <w:t>(see (f))</w:t>
            </w:r>
          </w:p>
        </w:tc>
        <w:tc>
          <w:tcPr>
            <w:tcW w:w="0" w:type="auto"/>
          </w:tcPr>
          <w:p w14:paraId="2BE59AA2" w14:textId="77777777" w:rsidR="005C79F5" w:rsidRPr="00C71A32" w:rsidRDefault="005C79F5" w:rsidP="005C79F5">
            <w:pPr>
              <w:pStyle w:val="Tabletext9"/>
              <w:spacing w:before="0" w:after="0" w:line="240" w:lineRule="auto"/>
              <w:jc w:val="left"/>
              <w:rPr>
                <w:rFonts w:ascii="Times New Roman" w:hAnsi="Times New Roman"/>
                <w:szCs w:val="18"/>
              </w:rPr>
            </w:pPr>
            <w:r w:rsidRPr="00C71A32">
              <w:rPr>
                <w:rFonts w:ascii="Times New Roman" w:hAnsi="Times New Roman"/>
                <w:szCs w:val="18"/>
              </w:rPr>
              <w:t>Burst test</w:t>
            </w:r>
          </w:p>
        </w:tc>
        <w:tc>
          <w:tcPr>
            <w:tcW w:w="1524" w:type="dxa"/>
          </w:tcPr>
          <w:p w14:paraId="226A01D5"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EN 1442:2017</w:t>
            </w:r>
          </w:p>
        </w:tc>
        <w:tc>
          <w:tcPr>
            <w:tcW w:w="2977" w:type="dxa"/>
          </w:tcPr>
          <w:p w14:paraId="57D51F12" w14:textId="77777777" w:rsidR="005C79F5" w:rsidRPr="00C71A32" w:rsidRDefault="005C79F5" w:rsidP="005C79F5">
            <w:pPr>
              <w:spacing w:line="240" w:lineRule="auto"/>
              <w:jc w:val="center"/>
              <w:rPr>
                <w:sz w:val="18"/>
                <w:szCs w:val="18"/>
              </w:rPr>
            </w:pPr>
            <w:r w:rsidRPr="00C71A32">
              <w:rPr>
                <w:sz w:val="18"/>
                <w:szCs w:val="18"/>
              </w:rPr>
              <w:t xml:space="preserve">Burst pressure point of the representative sample must be above the lower limit of </w:t>
            </w:r>
            <w:r w:rsidRPr="00C71A32">
              <w:rPr>
                <w:sz w:val="18"/>
                <w:szCs w:val="18"/>
              </w:rPr>
              <w:lastRenderedPageBreak/>
              <w:t>tolerance interval on the Sample Performance Chart</w:t>
            </w:r>
          </w:p>
          <w:p w14:paraId="2615D573" w14:textId="77777777" w:rsidR="005C79F5" w:rsidRPr="00C71A32" w:rsidRDefault="005C79F5" w:rsidP="005C79F5">
            <w:pPr>
              <w:spacing w:line="240" w:lineRule="auto"/>
              <w:jc w:val="center"/>
              <w:rPr>
                <w:sz w:val="18"/>
                <w:szCs w:val="18"/>
              </w:rPr>
            </w:pPr>
          </w:p>
          <w:p w14:paraId="2EAA6370" w14:textId="77777777" w:rsidR="005C79F5" w:rsidRPr="00C71A32" w:rsidRDefault="005C79F5" w:rsidP="005C79F5">
            <w:pPr>
              <w:spacing w:line="240" w:lineRule="auto"/>
              <w:jc w:val="center"/>
              <w:rPr>
                <w:sz w:val="18"/>
                <w:szCs w:val="18"/>
              </w:rPr>
            </w:pPr>
            <w:r w:rsidRPr="00C71A32">
              <w:rPr>
                <w:sz w:val="18"/>
                <w:szCs w:val="18"/>
              </w:rPr>
              <w:t>Ω</w:t>
            </w:r>
            <w:r w:rsidRPr="00C71A32">
              <w:rPr>
                <w:sz w:val="18"/>
                <w:szCs w:val="18"/>
                <w:vertAlign w:val="subscript"/>
              </w:rPr>
              <w:t>m</w:t>
            </w:r>
            <w:r w:rsidRPr="00C71A32" w:rsidDel="00250403">
              <w:rPr>
                <w:sz w:val="18"/>
                <w:szCs w:val="18"/>
              </w:rPr>
              <w:t xml:space="preserve"> </w:t>
            </w:r>
            <w:r w:rsidRPr="00C71A32">
              <w:rPr>
                <w:sz w:val="18"/>
                <w:szCs w:val="18"/>
              </w:rPr>
              <w:t>≥ 1 + Ω</w:t>
            </w:r>
            <w:r w:rsidRPr="00C71A32">
              <w:rPr>
                <w:sz w:val="18"/>
                <w:szCs w:val="18"/>
                <w:vertAlign w:val="subscript"/>
              </w:rPr>
              <w:t xml:space="preserve">s </w:t>
            </w:r>
            <w:r w:rsidRPr="00C71A32">
              <w:rPr>
                <w:sz w:val="18"/>
                <w:szCs w:val="18"/>
              </w:rPr>
              <w:t xml:space="preserve">× k3(n;p;1- α) </w:t>
            </w:r>
            <w:r w:rsidRPr="00C71A32">
              <w:rPr>
                <w:b/>
                <w:sz w:val="18"/>
                <w:szCs w:val="18"/>
                <w:vertAlign w:val="superscript"/>
              </w:rPr>
              <w:t>a</w:t>
            </w:r>
          </w:p>
          <w:p w14:paraId="59B57E2D" w14:textId="77777777" w:rsidR="005C79F5" w:rsidRPr="00C71A32" w:rsidRDefault="005C79F5" w:rsidP="005C79F5">
            <w:pPr>
              <w:spacing w:line="240" w:lineRule="auto"/>
              <w:jc w:val="center"/>
              <w:rPr>
                <w:sz w:val="18"/>
                <w:szCs w:val="18"/>
              </w:rPr>
            </w:pPr>
          </w:p>
          <w:p w14:paraId="22B670EC" w14:textId="77777777" w:rsidR="005C79F5" w:rsidRPr="00C71A32" w:rsidRDefault="005C79F5" w:rsidP="005C79F5">
            <w:pPr>
              <w:spacing w:line="240" w:lineRule="auto"/>
              <w:jc w:val="center"/>
              <w:rPr>
                <w:sz w:val="18"/>
                <w:szCs w:val="18"/>
              </w:rPr>
            </w:pPr>
            <w:r w:rsidRPr="00C71A32">
              <w:rPr>
                <w:sz w:val="18"/>
                <w:szCs w:val="18"/>
              </w:rPr>
              <w:t>No individual test result shall be less than the test pressure</w:t>
            </w:r>
          </w:p>
        </w:tc>
        <w:tc>
          <w:tcPr>
            <w:tcW w:w="1564" w:type="dxa"/>
          </w:tcPr>
          <w:p w14:paraId="4C16C8C7" w14:textId="77777777" w:rsidR="005C79F5" w:rsidRPr="00C71A32" w:rsidRDefault="005C79F5" w:rsidP="005C79F5">
            <w:pPr>
              <w:spacing w:line="240" w:lineRule="auto"/>
              <w:jc w:val="center"/>
              <w:rPr>
                <w:sz w:val="18"/>
                <w:szCs w:val="18"/>
              </w:rPr>
            </w:pPr>
            <w:r w:rsidRPr="00C71A32">
              <w:rPr>
                <w:position w:val="-10"/>
                <w:szCs w:val="18"/>
              </w:rPr>
              <w:object w:dxaOrig="460" w:dyaOrig="360" w14:anchorId="53CD6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9" o:title=""/>
                </v:shape>
                <o:OLEObject Type="Embed" ProgID="Equation.3" ShapeID="_x0000_i1025" DrawAspect="Content" ObjectID="_1578921273" r:id="rId10"/>
              </w:object>
            </w:r>
            <w:r w:rsidRPr="00C71A32">
              <w:rPr>
                <w:sz w:val="18"/>
                <w:szCs w:val="18"/>
              </w:rPr>
              <w:t>or Q/200</w:t>
            </w:r>
            <w:r w:rsidRPr="00C71A32">
              <w:rPr>
                <w:sz w:val="18"/>
                <w:szCs w:val="18"/>
              </w:rPr>
              <w:br/>
              <w:t>whichever is lower,</w:t>
            </w:r>
          </w:p>
          <w:p w14:paraId="2121593B" w14:textId="77777777" w:rsidR="005C79F5" w:rsidRPr="00C71A32" w:rsidRDefault="005C79F5" w:rsidP="005C79F5">
            <w:pPr>
              <w:spacing w:line="240" w:lineRule="auto"/>
              <w:jc w:val="center"/>
              <w:rPr>
                <w:sz w:val="18"/>
                <w:szCs w:val="18"/>
              </w:rPr>
            </w:pPr>
            <w:r w:rsidRPr="00C71A32">
              <w:rPr>
                <w:sz w:val="18"/>
                <w:szCs w:val="18"/>
              </w:rPr>
              <w:lastRenderedPageBreak/>
              <w:t>and</w:t>
            </w:r>
          </w:p>
          <w:p w14:paraId="1768E53B" w14:textId="77777777" w:rsidR="005C79F5" w:rsidRPr="00C71A32" w:rsidRDefault="005C79F5" w:rsidP="005C79F5">
            <w:pPr>
              <w:spacing w:line="240" w:lineRule="auto"/>
              <w:jc w:val="center"/>
              <w:rPr>
                <w:sz w:val="18"/>
                <w:szCs w:val="18"/>
              </w:rPr>
            </w:pPr>
            <w:r w:rsidRPr="00C71A32">
              <w:rPr>
                <w:sz w:val="18"/>
                <w:szCs w:val="18"/>
              </w:rPr>
              <w:t xml:space="preserve">with a minimum of 20 per </w:t>
            </w:r>
            <w:r w:rsidRPr="00C71A32">
              <w:rPr>
                <w:sz w:val="18"/>
                <w:szCs w:val="18"/>
                <w:u w:val="single"/>
              </w:rPr>
              <w:t>sub</w:t>
            </w:r>
            <w:r w:rsidRPr="00C71A32">
              <w:rPr>
                <w:sz w:val="18"/>
                <w:szCs w:val="18"/>
              </w:rPr>
              <w:t>-group (Q)</w:t>
            </w:r>
          </w:p>
          <w:p w14:paraId="2E2ED623" w14:textId="77777777" w:rsidR="005C79F5" w:rsidRPr="00C71A32" w:rsidRDefault="005C79F5" w:rsidP="005C79F5">
            <w:pPr>
              <w:spacing w:line="240" w:lineRule="auto"/>
              <w:jc w:val="center"/>
              <w:rPr>
                <w:sz w:val="18"/>
                <w:szCs w:val="18"/>
              </w:rPr>
            </w:pPr>
          </w:p>
        </w:tc>
      </w:tr>
      <w:tr w:rsidR="005C79F5" w:rsidRPr="00C71A32" w14:paraId="41FEB733" w14:textId="77777777" w:rsidTr="009D1388">
        <w:tc>
          <w:tcPr>
            <w:tcW w:w="0" w:type="auto"/>
            <w:tcBorders>
              <w:top w:val="nil"/>
              <w:bottom w:val="nil"/>
            </w:tcBorders>
          </w:tcPr>
          <w:p w14:paraId="1D5CE18D" w14:textId="77777777" w:rsidR="005C79F5" w:rsidRPr="00C71A32" w:rsidRDefault="005C79F5" w:rsidP="005C79F5">
            <w:pPr>
              <w:spacing w:line="240" w:lineRule="auto"/>
            </w:pPr>
          </w:p>
        </w:tc>
        <w:tc>
          <w:tcPr>
            <w:tcW w:w="0" w:type="auto"/>
          </w:tcPr>
          <w:p w14:paraId="0F45961F" w14:textId="77777777" w:rsidR="005C79F5" w:rsidRPr="00C71A32" w:rsidRDefault="005C79F5" w:rsidP="005C79F5">
            <w:pPr>
              <w:pStyle w:val="Tabletext9"/>
              <w:spacing w:before="0" w:after="0" w:line="240" w:lineRule="auto"/>
              <w:jc w:val="left"/>
              <w:rPr>
                <w:rFonts w:ascii="Times New Roman" w:hAnsi="Times New Roman"/>
                <w:szCs w:val="18"/>
              </w:rPr>
            </w:pPr>
            <w:r w:rsidRPr="00C71A32">
              <w:rPr>
                <w:rFonts w:ascii="Times New Roman" w:hAnsi="Times New Roman"/>
                <w:szCs w:val="18"/>
              </w:rPr>
              <w:t>Peeling</w:t>
            </w:r>
            <w:r w:rsidRPr="00C71A32">
              <w:rPr>
                <w:rFonts w:ascii="Times New Roman" w:hAnsi="Times New Roman"/>
                <w:szCs w:val="18"/>
              </w:rPr>
              <w:br/>
              <w:t>and</w:t>
            </w:r>
            <w:r w:rsidRPr="00C71A32">
              <w:rPr>
                <w:rFonts w:ascii="Times New Roman" w:hAnsi="Times New Roman"/>
                <w:szCs w:val="18"/>
              </w:rPr>
              <w:br/>
              <w:t>corrosion</w:t>
            </w:r>
          </w:p>
        </w:tc>
        <w:tc>
          <w:tcPr>
            <w:tcW w:w="1524" w:type="dxa"/>
          </w:tcPr>
          <w:p w14:paraId="7B9CEA11"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EN ISO 4628-3:2016</w:t>
            </w:r>
          </w:p>
        </w:tc>
        <w:tc>
          <w:tcPr>
            <w:tcW w:w="2977" w:type="dxa"/>
          </w:tcPr>
          <w:p w14:paraId="4DCC80F7" w14:textId="77777777" w:rsidR="005C79F5" w:rsidRPr="00C71A32" w:rsidRDefault="005C79F5" w:rsidP="005C79F5">
            <w:pPr>
              <w:spacing w:line="240" w:lineRule="auto"/>
              <w:jc w:val="center"/>
              <w:rPr>
                <w:sz w:val="18"/>
                <w:szCs w:val="18"/>
              </w:rPr>
            </w:pPr>
            <w:r w:rsidRPr="00C71A32">
              <w:rPr>
                <w:sz w:val="18"/>
                <w:szCs w:val="18"/>
              </w:rPr>
              <w:t>Max corrosion</w:t>
            </w:r>
            <w:r w:rsidRPr="00C71A32">
              <w:rPr>
                <w:sz w:val="18"/>
                <w:szCs w:val="18"/>
              </w:rPr>
              <w:br/>
              <w:t>grade:</w:t>
            </w:r>
          </w:p>
          <w:p w14:paraId="397C680F" w14:textId="77777777" w:rsidR="005C79F5" w:rsidRPr="00C71A32" w:rsidRDefault="005C79F5" w:rsidP="005C79F5">
            <w:pPr>
              <w:spacing w:line="240" w:lineRule="auto"/>
              <w:jc w:val="center"/>
              <w:rPr>
                <w:sz w:val="18"/>
                <w:szCs w:val="18"/>
              </w:rPr>
            </w:pPr>
            <w:r w:rsidRPr="00C71A32">
              <w:rPr>
                <w:sz w:val="18"/>
                <w:szCs w:val="18"/>
              </w:rPr>
              <w:t>Ri2</w:t>
            </w:r>
          </w:p>
        </w:tc>
        <w:tc>
          <w:tcPr>
            <w:tcW w:w="1564" w:type="dxa"/>
          </w:tcPr>
          <w:p w14:paraId="74B0E99A" w14:textId="77777777" w:rsidR="005C79F5" w:rsidRPr="00C71A32" w:rsidRDefault="005C79F5" w:rsidP="005C79F5">
            <w:pPr>
              <w:spacing w:line="240" w:lineRule="auto"/>
              <w:jc w:val="center"/>
              <w:rPr>
                <w:sz w:val="18"/>
                <w:szCs w:val="18"/>
              </w:rPr>
            </w:pPr>
            <w:r w:rsidRPr="00C71A32">
              <w:rPr>
                <w:iCs/>
                <w:w w:val="105"/>
                <w:sz w:val="18"/>
                <w:szCs w:val="18"/>
              </w:rPr>
              <w:t>Q</w:t>
            </w:r>
            <w:r w:rsidRPr="00C71A32">
              <w:rPr>
                <w:sz w:val="18"/>
                <w:szCs w:val="18"/>
              </w:rPr>
              <w:t>/1 000</w:t>
            </w:r>
          </w:p>
        </w:tc>
      </w:tr>
      <w:tr w:rsidR="005C79F5" w:rsidRPr="00C71A32" w14:paraId="254B9B81" w14:textId="77777777" w:rsidTr="009D1388">
        <w:tc>
          <w:tcPr>
            <w:tcW w:w="0" w:type="auto"/>
            <w:tcBorders>
              <w:top w:val="nil"/>
              <w:bottom w:val="single" w:sz="4" w:space="0" w:color="auto"/>
            </w:tcBorders>
          </w:tcPr>
          <w:p w14:paraId="63C6FBE9" w14:textId="77777777" w:rsidR="005C79F5" w:rsidRPr="00C71A32" w:rsidRDefault="005C79F5" w:rsidP="005C79F5">
            <w:pPr>
              <w:spacing w:line="240" w:lineRule="auto"/>
            </w:pPr>
          </w:p>
        </w:tc>
        <w:tc>
          <w:tcPr>
            <w:tcW w:w="0" w:type="auto"/>
          </w:tcPr>
          <w:p w14:paraId="63BB186C" w14:textId="77777777" w:rsidR="005C79F5" w:rsidRPr="00C71A32" w:rsidRDefault="005C79F5" w:rsidP="005C79F5">
            <w:pPr>
              <w:pStyle w:val="Tabletext9"/>
              <w:spacing w:before="0" w:after="0" w:line="240" w:lineRule="auto"/>
              <w:jc w:val="left"/>
              <w:rPr>
                <w:rFonts w:ascii="Times New Roman" w:hAnsi="Times New Roman"/>
                <w:szCs w:val="18"/>
              </w:rPr>
            </w:pPr>
            <w:r w:rsidRPr="00C71A32">
              <w:rPr>
                <w:rFonts w:ascii="Times New Roman" w:hAnsi="Times New Roman"/>
                <w:szCs w:val="18"/>
              </w:rPr>
              <w:t>Adhesion of Polyurethane</w:t>
            </w:r>
          </w:p>
        </w:tc>
        <w:tc>
          <w:tcPr>
            <w:tcW w:w="1524" w:type="dxa"/>
          </w:tcPr>
          <w:p w14:paraId="1BA4CDF7"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ISO 2859-1:1999 + A1:2011</w:t>
            </w:r>
          </w:p>
          <w:p w14:paraId="1C7E3155"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EN 1442:2017</w:t>
            </w:r>
          </w:p>
          <w:p w14:paraId="303750FD"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EN 14140:2014 + AC:2015</w:t>
            </w:r>
          </w:p>
        </w:tc>
        <w:tc>
          <w:tcPr>
            <w:tcW w:w="2977" w:type="dxa"/>
          </w:tcPr>
          <w:p w14:paraId="552ABBD9" w14:textId="77777777" w:rsidR="005C79F5" w:rsidRPr="00C71A32" w:rsidRDefault="005C79F5" w:rsidP="005C79F5">
            <w:pPr>
              <w:spacing w:line="240" w:lineRule="auto"/>
              <w:jc w:val="center"/>
              <w:rPr>
                <w:sz w:val="18"/>
                <w:szCs w:val="18"/>
              </w:rPr>
            </w:pPr>
            <w:r w:rsidRPr="00C71A32">
              <w:rPr>
                <w:sz w:val="18"/>
                <w:szCs w:val="18"/>
              </w:rPr>
              <w:t>Adhesion value &gt; 0.5 N/mm²</w:t>
            </w:r>
          </w:p>
        </w:tc>
        <w:tc>
          <w:tcPr>
            <w:tcW w:w="1564" w:type="dxa"/>
          </w:tcPr>
          <w:p w14:paraId="637547AD" w14:textId="77777777" w:rsidR="005C79F5" w:rsidRPr="00C71A32" w:rsidRDefault="005C79F5" w:rsidP="005C79F5">
            <w:pPr>
              <w:spacing w:line="240" w:lineRule="auto"/>
              <w:jc w:val="center"/>
              <w:rPr>
                <w:position w:val="-12"/>
                <w:sz w:val="18"/>
                <w:szCs w:val="18"/>
              </w:rPr>
            </w:pPr>
            <w:r w:rsidRPr="00C71A32">
              <w:rPr>
                <w:position w:val="-12"/>
                <w:sz w:val="18"/>
                <w:szCs w:val="18"/>
              </w:rPr>
              <w:t>See ISO 2859-1:1999 + A1:2011 applied to Q/1000</w:t>
            </w:r>
          </w:p>
        </w:tc>
      </w:tr>
      <w:tr w:rsidR="005C79F5" w:rsidRPr="00C71A32" w14:paraId="05FB3097" w14:textId="77777777" w:rsidTr="009D1388">
        <w:tc>
          <w:tcPr>
            <w:tcW w:w="0" w:type="auto"/>
            <w:tcBorders>
              <w:bottom w:val="nil"/>
            </w:tcBorders>
          </w:tcPr>
          <w:p w14:paraId="60996DAA" w14:textId="77777777" w:rsidR="005C79F5" w:rsidRPr="00C71A32" w:rsidRDefault="005C79F5" w:rsidP="005C79F5">
            <w:pPr>
              <w:pStyle w:val="Tabletext9"/>
              <w:spacing w:before="0" w:after="0" w:line="240" w:lineRule="auto"/>
              <w:jc w:val="left"/>
              <w:rPr>
                <w:rFonts w:ascii="Times New Roman" w:hAnsi="Times New Roman"/>
                <w:w w:val="105"/>
                <w:szCs w:val="18"/>
              </w:rPr>
            </w:pPr>
            <w:r w:rsidRPr="00C71A32">
              <w:rPr>
                <w:rFonts w:ascii="Times New Roman" w:hAnsi="Times New Roman"/>
                <w:szCs w:val="18"/>
              </w:rPr>
              <w:t xml:space="preserve">Every </w:t>
            </w:r>
            <w:r w:rsidRPr="00C71A32">
              <w:rPr>
                <w:rFonts w:ascii="Times New Roman" w:hAnsi="Times New Roman"/>
                <w:w w:val="105"/>
                <w:szCs w:val="18"/>
              </w:rPr>
              <w:t>5 years thereafter</w:t>
            </w:r>
          </w:p>
          <w:p w14:paraId="79110FBC" w14:textId="77777777" w:rsidR="005C79F5" w:rsidRPr="00C71A32" w:rsidRDefault="005C79F5" w:rsidP="005C79F5">
            <w:pPr>
              <w:spacing w:line="240" w:lineRule="auto"/>
            </w:pPr>
            <w:r w:rsidRPr="00C71A32">
              <w:rPr>
                <w:w w:val="105"/>
                <w:sz w:val="18"/>
                <w:szCs w:val="18"/>
              </w:rPr>
              <w:t>(see (f))</w:t>
            </w:r>
          </w:p>
        </w:tc>
        <w:tc>
          <w:tcPr>
            <w:tcW w:w="0" w:type="auto"/>
          </w:tcPr>
          <w:p w14:paraId="1E959E9A" w14:textId="77777777" w:rsidR="005C79F5" w:rsidRPr="00C71A32" w:rsidRDefault="005C79F5" w:rsidP="005C79F5">
            <w:pPr>
              <w:pStyle w:val="Tabletext9"/>
              <w:spacing w:before="0" w:after="0" w:line="240" w:lineRule="auto"/>
              <w:jc w:val="left"/>
              <w:rPr>
                <w:rFonts w:ascii="Times New Roman" w:hAnsi="Times New Roman"/>
                <w:szCs w:val="18"/>
              </w:rPr>
            </w:pPr>
            <w:r w:rsidRPr="00C71A32">
              <w:rPr>
                <w:rFonts w:ascii="Times New Roman" w:hAnsi="Times New Roman"/>
                <w:szCs w:val="18"/>
              </w:rPr>
              <w:t>Burst test</w:t>
            </w:r>
          </w:p>
        </w:tc>
        <w:tc>
          <w:tcPr>
            <w:tcW w:w="1524" w:type="dxa"/>
          </w:tcPr>
          <w:p w14:paraId="6CF244CC"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EN 1442:2017</w:t>
            </w:r>
          </w:p>
        </w:tc>
        <w:tc>
          <w:tcPr>
            <w:tcW w:w="2977" w:type="dxa"/>
          </w:tcPr>
          <w:p w14:paraId="2546318F" w14:textId="77777777" w:rsidR="005C79F5" w:rsidRPr="00C71A32" w:rsidRDefault="005C79F5" w:rsidP="005C79F5">
            <w:pPr>
              <w:spacing w:line="240" w:lineRule="auto"/>
              <w:jc w:val="center"/>
              <w:rPr>
                <w:sz w:val="18"/>
                <w:szCs w:val="18"/>
              </w:rPr>
            </w:pPr>
            <w:r w:rsidRPr="00C71A32">
              <w:rPr>
                <w:sz w:val="18"/>
                <w:szCs w:val="18"/>
              </w:rPr>
              <w:t>Burst pressure point of the representative sample must be above the lower limit of tolerance interval on the Sample Performance Chart</w:t>
            </w:r>
          </w:p>
          <w:p w14:paraId="10E800B6" w14:textId="77777777" w:rsidR="005C79F5" w:rsidRPr="00C71A32" w:rsidRDefault="005C79F5" w:rsidP="005C79F5">
            <w:pPr>
              <w:spacing w:line="240" w:lineRule="auto"/>
              <w:jc w:val="center"/>
              <w:rPr>
                <w:sz w:val="18"/>
                <w:szCs w:val="18"/>
              </w:rPr>
            </w:pPr>
            <w:r w:rsidRPr="00C71A32">
              <w:rPr>
                <w:sz w:val="18"/>
                <w:szCs w:val="18"/>
              </w:rPr>
              <w:t>Ω</w:t>
            </w:r>
            <w:r w:rsidRPr="00C71A32">
              <w:rPr>
                <w:sz w:val="18"/>
                <w:szCs w:val="18"/>
                <w:vertAlign w:val="subscript"/>
              </w:rPr>
              <w:t>m</w:t>
            </w:r>
            <w:r w:rsidRPr="00C71A32" w:rsidDel="00250403">
              <w:rPr>
                <w:sz w:val="18"/>
                <w:szCs w:val="18"/>
              </w:rPr>
              <w:t xml:space="preserve"> </w:t>
            </w:r>
            <w:r w:rsidRPr="00C71A32">
              <w:rPr>
                <w:sz w:val="18"/>
                <w:szCs w:val="18"/>
              </w:rPr>
              <w:t>≥ 1 + Ω</w:t>
            </w:r>
            <w:r w:rsidRPr="00C71A32">
              <w:rPr>
                <w:sz w:val="18"/>
                <w:szCs w:val="18"/>
                <w:vertAlign w:val="subscript"/>
              </w:rPr>
              <w:t xml:space="preserve">s </w:t>
            </w:r>
            <w:r w:rsidRPr="00C71A32">
              <w:rPr>
                <w:sz w:val="18"/>
                <w:szCs w:val="18"/>
              </w:rPr>
              <w:t xml:space="preserve">× k3(n;p;1- α) </w:t>
            </w:r>
            <w:r w:rsidRPr="00C71A32">
              <w:rPr>
                <w:b/>
                <w:sz w:val="18"/>
                <w:szCs w:val="18"/>
                <w:vertAlign w:val="superscript"/>
              </w:rPr>
              <w:t>a</w:t>
            </w:r>
          </w:p>
          <w:p w14:paraId="2F6FFDB7" w14:textId="77777777" w:rsidR="005C79F5" w:rsidRPr="00C71A32" w:rsidRDefault="005C79F5" w:rsidP="005C79F5">
            <w:pPr>
              <w:spacing w:line="240" w:lineRule="auto"/>
              <w:jc w:val="center"/>
              <w:rPr>
                <w:sz w:val="18"/>
                <w:szCs w:val="18"/>
              </w:rPr>
            </w:pPr>
          </w:p>
          <w:p w14:paraId="766526C6" w14:textId="77777777" w:rsidR="005C79F5" w:rsidRPr="00C71A32" w:rsidRDefault="005C79F5" w:rsidP="005C79F5">
            <w:pPr>
              <w:spacing w:line="240" w:lineRule="auto"/>
              <w:jc w:val="center"/>
              <w:rPr>
                <w:sz w:val="18"/>
                <w:szCs w:val="18"/>
              </w:rPr>
            </w:pPr>
            <w:r w:rsidRPr="00C71A32">
              <w:rPr>
                <w:sz w:val="18"/>
                <w:szCs w:val="18"/>
              </w:rPr>
              <w:t>No individual test result shall be less than the test pressure</w:t>
            </w:r>
          </w:p>
        </w:tc>
        <w:tc>
          <w:tcPr>
            <w:tcW w:w="1564" w:type="dxa"/>
          </w:tcPr>
          <w:p w14:paraId="218D7D35" w14:textId="77777777" w:rsidR="005C79F5" w:rsidRPr="00C71A32" w:rsidRDefault="005C79F5" w:rsidP="005C79F5">
            <w:pPr>
              <w:spacing w:line="240" w:lineRule="auto"/>
              <w:jc w:val="center"/>
              <w:rPr>
                <w:sz w:val="18"/>
                <w:szCs w:val="18"/>
              </w:rPr>
            </w:pPr>
            <w:r w:rsidRPr="00C71A32">
              <w:rPr>
                <w:position w:val="-10"/>
                <w:szCs w:val="18"/>
              </w:rPr>
              <w:object w:dxaOrig="480" w:dyaOrig="360" w14:anchorId="09AF0EAC">
                <v:shape id="_x0000_i1026" type="#_x0000_t75" style="width:23.25pt;height:18pt" o:ole="">
                  <v:imagedata r:id="rId11" o:title=""/>
                </v:shape>
                <o:OLEObject Type="Embed" ProgID="Equation.3" ShapeID="_x0000_i1026" DrawAspect="Content" ObjectID="_1578921274" r:id="rId12"/>
              </w:object>
            </w:r>
            <w:r w:rsidRPr="00C71A32">
              <w:rPr>
                <w:sz w:val="18"/>
                <w:szCs w:val="18"/>
              </w:rPr>
              <w:t xml:space="preserve">or Q/100  </w:t>
            </w:r>
            <w:r w:rsidRPr="00C71A32">
              <w:rPr>
                <w:sz w:val="18"/>
                <w:szCs w:val="18"/>
              </w:rPr>
              <w:br/>
              <w:t>whichever is lower,</w:t>
            </w:r>
          </w:p>
          <w:p w14:paraId="4C0916B8" w14:textId="77777777" w:rsidR="005C79F5" w:rsidRPr="00C71A32" w:rsidRDefault="005C79F5" w:rsidP="005C79F5">
            <w:pPr>
              <w:spacing w:line="240" w:lineRule="auto"/>
              <w:jc w:val="center"/>
              <w:rPr>
                <w:sz w:val="18"/>
                <w:szCs w:val="18"/>
              </w:rPr>
            </w:pPr>
            <w:r w:rsidRPr="00C71A32">
              <w:rPr>
                <w:sz w:val="18"/>
                <w:szCs w:val="18"/>
              </w:rPr>
              <w:t>and</w:t>
            </w:r>
          </w:p>
          <w:p w14:paraId="13B98117" w14:textId="77777777" w:rsidR="005C79F5" w:rsidRPr="00C71A32" w:rsidRDefault="005C79F5" w:rsidP="005C79F5">
            <w:pPr>
              <w:spacing w:line="240" w:lineRule="auto"/>
              <w:jc w:val="center"/>
              <w:rPr>
                <w:sz w:val="18"/>
                <w:szCs w:val="18"/>
              </w:rPr>
            </w:pPr>
            <w:r w:rsidRPr="00C71A32">
              <w:rPr>
                <w:sz w:val="18"/>
                <w:szCs w:val="18"/>
              </w:rPr>
              <w:t>with a minimum of 40 per sub-group (Q)</w:t>
            </w:r>
          </w:p>
          <w:p w14:paraId="4E9A0694" w14:textId="77777777" w:rsidR="005C79F5" w:rsidRPr="00C71A32" w:rsidRDefault="005C79F5" w:rsidP="005C79F5">
            <w:pPr>
              <w:spacing w:line="240" w:lineRule="auto"/>
              <w:jc w:val="center"/>
              <w:rPr>
                <w:sz w:val="18"/>
                <w:szCs w:val="18"/>
              </w:rPr>
            </w:pPr>
          </w:p>
        </w:tc>
      </w:tr>
      <w:tr w:rsidR="005C79F5" w:rsidRPr="00C71A32" w14:paraId="2DD51E74" w14:textId="77777777" w:rsidTr="009D1388">
        <w:tc>
          <w:tcPr>
            <w:tcW w:w="0" w:type="auto"/>
            <w:tcBorders>
              <w:top w:val="nil"/>
              <w:bottom w:val="nil"/>
            </w:tcBorders>
          </w:tcPr>
          <w:p w14:paraId="1083B5A6" w14:textId="77777777" w:rsidR="005C79F5" w:rsidRPr="00C71A32" w:rsidRDefault="005C79F5" w:rsidP="005C79F5">
            <w:pPr>
              <w:spacing w:line="240" w:lineRule="auto"/>
            </w:pPr>
          </w:p>
        </w:tc>
        <w:tc>
          <w:tcPr>
            <w:tcW w:w="0" w:type="auto"/>
          </w:tcPr>
          <w:p w14:paraId="27DC5BE7" w14:textId="77777777" w:rsidR="005C79F5" w:rsidRPr="00C71A32" w:rsidRDefault="005C79F5" w:rsidP="005C79F5">
            <w:pPr>
              <w:pStyle w:val="Tabletext9"/>
              <w:spacing w:before="0" w:after="0" w:line="240" w:lineRule="auto"/>
              <w:jc w:val="left"/>
              <w:rPr>
                <w:rFonts w:ascii="Times New Roman" w:hAnsi="Times New Roman"/>
                <w:szCs w:val="18"/>
              </w:rPr>
            </w:pPr>
            <w:r w:rsidRPr="00C71A32">
              <w:rPr>
                <w:rFonts w:ascii="Times New Roman" w:hAnsi="Times New Roman"/>
                <w:szCs w:val="18"/>
              </w:rPr>
              <w:t>Peeling</w:t>
            </w:r>
            <w:r w:rsidRPr="00C71A32">
              <w:rPr>
                <w:rFonts w:ascii="Times New Roman" w:hAnsi="Times New Roman"/>
                <w:szCs w:val="18"/>
              </w:rPr>
              <w:br/>
              <w:t>and</w:t>
            </w:r>
            <w:r w:rsidRPr="00C71A32">
              <w:rPr>
                <w:rFonts w:ascii="Times New Roman" w:hAnsi="Times New Roman"/>
                <w:szCs w:val="18"/>
              </w:rPr>
              <w:br/>
              <w:t>corrosion</w:t>
            </w:r>
          </w:p>
        </w:tc>
        <w:tc>
          <w:tcPr>
            <w:tcW w:w="1524" w:type="dxa"/>
          </w:tcPr>
          <w:p w14:paraId="4BBE620B"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EN ISO 4628-3:2016</w:t>
            </w:r>
          </w:p>
          <w:p w14:paraId="61C41184" w14:textId="77777777" w:rsidR="005C79F5" w:rsidRPr="00C71A32" w:rsidRDefault="005C79F5" w:rsidP="005C79F5">
            <w:pPr>
              <w:pStyle w:val="Tabletext9"/>
              <w:spacing w:before="0" w:after="0" w:line="240" w:lineRule="auto"/>
              <w:jc w:val="center"/>
              <w:rPr>
                <w:rFonts w:ascii="Times New Roman" w:hAnsi="Times New Roman"/>
                <w:szCs w:val="18"/>
              </w:rPr>
            </w:pPr>
          </w:p>
        </w:tc>
        <w:tc>
          <w:tcPr>
            <w:tcW w:w="2977" w:type="dxa"/>
          </w:tcPr>
          <w:p w14:paraId="39E0E6C5" w14:textId="77777777" w:rsidR="005C79F5" w:rsidRPr="00C71A32" w:rsidRDefault="005C79F5" w:rsidP="005C79F5">
            <w:pPr>
              <w:spacing w:line="240" w:lineRule="auto"/>
              <w:jc w:val="center"/>
              <w:rPr>
                <w:sz w:val="18"/>
                <w:szCs w:val="18"/>
              </w:rPr>
            </w:pPr>
            <w:r w:rsidRPr="00C71A32">
              <w:rPr>
                <w:sz w:val="18"/>
                <w:szCs w:val="18"/>
              </w:rPr>
              <w:t>Max corrosion</w:t>
            </w:r>
            <w:r w:rsidRPr="00C71A32">
              <w:rPr>
                <w:sz w:val="18"/>
                <w:szCs w:val="18"/>
              </w:rPr>
              <w:br/>
              <w:t>grade:</w:t>
            </w:r>
          </w:p>
          <w:p w14:paraId="0401EA0A" w14:textId="77777777" w:rsidR="005C79F5" w:rsidRPr="00C71A32" w:rsidRDefault="005C79F5" w:rsidP="005C79F5">
            <w:pPr>
              <w:spacing w:line="240" w:lineRule="auto"/>
              <w:jc w:val="center"/>
              <w:rPr>
                <w:sz w:val="18"/>
                <w:szCs w:val="18"/>
              </w:rPr>
            </w:pPr>
            <w:r w:rsidRPr="00C71A32">
              <w:rPr>
                <w:sz w:val="18"/>
                <w:szCs w:val="18"/>
              </w:rPr>
              <w:t>Ri2</w:t>
            </w:r>
          </w:p>
        </w:tc>
        <w:tc>
          <w:tcPr>
            <w:tcW w:w="1564" w:type="dxa"/>
          </w:tcPr>
          <w:p w14:paraId="587C2646" w14:textId="77777777" w:rsidR="005C79F5" w:rsidRPr="00C71A32" w:rsidRDefault="005C79F5" w:rsidP="005C79F5">
            <w:pPr>
              <w:spacing w:line="240" w:lineRule="auto"/>
              <w:jc w:val="center"/>
              <w:rPr>
                <w:sz w:val="18"/>
                <w:szCs w:val="18"/>
              </w:rPr>
            </w:pPr>
            <w:r w:rsidRPr="00C71A32">
              <w:rPr>
                <w:iCs/>
                <w:w w:val="105"/>
                <w:sz w:val="18"/>
                <w:szCs w:val="18"/>
              </w:rPr>
              <w:t>Q</w:t>
            </w:r>
            <w:r w:rsidRPr="00C71A32">
              <w:rPr>
                <w:sz w:val="18"/>
                <w:szCs w:val="18"/>
              </w:rPr>
              <w:t>/1 000</w:t>
            </w:r>
          </w:p>
        </w:tc>
      </w:tr>
      <w:tr w:rsidR="005C79F5" w:rsidRPr="00C71A32" w14:paraId="3F867D08" w14:textId="77777777" w:rsidTr="009D1388">
        <w:tc>
          <w:tcPr>
            <w:tcW w:w="0" w:type="auto"/>
            <w:tcBorders>
              <w:top w:val="nil"/>
            </w:tcBorders>
          </w:tcPr>
          <w:p w14:paraId="63FE0581" w14:textId="77777777" w:rsidR="005C79F5" w:rsidRPr="00C71A32" w:rsidRDefault="005C79F5" w:rsidP="005C79F5">
            <w:pPr>
              <w:spacing w:line="240" w:lineRule="auto"/>
            </w:pPr>
          </w:p>
        </w:tc>
        <w:tc>
          <w:tcPr>
            <w:tcW w:w="0" w:type="auto"/>
          </w:tcPr>
          <w:p w14:paraId="23261D00" w14:textId="77777777" w:rsidR="005C79F5" w:rsidRPr="00C71A32" w:rsidRDefault="005C79F5" w:rsidP="005C79F5">
            <w:pPr>
              <w:pStyle w:val="Tabletext9"/>
              <w:spacing w:before="0" w:after="0" w:line="240" w:lineRule="auto"/>
              <w:jc w:val="left"/>
              <w:rPr>
                <w:rFonts w:ascii="Times New Roman" w:hAnsi="Times New Roman"/>
                <w:szCs w:val="18"/>
              </w:rPr>
            </w:pPr>
            <w:r w:rsidRPr="00C71A32">
              <w:rPr>
                <w:rFonts w:ascii="Times New Roman" w:hAnsi="Times New Roman"/>
                <w:szCs w:val="18"/>
              </w:rPr>
              <w:t>Adhesion of Polyurethane</w:t>
            </w:r>
          </w:p>
        </w:tc>
        <w:tc>
          <w:tcPr>
            <w:tcW w:w="1524" w:type="dxa"/>
          </w:tcPr>
          <w:p w14:paraId="08335B80"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ISO 2859-1:1999 + A1:2011</w:t>
            </w:r>
          </w:p>
          <w:p w14:paraId="3549F074"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EN 1442:2017</w:t>
            </w:r>
          </w:p>
          <w:p w14:paraId="709A5965" w14:textId="77777777" w:rsidR="005C79F5" w:rsidRPr="00C71A32" w:rsidRDefault="005C79F5" w:rsidP="005C79F5">
            <w:pPr>
              <w:pStyle w:val="Tabletext9"/>
              <w:spacing w:before="0" w:after="0" w:line="240" w:lineRule="auto"/>
              <w:jc w:val="center"/>
              <w:rPr>
                <w:rFonts w:ascii="Times New Roman" w:hAnsi="Times New Roman"/>
                <w:szCs w:val="18"/>
              </w:rPr>
            </w:pPr>
            <w:r w:rsidRPr="00C71A32">
              <w:rPr>
                <w:rFonts w:ascii="Times New Roman" w:hAnsi="Times New Roman"/>
                <w:szCs w:val="18"/>
              </w:rPr>
              <w:t>EN 14140:2014 + AC:2015</w:t>
            </w:r>
          </w:p>
        </w:tc>
        <w:tc>
          <w:tcPr>
            <w:tcW w:w="2977" w:type="dxa"/>
          </w:tcPr>
          <w:p w14:paraId="6C646DED" w14:textId="77777777" w:rsidR="005C79F5" w:rsidRPr="00C71A32" w:rsidRDefault="005C79F5" w:rsidP="005C79F5">
            <w:pPr>
              <w:spacing w:line="240" w:lineRule="auto"/>
              <w:jc w:val="center"/>
              <w:rPr>
                <w:sz w:val="18"/>
                <w:szCs w:val="18"/>
              </w:rPr>
            </w:pPr>
            <w:r w:rsidRPr="00C71A32">
              <w:rPr>
                <w:sz w:val="18"/>
                <w:szCs w:val="18"/>
              </w:rPr>
              <w:t>Adhesion value &gt; 0.5 N/mm²</w:t>
            </w:r>
          </w:p>
        </w:tc>
        <w:tc>
          <w:tcPr>
            <w:tcW w:w="1564" w:type="dxa"/>
          </w:tcPr>
          <w:p w14:paraId="63DA0F36" w14:textId="77777777" w:rsidR="005C79F5" w:rsidRPr="00C71A32" w:rsidRDefault="005C79F5" w:rsidP="005C79F5">
            <w:pPr>
              <w:spacing w:line="240" w:lineRule="auto"/>
              <w:jc w:val="center"/>
              <w:rPr>
                <w:position w:val="-12"/>
                <w:sz w:val="18"/>
                <w:szCs w:val="18"/>
              </w:rPr>
            </w:pPr>
            <w:r w:rsidRPr="00C71A32">
              <w:rPr>
                <w:position w:val="-12"/>
                <w:sz w:val="18"/>
                <w:szCs w:val="18"/>
              </w:rPr>
              <w:t>See ISO 2859-1:1999 + A1:2011 applied to Q/1000</w:t>
            </w:r>
          </w:p>
        </w:tc>
      </w:tr>
    </w:tbl>
    <w:p w14:paraId="147E5C65" w14:textId="77777777" w:rsidR="005C79F5" w:rsidRPr="00C71A32" w:rsidRDefault="005C79F5" w:rsidP="005C79F5">
      <w:pPr>
        <w:pStyle w:val="SingleTxtG"/>
        <w:spacing w:before="120"/>
        <w:rPr>
          <w:i/>
        </w:rPr>
      </w:pPr>
      <w:r w:rsidRPr="00C71A32">
        <w:rPr>
          <w:b/>
          <w:i/>
          <w:vertAlign w:val="superscript"/>
        </w:rPr>
        <w:t>a</w:t>
      </w:r>
      <w:r w:rsidRPr="00C71A32">
        <w:rPr>
          <w:i/>
        </w:rPr>
        <w:tab/>
        <w:t xml:space="preserve">Burst pressure point (BPP) of the representative sample is used for the evaluation of test results by using a </w:t>
      </w:r>
      <w:r w:rsidRPr="00EA784B">
        <w:rPr>
          <w:i/>
        </w:rPr>
        <w:t>Sample Performance Chart:</w:t>
      </w:r>
    </w:p>
    <w:p w14:paraId="4EAB563F" w14:textId="77777777" w:rsidR="005C79F5" w:rsidRPr="00C71A32" w:rsidRDefault="005C79F5" w:rsidP="005C79F5">
      <w:pPr>
        <w:pStyle w:val="SingleTxtG"/>
        <w:rPr>
          <w:i/>
        </w:rPr>
      </w:pPr>
      <w:r w:rsidRPr="00C71A32">
        <w:rPr>
          <w:i/>
        </w:rPr>
        <w:t xml:space="preserve">Step 1: Determination of the burst pressure point (BPP) of a </w:t>
      </w:r>
      <w:r w:rsidRPr="009D1388">
        <w:rPr>
          <w:i/>
        </w:rPr>
        <w:t>representative</w:t>
      </w:r>
      <w:r w:rsidRPr="00C71A32">
        <w:rPr>
          <w:i/>
          <w:u w:val="single"/>
        </w:rPr>
        <w:t xml:space="preserve"> </w:t>
      </w:r>
      <w:r w:rsidRPr="00C71A32">
        <w:rPr>
          <w:i/>
        </w:rPr>
        <w:t xml:space="preserve">sample </w:t>
      </w:r>
    </w:p>
    <w:p w14:paraId="1E189AA3" w14:textId="77777777" w:rsidR="005C79F5" w:rsidRPr="009D1388" w:rsidRDefault="005C79F5" w:rsidP="005C79F5">
      <w:pPr>
        <w:pStyle w:val="SingleTxtG"/>
        <w:rPr>
          <w:i/>
        </w:rPr>
      </w:pPr>
      <w:r w:rsidRPr="009D1388">
        <w:rPr>
          <w:i/>
        </w:rPr>
        <w:t>Each sample is represented by a point whose coordinates are the mean value of burst test results and the standard deviation of burst test results, each normalised to the relevant test pressure.</w:t>
      </w:r>
    </w:p>
    <w:p w14:paraId="30F11A56" w14:textId="77777777" w:rsidR="005C79F5" w:rsidRPr="00C71A32" w:rsidRDefault="005C79F5" w:rsidP="005C79F5">
      <w:pPr>
        <w:spacing w:after="120"/>
        <w:ind w:left="1701" w:right="1134"/>
        <w:jc w:val="center"/>
        <w:rPr>
          <w:i/>
          <w:sz w:val="24"/>
          <w:szCs w:val="24"/>
        </w:rPr>
      </w:pPr>
      <w:r w:rsidRPr="00C71A32">
        <w:rPr>
          <w:i/>
          <w:sz w:val="24"/>
          <w:szCs w:val="24"/>
        </w:rPr>
        <w:t>BPP: (Ω</w:t>
      </w:r>
      <w:r w:rsidRPr="00C71A32">
        <w:rPr>
          <w:i/>
          <w:sz w:val="24"/>
          <w:szCs w:val="24"/>
          <w:vertAlign w:val="subscript"/>
        </w:rPr>
        <w:t xml:space="preserve">s </w:t>
      </w:r>
      <w:r w:rsidRPr="00C71A32">
        <w:rPr>
          <w:i/>
          <w:sz w:val="24"/>
          <w:szCs w:val="24"/>
        </w:rPr>
        <w:t xml:space="preserve">= </w:t>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PH</m:t>
            </m:r>
          </m:den>
        </m:f>
      </m:oMath>
      <w:r w:rsidRPr="00C71A32">
        <w:rPr>
          <w:i/>
          <w:sz w:val="24"/>
          <w:szCs w:val="24"/>
        </w:rPr>
        <w:t xml:space="preserve"> ; Ω</w:t>
      </w:r>
      <w:r w:rsidRPr="00C71A32">
        <w:rPr>
          <w:i/>
          <w:sz w:val="24"/>
          <w:szCs w:val="24"/>
          <w:vertAlign w:val="subscript"/>
        </w:rPr>
        <w:t xml:space="preserve">m </w:t>
      </w:r>
      <w:r w:rsidRPr="00C71A32">
        <w:rPr>
          <w:i/>
          <w:sz w:val="24"/>
          <w:szCs w:val="24"/>
        </w:rPr>
        <w:t xml:space="preserve">=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PH</m:t>
            </m:r>
          </m:den>
        </m:f>
        <m:r>
          <w:rPr>
            <w:rFonts w:ascii="Cambria Math" w:hAnsi="Cambria Math"/>
            <w:sz w:val="24"/>
            <w:szCs w:val="24"/>
          </w:rPr>
          <m:t xml:space="preserve"> </m:t>
        </m:r>
      </m:oMath>
      <w:r w:rsidRPr="00C71A32">
        <w:rPr>
          <w:i/>
          <w:sz w:val="24"/>
          <w:szCs w:val="24"/>
        </w:rPr>
        <w:t>)</w:t>
      </w:r>
    </w:p>
    <w:p w14:paraId="2C8C14C8" w14:textId="77777777" w:rsidR="005C79F5" w:rsidRPr="00C71A32" w:rsidRDefault="005C79F5" w:rsidP="005C79F5">
      <w:pPr>
        <w:pStyle w:val="SingleTxtG"/>
        <w:rPr>
          <w:i/>
        </w:rPr>
      </w:pPr>
      <w:r w:rsidRPr="00C71A32">
        <w:rPr>
          <w:i/>
        </w:rPr>
        <w:t>with</w:t>
      </w:r>
    </w:p>
    <w:p w14:paraId="150617B2" w14:textId="77777777" w:rsidR="005C79F5" w:rsidRPr="00C71A32" w:rsidRDefault="005C79F5" w:rsidP="005C79F5">
      <w:pPr>
        <w:pStyle w:val="SingleTxtG"/>
        <w:rPr>
          <w:i/>
        </w:rPr>
      </w:pPr>
      <w:r w:rsidRPr="00C71A32">
        <w:rPr>
          <w:i/>
        </w:rPr>
        <w:t xml:space="preserve">x: sample mean </w:t>
      </w:r>
      <w:r w:rsidRPr="00EA784B">
        <w:rPr>
          <w:i/>
        </w:rPr>
        <w:t>value</w:t>
      </w:r>
      <w:r w:rsidRPr="00C71A32">
        <w:rPr>
          <w:i/>
        </w:rPr>
        <w:t>;</w:t>
      </w:r>
    </w:p>
    <w:p w14:paraId="25C7D5BE" w14:textId="77777777" w:rsidR="005C79F5" w:rsidRPr="00C71A32" w:rsidRDefault="005C79F5" w:rsidP="005C79F5">
      <w:pPr>
        <w:pStyle w:val="SingleTxtG"/>
        <w:rPr>
          <w:i/>
        </w:rPr>
      </w:pPr>
      <w:r w:rsidRPr="00C71A32">
        <w:rPr>
          <w:i/>
        </w:rPr>
        <w:t>s: sample standard deviation;</w:t>
      </w:r>
    </w:p>
    <w:p w14:paraId="7E5F97D6" w14:textId="77777777" w:rsidR="005C79F5" w:rsidRPr="00C71A32" w:rsidRDefault="005C79F5" w:rsidP="005C79F5">
      <w:pPr>
        <w:pStyle w:val="SingleTxtG"/>
        <w:rPr>
          <w:i/>
        </w:rPr>
      </w:pPr>
      <w:r w:rsidRPr="00C71A32">
        <w:rPr>
          <w:i/>
        </w:rPr>
        <w:t>PH: test pressure</w:t>
      </w:r>
    </w:p>
    <w:p w14:paraId="3450E753" w14:textId="77777777" w:rsidR="005C79F5" w:rsidRPr="00C71A32" w:rsidRDefault="005C79F5" w:rsidP="005C79F5">
      <w:pPr>
        <w:pStyle w:val="SingleTxtG"/>
        <w:rPr>
          <w:i/>
        </w:rPr>
      </w:pPr>
      <w:r w:rsidRPr="00C71A32">
        <w:rPr>
          <w:i/>
        </w:rPr>
        <w:t>Step 2: Plotting on a Sample Performance Chart</w:t>
      </w:r>
    </w:p>
    <w:p w14:paraId="1EC73B4A" w14:textId="77777777" w:rsidR="005C79F5" w:rsidRPr="00C71A32" w:rsidRDefault="005C79F5" w:rsidP="005C79F5">
      <w:pPr>
        <w:pStyle w:val="SingleTxtG"/>
        <w:rPr>
          <w:i/>
        </w:rPr>
      </w:pPr>
      <w:r w:rsidRPr="00C71A32">
        <w:rPr>
          <w:i/>
        </w:rPr>
        <w:t>Each BPP is plotted on a Sample Performance Chart with following axis:</w:t>
      </w:r>
    </w:p>
    <w:p w14:paraId="5C3A3B15" w14:textId="47065917" w:rsidR="005C79F5" w:rsidRPr="009D1388" w:rsidRDefault="009D1388" w:rsidP="009D1388">
      <w:pPr>
        <w:pStyle w:val="SingleTxtG"/>
        <w:rPr>
          <w:i/>
        </w:rPr>
      </w:pPr>
      <w:r>
        <w:rPr>
          <w:i/>
        </w:rPr>
        <w:t>-</w:t>
      </w:r>
      <w:r>
        <w:rPr>
          <w:i/>
        </w:rPr>
        <w:tab/>
      </w:r>
      <w:r w:rsidR="005C79F5" w:rsidRPr="009D1388">
        <w:rPr>
          <w:i/>
        </w:rPr>
        <w:t>Abscissa : Standard Deviation normalised to test pressure ( Ω</w:t>
      </w:r>
      <w:r w:rsidR="005C79F5" w:rsidRPr="009D1388">
        <w:rPr>
          <w:i/>
          <w:vertAlign w:val="subscript"/>
        </w:rPr>
        <w:t>s</w:t>
      </w:r>
      <w:r w:rsidR="005C79F5" w:rsidRPr="009D1388">
        <w:rPr>
          <w:i/>
        </w:rPr>
        <w:t xml:space="preserve"> )</w:t>
      </w:r>
    </w:p>
    <w:p w14:paraId="40F96D1F" w14:textId="3ECE46D0" w:rsidR="005C79F5" w:rsidRPr="009D1388" w:rsidRDefault="009D1388" w:rsidP="009D1388">
      <w:pPr>
        <w:pStyle w:val="SingleTxtG"/>
        <w:rPr>
          <w:i/>
        </w:rPr>
      </w:pPr>
      <w:r>
        <w:rPr>
          <w:i/>
        </w:rPr>
        <w:t>-</w:t>
      </w:r>
      <w:r>
        <w:rPr>
          <w:i/>
        </w:rPr>
        <w:tab/>
      </w:r>
      <w:r w:rsidR="005C79F5" w:rsidRPr="009D1388">
        <w:rPr>
          <w:i/>
        </w:rPr>
        <w:t>Ordinate : Mean value normalised to test pressure ( Ω</w:t>
      </w:r>
      <w:r w:rsidR="005C79F5" w:rsidRPr="009D1388">
        <w:rPr>
          <w:i/>
          <w:vertAlign w:val="subscript"/>
        </w:rPr>
        <w:t>m</w:t>
      </w:r>
      <w:r w:rsidR="005C79F5" w:rsidRPr="009D1388">
        <w:rPr>
          <w:i/>
        </w:rPr>
        <w:t xml:space="preserve"> )</w:t>
      </w:r>
    </w:p>
    <w:p w14:paraId="3BDC0598" w14:textId="77777777" w:rsidR="005C79F5" w:rsidRPr="00C71A32" w:rsidRDefault="005C79F5" w:rsidP="005C79F5">
      <w:pPr>
        <w:pStyle w:val="SingleTxtG"/>
        <w:rPr>
          <w:i/>
        </w:rPr>
      </w:pPr>
      <w:r w:rsidRPr="00C71A32">
        <w:rPr>
          <w:i/>
        </w:rPr>
        <w:t>Step 3: Determination of the relevant lower limit of tolerance interval in the Sample Performance Chart</w:t>
      </w:r>
    </w:p>
    <w:p w14:paraId="02CF6F11" w14:textId="77777777" w:rsidR="005C79F5" w:rsidRPr="00C71A32" w:rsidRDefault="005C79F5" w:rsidP="005C79F5">
      <w:pPr>
        <w:pStyle w:val="SingleTxtG"/>
        <w:rPr>
          <w:i/>
        </w:rPr>
      </w:pPr>
      <w:r w:rsidRPr="00C71A32">
        <w:rPr>
          <w:i/>
        </w:rPr>
        <w:lastRenderedPageBreak/>
        <w:t>Results for burst pressure shall first be checked according to the Joint Test (multidirectional test) using a significance level of α=0.05 (see paragraph 7 of ISO 5479:1997) to determine whether the distribution of results for each sample is normal or non-normal.</w:t>
      </w:r>
    </w:p>
    <w:p w14:paraId="6AE4804B" w14:textId="4CD89687" w:rsidR="005C79F5" w:rsidRPr="009D1388" w:rsidRDefault="009D1388" w:rsidP="009D1388">
      <w:pPr>
        <w:pStyle w:val="SingleTxtG"/>
        <w:rPr>
          <w:i/>
        </w:rPr>
      </w:pPr>
      <w:r>
        <w:rPr>
          <w:i/>
        </w:rPr>
        <w:t>-</w:t>
      </w:r>
      <w:r>
        <w:rPr>
          <w:i/>
        </w:rPr>
        <w:tab/>
      </w:r>
      <w:r w:rsidR="005C79F5" w:rsidRPr="009D1388">
        <w:rPr>
          <w:i/>
        </w:rPr>
        <w:t>For a normal distribution, the determination of the relevant lower limit of tolerance is given in step 3.1.</w:t>
      </w:r>
    </w:p>
    <w:p w14:paraId="5B1AA207" w14:textId="27D6E581" w:rsidR="005C79F5" w:rsidRPr="009D1388" w:rsidRDefault="009D1388" w:rsidP="009D1388">
      <w:pPr>
        <w:pStyle w:val="SingleTxtG"/>
        <w:rPr>
          <w:i/>
        </w:rPr>
      </w:pPr>
      <w:r>
        <w:rPr>
          <w:i/>
        </w:rPr>
        <w:t>-</w:t>
      </w:r>
      <w:r>
        <w:rPr>
          <w:i/>
        </w:rPr>
        <w:tab/>
      </w:r>
      <w:r w:rsidR="005C79F5" w:rsidRPr="009D1388">
        <w:rPr>
          <w:i/>
        </w:rPr>
        <w:t>For a non-normal distribution, the determination of the relevant lower limit of tolerance is given in step 3.2.</w:t>
      </w:r>
    </w:p>
    <w:p w14:paraId="27C6BCCA" w14:textId="77777777" w:rsidR="005C79F5" w:rsidRPr="00C71A32" w:rsidRDefault="005C79F5" w:rsidP="005C79F5">
      <w:pPr>
        <w:pStyle w:val="SingleTxtG"/>
        <w:rPr>
          <w:i/>
        </w:rPr>
      </w:pPr>
      <w:r w:rsidRPr="00C71A32">
        <w:rPr>
          <w:i/>
        </w:rPr>
        <w:t>Step 3.1: Lower limit of tolerance interval for results following a normal distribution</w:t>
      </w:r>
    </w:p>
    <w:p w14:paraId="0E45477C" w14:textId="77777777" w:rsidR="005C79F5" w:rsidRPr="00C71A32" w:rsidRDefault="005C79F5" w:rsidP="005C79F5">
      <w:pPr>
        <w:pStyle w:val="SingleTxtG"/>
        <w:rPr>
          <w:i/>
        </w:rPr>
      </w:pPr>
      <w:r w:rsidRPr="00C71A32">
        <w:rPr>
          <w:i/>
        </w:rPr>
        <w:t>In accordance with the standard ISO 16269-6:2014, and considering that the variance is unknown,</w:t>
      </w:r>
      <w:r w:rsidRPr="00C71A32" w:rsidDel="009648B0">
        <w:rPr>
          <w:i/>
        </w:rPr>
        <w:t xml:space="preserve"> </w:t>
      </w:r>
      <w:r w:rsidRPr="00C71A32">
        <w:rPr>
          <w:i/>
        </w:rPr>
        <w:t>the unilateral statistical tolerance interval shall be considered for a confidence level of 95% and a fraction of population equal to 99.9999%.</w:t>
      </w:r>
    </w:p>
    <w:p w14:paraId="12D41912" w14:textId="77777777" w:rsidR="005C79F5" w:rsidRPr="00C71A32" w:rsidRDefault="005C79F5" w:rsidP="005C79F5">
      <w:pPr>
        <w:pStyle w:val="SingleTxtG"/>
        <w:rPr>
          <w:i/>
        </w:rPr>
      </w:pPr>
      <w:r w:rsidRPr="00C71A32">
        <w:rPr>
          <w:i/>
        </w:rPr>
        <w:t>By application in the Sample Performance Chart, the lower limit of tolerance interval is represented by a line of constant survival rate defined by the formula:</w:t>
      </w:r>
    </w:p>
    <w:p w14:paraId="6DD283C7" w14:textId="77777777" w:rsidR="005C79F5" w:rsidRPr="00C71A32" w:rsidRDefault="005C79F5" w:rsidP="005C79F5">
      <w:pPr>
        <w:pStyle w:val="SingleTxtG"/>
        <w:ind w:left="1689"/>
        <w:jc w:val="center"/>
        <w:rPr>
          <w:b/>
          <w:i/>
        </w:rPr>
      </w:pPr>
      <w:r w:rsidRPr="00C71A32">
        <w:rPr>
          <w:b/>
          <w:i/>
        </w:rPr>
        <w:t>Ω</w:t>
      </w:r>
      <w:r w:rsidRPr="00C71A32">
        <w:rPr>
          <w:b/>
          <w:i/>
          <w:vertAlign w:val="subscript"/>
        </w:rPr>
        <w:t>m</w:t>
      </w:r>
      <w:r w:rsidRPr="00C71A32" w:rsidDel="00250403">
        <w:rPr>
          <w:b/>
          <w:i/>
        </w:rPr>
        <w:t xml:space="preserve"> </w:t>
      </w:r>
      <w:r w:rsidRPr="00C71A32">
        <w:rPr>
          <w:b/>
          <w:i/>
        </w:rPr>
        <w:t>= 1 + Ω</w:t>
      </w:r>
      <w:r w:rsidRPr="00C71A32">
        <w:rPr>
          <w:b/>
          <w:i/>
          <w:vertAlign w:val="subscript"/>
        </w:rPr>
        <w:t xml:space="preserve">s </w:t>
      </w:r>
      <w:r w:rsidRPr="00C71A32">
        <w:rPr>
          <w:b/>
          <w:i/>
        </w:rPr>
        <w:t>× k3(n;p;1-α)</w:t>
      </w:r>
    </w:p>
    <w:p w14:paraId="40166AFF" w14:textId="77777777" w:rsidR="005C79F5" w:rsidRPr="00C71A32" w:rsidRDefault="005C79F5" w:rsidP="005C79F5">
      <w:pPr>
        <w:pStyle w:val="SingleTxtG"/>
        <w:rPr>
          <w:i/>
        </w:rPr>
      </w:pPr>
      <w:r w:rsidRPr="00C71A32">
        <w:rPr>
          <w:i/>
        </w:rPr>
        <w:t>with</w:t>
      </w:r>
    </w:p>
    <w:p w14:paraId="37137C4C" w14:textId="77777777" w:rsidR="005C79F5" w:rsidRPr="00C71A32" w:rsidRDefault="005C79F5" w:rsidP="005C79F5">
      <w:pPr>
        <w:pStyle w:val="SingleTxtG"/>
        <w:rPr>
          <w:i/>
        </w:rPr>
      </w:pPr>
      <w:r w:rsidRPr="00EA784B">
        <w:rPr>
          <w:i/>
        </w:rPr>
        <w:t>k3:  factor</w:t>
      </w:r>
      <w:r w:rsidRPr="00C71A32">
        <w:rPr>
          <w:i/>
        </w:rPr>
        <w:t xml:space="preserve"> function of n, p and 1-α;</w:t>
      </w:r>
    </w:p>
    <w:p w14:paraId="01944A47" w14:textId="77777777" w:rsidR="005C79F5" w:rsidRPr="00C71A32" w:rsidRDefault="005C79F5" w:rsidP="005C79F5">
      <w:pPr>
        <w:pStyle w:val="SingleTxtG"/>
        <w:rPr>
          <w:i/>
        </w:rPr>
      </w:pPr>
      <w:r w:rsidRPr="00C71A32">
        <w:rPr>
          <w:i/>
        </w:rPr>
        <w:t>p: proportion of the population selected for the tolerance interval (99.9999%);</w:t>
      </w:r>
    </w:p>
    <w:p w14:paraId="30F23107" w14:textId="77777777" w:rsidR="005C79F5" w:rsidRPr="00C71A32" w:rsidRDefault="005C79F5" w:rsidP="005C79F5">
      <w:pPr>
        <w:pStyle w:val="SingleTxtG"/>
        <w:rPr>
          <w:i/>
        </w:rPr>
      </w:pPr>
      <w:r w:rsidRPr="00C71A32">
        <w:rPr>
          <w:i/>
        </w:rPr>
        <w:t>1- α: confidence level (95%);</w:t>
      </w:r>
    </w:p>
    <w:p w14:paraId="564FABF7" w14:textId="77777777" w:rsidR="005C79F5" w:rsidRPr="00C71A32" w:rsidRDefault="005C79F5" w:rsidP="005C79F5">
      <w:pPr>
        <w:pStyle w:val="SingleTxtG"/>
        <w:rPr>
          <w:i/>
        </w:rPr>
      </w:pPr>
      <w:r w:rsidRPr="00C71A32">
        <w:rPr>
          <w:i/>
        </w:rPr>
        <w:t>n: sample size.</w:t>
      </w:r>
    </w:p>
    <w:p w14:paraId="49850094" w14:textId="77777777" w:rsidR="005C79F5" w:rsidRPr="00C71A32" w:rsidRDefault="005C79F5" w:rsidP="005C79F5">
      <w:pPr>
        <w:pStyle w:val="SingleTxtG"/>
        <w:rPr>
          <w:i/>
        </w:rPr>
      </w:pPr>
      <w:r w:rsidRPr="00C71A32">
        <w:rPr>
          <w:i/>
        </w:rPr>
        <w:t>The value for k3 dedicated to Normal Distributions shall be taken from the table at end of Step 3.</w:t>
      </w:r>
    </w:p>
    <w:p w14:paraId="0E7407D5" w14:textId="77777777" w:rsidR="005C79F5" w:rsidRPr="00C71A32" w:rsidRDefault="005C79F5" w:rsidP="005C79F5">
      <w:pPr>
        <w:pStyle w:val="SingleTxtG"/>
        <w:rPr>
          <w:i/>
        </w:rPr>
      </w:pPr>
      <w:r w:rsidRPr="00C71A32">
        <w:rPr>
          <w:i/>
        </w:rPr>
        <w:t>Step 3.2: Lower limit of tolerance interval for results following a non-normal distribution</w:t>
      </w:r>
    </w:p>
    <w:p w14:paraId="145D3698" w14:textId="77777777" w:rsidR="005C79F5" w:rsidRPr="00C71A32" w:rsidRDefault="005C79F5" w:rsidP="005C79F5">
      <w:pPr>
        <w:pStyle w:val="SingleTxtG"/>
        <w:rPr>
          <w:i/>
        </w:rPr>
      </w:pPr>
      <w:r w:rsidRPr="00C71A32">
        <w:rPr>
          <w:i/>
        </w:rPr>
        <w:t>The unilateral statistical tolerance interval shall be calculated for a confidence level of 95% and a fraction of population equal to 99.9999%.</w:t>
      </w:r>
    </w:p>
    <w:p w14:paraId="5704323E" w14:textId="77777777" w:rsidR="005C79F5" w:rsidRPr="00C71A32" w:rsidRDefault="005C79F5" w:rsidP="005C79F5">
      <w:pPr>
        <w:pStyle w:val="SingleTxtG"/>
        <w:rPr>
          <w:i/>
        </w:rPr>
      </w:pPr>
      <w:r w:rsidRPr="00C71A32">
        <w:rPr>
          <w:i/>
        </w:rPr>
        <w:t>The lower limit of tolerance is represented by a line of constant survival rate defined by the formula given in previous step 3.1, with factors k3 based and calculated on the properties of a Weibull Distribution.</w:t>
      </w:r>
    </w:p>
    <w:p w14:paraId="57086A3C" w14:textId="77777777" w:rsidR="005C79F5" w:rsidRPr="00C71A32" w:rsidRDefault="005C79F5" w:rsidP="005C79F5">
      <w:pPr>
        <w:pStyle w:val="SingleTxtG"/>
        <w:rPr>
          <w:i/>
        </w:rPr>
      </w:pPr>
      <w:r w:rsidRPr="00C71A32">
        <w:rPr>
          <w:i/>
        </w:rPr>
        <w:t>The value for k3 dedicated to Weibull Distributions shall be taken from the table below at end of Step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5C79F5" w:rsidRPr="00C71A32" w14:paraId="53E99C38" w14:textId="77777777" w:rsidTr="009D1388">
        <w:trPr>
          <w:tblHeader/>
        </w:trPr>
        <w:tc>
          <w:tcPr>
            <w:tcW w:w="7371" w:type="dxa"/>
            <w:gridSpan w:val="3"/>
          </w:tcPr>
          <w:p w14:paraId="78E06758" w14:textId="77777777" w:rsidR="005C79F5" w:rsidRPr="00C71A32" w:rsidRDefault="005C79F5" w:rsidP="005C79F5">
            <w:pPr>
              <w:tabs>
                <w:tab w:val="left" w:pos="2423"/>
              </w:tabs>
              <w:jc w:val="center"/>
              <w:rPr>
                <w:i/>
              </w:rPr>
            </w:pPr>
            <w:r w:rsidRPr="00C71A32">
              <w:rPr>
                <w:b/>
                <w:i/>
                <w:sz w:val="18"/>
                <w:szCs w:val="18"/>
              </w:rPr>
              <w:t>Table for k3</w:t>
            </w:r>
            <w:r w:rsidRPr="00C71A32">
              <w:rPr>
                <w:b/>
                <w:i/>
                <w:sz w:val="18"/>
                <w:szCs w:val="18"/>
              </w:rPr>
              <w:br/>
            </w:r>
            <w:r w:rsidRPr="00C71A32">
              <w:rPr>
                <w:i/>
                <w:sz w:val="18"/>
                <w:szCs w:val="18"/>
              </w:rPr>
              <w:t>p=99.9999% and (1- α)=0.95</w:t>
            </w:r>
          </w:p>
        </w:tc>
      </w:tr>
      <w:tr w:rsidR="005C79F5" w:rsidRPr="00C71A32" w14:paraId="1B12C8FE" w14:textId="77777777" w:rsidTr="009D1388">
        <w:trPr>
          <w:tblHeader/>
        </w:trPr>
        <w:tc>
          <w:tcPr>
            <w:tcW w:w="2468" w:type="dxa"/>
          </w:tcPr>
          <w:p w14:paraId="441AF6EC" w14:textId="77777777" w:rsidR="005C79F5" w:rsidRPr="00C71A32" w:rsidRDefault="005C79F5" w:rsidP="005C79F5">
            <w:pPr>
              <w:pStyle w:val="SingleTxtG"/>
              <w:ind w:left="0" w:right="204"/>
              <w:jc w:val="center"/>
              <w:rPr>
                <w:i/>
              </w:rPr>
            </w:pPr>
            <w:r w:rsidRPr="00C71A32">
              <w:rPr>
                <w:b/>
                <w:i/>
                <w:sz w:val="18"/>
                <w:szCs w:val="18"/>
              </w:rPr>
              <w:t>Sample size</w:t>
            </w:r>
            <w:r w:rsidRPr="00C71A32">
              <w:rPr>
                <w:b/>
                <w:i/>
                <w:sz w:val="18"/>
                <w:szCs w:val="18"/>
              </w:rPr>
              <w:br/>
              <w:t>n</w:t>
            </w:r>
          </w:p>
        </w:tc>
        <w:tc>
          <w:tcPr>
            <w:tcW w:w="2404" w:type="dxa"/>
          </w:tcPr>
          <w:p w14:paraId="597F88C2" w14:textId="77777777" w:rsidR="005C79F5" w:rsidRPr="00C71A32" w:rsidRDefault="005C79F5" w:rsidP="005C79F5">
            <w:pPr>
              <w:pStyle w:val="SingleTxtG"/>
              <w:ind w:left="0" w:right="55"/>
              <w:jc w:val="center"/>
              <w:rPr>
                <w:i/>
              </w:rPr>
            </w:pPr>
            <w:r w:rsidRPr="00C71A32">
              <w:rPr>
                <w:b/>
                <w:i/>
                <w:sz w:val="18"/>
                <w:szCs w:val="18"/>
              </w:rPr>
              <w:t xml:space="preserve">Normal distribution </w:t>
            </w:r>
            <w:r w:rsidRPr="00C71A32">
              <w:rPr>
                <w:b/>
                <w:i/>
                <w:sz w:val="18"/>
                <w:szCs w:val="18"/>
              </w:rPr>
              <w:br/>
              <w:t>k3</w:t>
            </w:r>
          </w:p>
        </w:tc>
        <w:tc>
          <w:tcPr>
            <w:tcW w:w="2499" w:type="dxa"/>
          </w:tcPr>
          <w:p w14:paraId="0CAE7031" w14:textId="77777777" w:rsidR="005C79F5" w:rsidRPr="00C71A32" w:rsidRDefault="005C79F5" w:rsidP="005C79F5">
            <w:pPr>
              <w:pStyle w:val="SingleTxtG"/>
              <w:ind w:left="0" w:right="0"/>
              <w:jc w:val="center"/>
              <w:rPr>
                <w:i/>
              </w:rPr>
            </w:pPr>
            <w:r w:rsidRPr="00C71A32">
              <w:rPr>
                <w:b/>
                <w:i/>
                <w:sz w:val="18"/>
                <w:szCs w:val="18"/>
              </w:rPr>
              <w:t xml:space="preserve">Weibull distribution </w:t>
            </w:r>
            <w:r w:rsidRPr="00C71A32">
              <w:rPr>
                <w:b/>
                <w:i/>
                <w:sz w:val="18"/>
                <w:szCs w:val="18"/>
              </w:rPr>
              <w:br/>
              <w:t>k3</w:t>
            </w:r>
          </w:p>
        </w:tc>
      </w:tr>
      <w:tr w:rsidR="005C79F5" w:rsidRPr="00C71A32" w14:paraId="3552B931" w14:textId="77777777" w:rsidTr="005C79F5">
        <w:tc>
          <w:tcPr>
            <w:tcW w:w="2468" w:type="dxa"/>
          </w:tcPr>
          <w:p w14:paraId="3AB56CCC"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20</w:t>
            </w:r>
          </w:p>
        </w:tc>
        <w:tc>
          <w:tcPr>
            <w:tcW w:w="2404" w:type="dxa"/>
            <w:vAlign w:val="bottom"/>
          </w:tcPr>
          <w:p w14:paraId="5D1BB49C"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6.901</w:t>
            </w:r>
          </w:p>
        </w:tc>
        <w:tc>
          <w:tcPr>
            <w:tcW w:w="2499" w:type="dxa"/>
            <w:vAlign w:val="bottom"/>
          </w:tcPr>
          <w:p w14:paraId="0AECB119"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16.021</w:t>
            </w:r>
          </w:p>
        </w:tc>
      </w:tr>
      <w:tr w:rsidR="005C79F5" w:rsidRPr="00C71A32" w14:paraId="61EDB914" w14:textId="77777777" w:rsidTr="005C79F5">
        <w:tc>
          <w:tcPr>
            <w:tcW w:w="2468" w:type="dxa"/>
          </w:tcPr>
          <w:p w14:paraId="41974D9D"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22</w:t>
            </w:r>
          </w:p>
        </w:tc>
        <w:tc>
          <w:tcPr>
            <w:tcW w:w="2404" w:type="dxa"/>
            <w:vAlign w:val="bottom"/>
          </w:tcPr>
          <w:p w14:paraId="64895E71"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6.765</w:t>
            </w:r>
          </w:p>
        </w:tc>
        <w:tc>
          <w:tcPr>
            <w:tcW w:w="2499" w:type="dxa"/>
            <w:vAlign w:val="bottom"/>
          </w:tcPr>
          <w:p w14:paraId="04F91029"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15.722</w:t>
            </w:r>
          </w:p>
        </w:tc>
      </w:tr>
      <w:tr w:rsidR="005C79F5" w:rsidRPr="00C71A32" w14:paraId="1B94988C" w14:textId="77777777" w:rsidTr="005C79F5">
        <w:tc>
          <w:tcPr>
            <w:tcW w:w="2468" w:type="dxa"/>
          </w:tcPr>
          <w:p w14:paraId="77E21957"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24</w:t>
            </w:r>
          </w:p>
        </w:tc>
        <w:tc>
          <w:tcPr>
            <w:tcW w:w="2404" w:type="dxa"/>
            <w:vAlign w:val="bottom"/>
          </w:tcPr>
          <w:p w14:paraId="37F32015"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6.651</w:t>
            </w:r>
          </w:p>
        </w:tc>
        <w:tc>
          <w:tcPr>
            <w:tcW w:w="2499" w:type="dxa"/>
            <w:vAlign w:val="bottom"/>
          </w:tcPr>
          <w:p w14:paraId="05229AAD"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15.472</w:t>
            </w:r>
          </w:p>
        </w:tc>
      </w:tr>
      <w:tr w:rsidR="005C79F5" w:rsidRPr="00C71A32" w14:paraId="4D84FD16" w14:textId="77777777" w:rsidTr="005C79F5">
        <w:tc>
          <w:tcPr>
            <w:tcW w:w="2468" w:type="dxa"/>
          </w:tcPr>
          <w:p w14:paraId="2EACE117"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26</w:t>
            </w:r>
          </w:p>
        </w:tc>
        <w:tc>
          <w:tcPr>
            <w:tcW w:w="2404" w:type="dxa"/>
            <w:vAlign w:val="bottom"/>
          </w:tcPr>
          <w:p w14:paraId="39440BF8"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6.553</w:t>
            </w:r>
          </w:p>
        </w:tc>
        <w:tc>
          <w:tcPr>
            <w:tcW w:w="2499" w:type="dxa"/>
            <w:vAlign w:val="bottom"/>
          </w:tcPr>
          <w:p w14:paraId="028BF00E"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15.258</w:t>
            </w:r>
          </w:p>
        </w:tc>
      </w:tr>
      <w:tr w:rsidR="005C79F5" w:rsidRPr="00C71A32" w14:paraId="325B6748" w14:textId="77777777" w:rsidTr="005C79F5">
        <w:tc>
          <w:tcPr>
            <w:tcW w:w="2468" w:type="dxa"/>
          </w:tcPr>
          <w:p w14:paraId="01EE1116"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28</w:t>
            </w:r>
          </w:p>
        </w:tc>
        <w:tc>
          <w:tcPr>
            <w:tcW w:w="2404" w:type="dxa"/>
            <w:vAlign w:val="bottom"/>
          </w:tcPr>
          <w:p w14:paraId="2512262D"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6.468</w:t>
            </w:r>
          </w:p>
        </w:tc>
        <w:tc>
          <w:tcPr>
            <w:tcW w:w="2499" w:type="dxa"/>
            <w:vAlign w:val="bottom"/>
          </w:tcPr>
          <w:p w14:paraId="444F5422"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15.072</w:t>
            </w:r>
          </w:p>
        </w:tc>
      </w:tr>
      <w:tr w:rsidR="005C79F5" w:rsidRPr="00C71A32" w14:paraId="592BD903" w14:textId="77777777" w:rsidTr="005C79F5">
        <w:tc>
          <w:tcPr>
            <w:tcW w:w="2468" w:type="dxa"/>
          </w:tcPr>
          <w:p w14:paraId="77960135"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30</w:t>
            </w:r>
          </w:p>
        </w:tc>
        <w:tc>
          <w:tcPr>
            <w:tcW w:w="2404" w:type="dxa"/>
            <w:vAlign w:val="bottom"/>
          </w:tcPr>
          <w:p w14:paraId="50B9361B"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6.393</w:t>
            </w:r>
          </w:p>
        </w:tc>
        <w:tc>
          <w:tcPr>
            <w:tcW w:w="2499" w:type="dxa"/>
            <w:vAlign w:val="bottom"/>
          </w:tcPr>
          <w:p w14:paraId="6C5D7A5B"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14.909</w:t>
            </w:r>
          </w:p>
        </w:tc>
      </w:tr>
      <w:tr w:rsidR="005C79F5" w:rsidRPr="00C71A32" w14:paraId="72810CB1" w14:textId="77777777" w:rsidTr="005C79F5">
        <w:tc>
          <w:tcPr>
            <w:tcW w:w="2468" w:type="dxa"/>
          </w:tcPr>
          <w:p w14:paraId="02312DEC"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35</w:t>
            </w:r>
          </w:p>
        </w:tc>
        <w:tc>
          <w:tcPr>
            <w:tcW w:w="2404" w:type="dxa"/>
            <w:vAlign w:val="bottom"/>
          </w:tcPr>
          <w:p w14:paraId="33BB6471"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6.241</w:t>
            </w:r>
          </w:p>
        </w:tc>
        <w:tc>
          <w:tcPr>
            <w:tcW w:w="2499" w:type="dxa"/>
            <w:vAlign w:val="bottom"/>
          </w:tcPr>
          <w:p w14:paraId="37091540"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14.578</w:t>
            </w:r>
          </w:p>
        </w:tc>
      </w:tr>
      <w:tr w:rsidR="005C79F5" w:rsidRPr="00C71A32" w14:paraId="7FAB95D6" w14:textId="77777777" w:rsidTr="005C79F5">
        <w:tc>
          <w:tcPr>
            <w:tcW w:w="2468" w:type="dxa"/>
          </w:tcPr>
          <w:p w14:paraId="5BD0D756"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40</w:t>
            </w:r>
          </w:p>
        </w:tc>
        <w:tc>
          <w:tcPr>
            <w:tcW w:w="2404" w:type="dxa"/>
            <w:vAlign w:val="bottom"/>
          </w:tcPr>
          <w:p w14:paraId="75E1F3F4"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6.123</w:t>
            </w:r>
          </w:p>
        </w:tc>
        <w:tc>
          <w:tcPr>
            <w:tcW w:w="2499" w:type="dxa"/>
            <w:vAlign w:val="bottom"/>
          </w:tcPr>
          <w:p w14:paraId="7858BF30"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14.321</w:t>
            </w:r>
          </w:p>
        </w:tc>
      </w:tr>
      <w:tr w:rsidR="005C79F5" w:rsidRPr="00C71A32" w14:paraId="0659B476" w14:textId="77777777" w:rsidTr="005C79F5">
        <w:tc>
          <w:tcPr>
            <w:tcW w:w="2468" w:type="dxa"/>
          </w:tcPr>
          <w:p w14:paraId="74A02741"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lastRenderedPageBreak/>
              <w:t>45</w:t>
            </w:r>
          </w:p>
        </w:tc>
        <w:tc>
          <w:tcPr>
            <w:tcW w:w="2404" w:type="dxa"/>
            <w:vAlign w:val="bottom"/>
          </w:tcPr>
          <w:p w14:paraId="3F0ED3D6"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6.028</w:t>
            </w:r>
          </w:p>
        </w:tc>
        <w:tc>
          <w:tcPr>
            <w:tcW w:w="2499" w:type="dxa"/>
            <w:vAlign w:val="bottom"/>
          </w:tcPr>
          <w:p w14:paraId="36E18FE2"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14.116</w:t>
            </w:r>
          </w:p>
        </w:tc>
      </w:tr>
      <w:tr w:rsidR="005C79F5" w:rsidRPr="00C71A32" w14:paraId="1BBAAC64" w14:textId="77777777" w:rsidTr="005C79F5">
        <w:tc>
          <w:tcPr>
            <w:tcW w:w="2468" w:type="dxa"/>
          </w:tcPr>
          <w:p w14:paraId="3A6CC0CD"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50</w:t>
            </w:r>
          </w:p>
        </w:tc>
        <w:tc>
          <w:tcPr>
            <w:tcW w:w="2404" w:type="dxa"/>
            <w:vAlign w:val="bottom"/>
          </w:tcPr>
          <w:p w14:paraId="792D3935"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5.949</w:t>
            </w:r>
          </w:p>
        </w:tc>
        <w:tc>
          <w:tcPr>
            <w:tcW w:w="2499" w:type="dxa"/>
            <w:vAlign w:val="bottom"/>
          </w:tcPr>
          <w:p w14:paraId="56F8A40F"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13.947</w:t>
            </w:r>
          </w:p>
        </w:tc>
      </w:tr>
      <w:tr w:rsidR="005C79F5" w:rsidRPr="00C71A32" w14:paraId="4E2A75AF" w14:textId="77777777" w:rsidTr="005C79F5">
        <w:tc>
          <w:tcPr>
            <w:tcW w:w="2468" w:type="dxa"/>
          </w:tcPr>
          <w:p w14:paraId="6374431B"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60</w:t>
            </w:r>
          </w:p>
        </w:tc>
        <w:tc>
          <w:tcPr>
            <w:tcW w:w="2404" w:type="dxa"/>
            <w:vAlign w:val="bottom"/>
          </w:tcPr>
          <w:p w14:paraId="7E3F4749"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5.827</w:t>
            </w:r>
          </w:p>
        </w:tc>
        <w:tc>
          <w:tcPr>
            <w:tcW w:w="2499" w:type="dxa"/>
            <w:vAlign w:val="bottom"/>
          </w:tcPr>
          <w:p w14:paraId="5C9EAB9C"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13.683</w:t>
            </w:r>
          </w:p>
        </w:tc>
      </w:tr>
      <w:tr w:rsidR="005C79F5" w:rsidRPr="00C71A32" w14:paraId="71076A63" w14:textId="77777777" w:rsidTr="005C79F5">
        <w:tc>
          <w:tcPr>
            <w:tcW w:w="2468" w:type="dxa"/>
          </w:tcPr>
          <w:p w14:paraId="4DF197A2"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70</w:t>
            </w:r>
          </w:p>
        </w:tc>
        <w:tc>
          <w:tcPr>
            <w:tcW w:w="2404" w:type="dxa"/>
            <w:vAlign w:val="bottom"/>
          </w:tcPr>
          <w:p w14:paraId="4853129E"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5.735</w:t>
            </w:r>
          </w:p>
        </w:tc>
        <w:tc>
          <w:tcPr>
            <w:tcW w:w="2499" w:type="dxa"/>
            <w:vAlign w:val="bottom"/>
          </w:tcPr>
          <w:p w14:paraId="35FE1F66"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13.485</w:t>
            </w:r>
          </w:p>
        </w:tc>
      </w:tr>
      <w:tr w:rsidR="005C79F5" w:rsidRPr="00C71A32" w14:paraId="72BCEF93" w14:textId="77777777" w:rsidTr="005C79F5">
        <w:tc>
          <w:tcPr>
            <w:tcW w:w="2468" w:type="dxa"/>
          </w:tcPr>
          <w:p w14:paraId="44894C1B"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80</w:t>
            </w:r>
          </w:p>
        </w:tc>
        <w:tc>
          <w:tcPr>
            <w:tcW w:w="2404" w:type="dxa"/>
            <w:vAlign w:val="bottom"/>
          </w:tcPr>
          <w:p w14:paraId="62397043"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5.662</w:t>
            </w:r>
          </w:p>
        </w:tc>
        <w:tc>
          <w:tcPr>
            <w:tcW w:w="2499" w:type="dxa"/>
            <w:vAlign w:val="bottom"/>
          </w:tcPr>
          <w:p w14:paraId="5094ACFB"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13.329</w:t>
            </w:r>
          </w:p>
        </w:tc>
      </w:tr>
      <w:tr w:rsidR="005C79F5" w:rsidRPr="00C71A32" w14:paraId="15376DA0" w14:textId="77777777" w:rsidTr="005C79F5">
        <w:tc>
          <w:tcPr>
            <w:tcW w:w="2468" w:type="dxa"/>
          </w:tcPr>
          <w:p w14:paraId="553FC4CD"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90</w:t>
            </w:r>
          </w:p>
        </w:tc>
        <w:tc>
          <w:tcPr>
            <w:tcW w:w="2404" w:type="dxa"/>
            <w:vAlign w:val="bottom"/>
          </w:tcPr>
          <w:p w14:paraId="0A6DC39E"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5.603</w:t>
            </w:r>
          </w:p>
        </w:tc>
        <w:tc>
          <w:tcPr>
            <w:tcW w:w="2499" w:type="dxa"/>
            <w:vAlign w:val="bottom"/>
          </w:tcPr>
          <w:p w14:paraId="2FF64164"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13.203</w:t>
            </w:r>
          </w:p>
        </w:tc>
      </w:tr>
      <w:tr w:rsidR="005C79F5" w:rsidRPr="00C71A32" w14:paraId="5A51607F" w14:textId="77777777" w:rsidTr="005C79F5">
        <w:tc>
          <w:tcPr>
            <w:tcW w:w="2468" w:type="dxa"/>
          </w:tcPr>
          <w:p w14:paraId="0A7553DE"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100</w:t>
            </w:r>
          </w:p>
        </w:tc>
        <w:tc>
          <w:tcPr>
            <w:tcW w:w="2404" w:type="dxa"/>
            <w:vAlign w:val="bottom"/>
          </w:tcPr>
          <w:p w14:paraId="521F1CBA"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5.554</w:t>
            </w:r>
          </w:p>
        </w:tc>
        <w:tc>
          <w:tcPr>
            <w:tcW w:w="2499" w:type="dxa"/>
            <w:vAlign w:val="bottom"/>
          </w:tcPr>
          <w:p w14:paraId="0E9DE470"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13.098</w:t>
            </w:r>
          </w:p>
        </w:tc>
      </w:tr>
      <w:tr w:rsidR="005C79F5" w:rsidRPr="00C71A32" w14:paraId="4331ED4C" w14:textId="77777777" w:rsidTr="005C79F5">
        <w:tc>
          <w:tcPr>
            <w:tcW w:w="2468" w:type="dxa"/>
          </w:tcPr>
          <w:p w14:paraId="7EEFD0BC"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150</w:t>
            </w:r>
          </w:p>
        </w:tc>
        <w:tc>
          <w:tcPr>
            <w:tcW w:w="2404" w:type="dxa"/>
            <w:vAlign w:val="bottom"/>
          </w:tcPr>
          <w:p w14:paraId="5127AC04"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5.393</w:t>
            </w:r>
          </w:p>
        </w:tc>
        <w:tc>
          <w:tcPr>
            <w:tcW w:w="2499" w:type="dxa"/>
            <w:vAlign w:val="bottom"/>
          </w:tcPr>
          <w:p w14:paraId="79FEE8B2"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12.754</w:t>
            </w:r>
          </w:p>
        </w:tc>
      </w:tr>
      <w:tr w:rsidR="005C79F5" w:rsidRPr="00C71A32" w14:paraId="598BF1E4" w14:textId="77777777" w:rsidTr="005C79F5">
        <w:tc>
          <w:tcPr>
            <w:tcW w:w="2468" w:type="dxa"/>
          </w:tcPr>
          <w:p w14:paraId="6D696788"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200</w:t>
            </w:r>
          </w:p>
        </w:tc>
        <w:tc>
          <w:tcPr>
            <w:tcW w:w="2404" w:type="dxa"/>
            <w:vAlign w:val="bottom"/>
          </w:tcPr>
          <w:p w14:paraId="7FB5ADF6"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5.300</w:t>
            </w:r>
          </w:p>
        </w:tc>
        <w:tc>
          <w:tcPr>
            <w:tcW w:w="2499" w:type="dxa"/>
            <w:vAlign w:val="bottom"/>
          </w:tcPr>
          <w:p w14:paraId="77DFA363"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12.557</w:t>
            </w:r>
          </w:p>
        </w:tc>
      </w:tr>
      <w:tr w:rsidR="005C79F5" w:rsidRPr="00C71A32" w14:paraId="6E7171B0" w14:textId="77777777" w:rsidTr="005C79F5">
        <w:tc>
          <w:tcPr>
            <w:tcW w:w="2468" w:type="dxa"/>
          </w:tcPr>
          <w:p w14:paraId="68CBAB71"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250</w:t>
            </w:r>
          </w:p>
        </w:tc>
        <w:tc>
          <w:tcPr>
            <w:tcW w:w="2404" w:type="dxa"/>
            <w:vAlign w:val="bottom"/>
          </w:tcPr>
          <w:p w14:paraId="687CF24D"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5.238</w:t>
            </w:r>
          </w:p>
        </w:tc>
        <w:tc>
          <w:tcPr>
            <w:tcW w:w="2499" w:type="dxa"/>
            <w:vAlign w:val="bottom"/>
          </w:tcPr>
          <w:p w14:paraId="1C687587"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12.426</w:t>
            </w:r>
          </w:p>
        </w:tc>
      </w:tr>
      <w:tr w:rsidR="005C79F5" w:rsidRPr="00C71A32" w14:paraId="486DACDF" w14:textId="77777777" w:rsidTr="005C79F5">
        <w:tc>
          <w:tcPr>
            <w:tcW w:w="2468" w:type="dxa"/>
          </w:tcPr>
          <w:p w14:paraId="11236F3E"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300</w:t>
            </w:r>
          </w:p>
        </w:tc>
        <w:tc>
          <w:tcPr>
            <w:tcW w:w="2404" w:type="dxa"/>
            <w:vAlign w:val="bottom"/>
          </w:tcPr>
          <w:p w14:paraId="176F4C35"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5,193</w:t>
            </w:r>
          </w:p>
        </w:tc>
        <w:tc>
          <w:tcPr>
            <w:tcW w:w="2499" w:type="dxa"/>
            <w:vAlign w:val="bottom"/>
          </w:tcPr>
          <w:p w14:paraId="23CB46F3"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12.330</w:t>
            </w:r>
          </w:p>
        </w:tc>
      </w:tr>
      <w:tr w:rsidR="005C79F5" w:rsidRPr="00C71A32" w14:paraId="3751E75C" w14:textId="77777777" w:rsidTr="005C79F5">
        <w:tc>
          <w:tcPr>
            <w:tcW w:w="2468" w:type="dxa"/>
          </w:tcPr>
          <w:p w14:paraId="328DC3A0"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400</w:t>
            </w:r>
          </w:p>
        </w:tc>
        <w:tc>
          <w:tcPr>
            <w:tcW w:w="2404" w:type="dxa"/>
            <w:vAlign w:val="bottom"/>
          </w:tcPr>
          <w:p w14:paraId="03969816"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5.131</w:t>
            </w:r>
          </w:p>
        </w:tc>
        <w:tc>
          <w:tcPr>
            <w:tcW w:w="2499" w:type="dxa"/>
            <w:vAlign w:val="bottom"/>
          </w:tcPr>
          <w:p w14:paraId="435537FE"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12.199</w:t>
            </w:r>
          </w:p>
        </w:tc>
      </w:tr>
      <w:tr w:rsidR="005C79F5" w:rsidRPr="00C71A32" w14:paraId="6E584371" w14:textId="77777777" w:rsidTr="005C79F5">
        <w:tc>
          <w:tcPr>
            <w:tcW w:w="2468" w:type="dxa"/>
          </w:tcPr>
          <w:p w14:paraId="5C259753"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500</w:t>
            </w:r>
          </w:p>
        </w:tc>
        <w:tc>
          <w:tcPr>
            <w:tcW w:w="2404" w:type="dxa"/>
            <w:vAlign w:val="bottom"/>
          </w:tcPr>
          <w:p w14:paraId="292B425D"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5.089</w:t>
            </w:r>
          </w:p>
        </w:tc>
        <w:tc>
          <w:tcPr>
            <w:tcW w:w="2499" w:type="dxa"/>
            <w:vAlign w:val="bottom"/>
          </w:tcPr>
          <w:p w14:paraId="7B9DC33F"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12.111</w:t>
            </w:r>
          </w:p>
        </w:tc>
      </w:tr>
      <w:tr w:rsidR="005C79F5" w:rsidRPr="00C71A32" w14:paraId="4866FBB1" w14:textId="77777777" w:rsidTr="005C79F5">
        <w:tc>
          <w:tcPr>
            <w:tcW w:w="2468" w:type="dxa"/>
          </w:tcPr>
          <w:p w14:paraId="4B20341F"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1000</w:t>
            </w:r>
          </w:p>
        </w:tc>
        <w:tc>
          <w:tcPr>
            <w:tcW w:w="2404" w:type="dxa"/>
            <w:vAlign w:val="bottom"/>
          </w:tcPr>
          <w:p w14:paraId="2D7C5CA9"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4.988</w:t>
            </w:r>
          </w:p>
        </w:tc>
        <w:tc>
          <w:tcPr>
            <w:tcW w:w="2499" w:type="dxa"/>
            <w:vAlign w:val="bottom"/>
          </w:tcPr>
          <w:p w14:paraId="16FB793E"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11.897</w:t>
            </w:r>
          </w:p>
        </w:tc>
      </w:tr>
      <w:tr w:rsidR="005C79F5" w:rsidRPr="00C71A32" w14:paraId="09074881" w14:textId="77777777" w:rsidTr="005C79F5">
        <w:tc>
          <w:tcPr>
            <w:tcW w:w="2468" w:type="dxa"/>
          </w:tcPr>
          <w:p w14:paraId="31D289AC"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w:t>
            </w:r>
          </w:p>
        </w:tc>
        <w:tc>
          <w:tcPr>
            <w:tcW w:w="2404" w:type="dxa"/>
            <w:vAlign w:val="bottom"/>
          </w:tcPr>
          <w:p w14:paraId="74F85330"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4.753</w:t>
            </w:r>
          </w:p>
        </w:tc>
        <w:tc>
          <w:tcPr>
            <w:tcW w:w="2499" w:type="dxa"/>
            <w:vAlign w:val="bottom"/>
          </w:tcPr>
          <w:p w14:paraId="759C521E" w14:textId="77777777" w:rsidR="005C79F5" w:rsidRPr="00C71A32" w:rsidRDefault="005C79F5" w:rsidP="005C79F5">
            <w:pPr>
              <w:suppressAutoHyphens w:val="0"/>
              <w:spacing w:before="40" w:after="80" w:line="200" w:lineRule="atLeast"/>
              <w:ind w:left="113" w:right="113"/>
              <w:jc w:val="center"/>
              <w:rPr>
                <w:i/>
                <w:color w:val="000000"/>
                <w:sz w:val="18"/>
                <w:szCs w:val="18"/>
              </w:rPr>
            </w:pPr>
            <w:r w:rsidRPr="00C71A32">
              <w:rPr>
                <w:i/>
                <w:sz w:val="18"/>
                <w:szCs w:val="18"/>
              </w:rPr>
              <w:t>11.408</w:t>
            </w:r>
          </w:p>
        </w:tc>
      </w:tr>
    </w:tbl>
    <w:p w14:paraId="77753D39" w14:textId="77777777" w:rsidR="005C79F5" w:rsidRPr="00C71A32" w:rsidRDefault="005C79F5" w:rsidP="005C79F5">
      <w:pPr>
        <w:pStyle w:val="SingleTxtG"/>
        <w:spacing w:before="120"/>
        <w:rPr>
          <w:i/>
        </w:rPr>
      </w:pPr>
      <w:r w:rsidRPr="00C71A32">
        <w:rPr>
          <w:b/>
          <w:i/>
        </w:rPr>
        <w:t>NOTE:</w:t>
      </w:r>
      <w:r w:rsidRPr="00C71A32">
        <w:rPr>
          <w:i/>
        </w:rPr>
        <w:t xml:space="preserve"> If sample size is between two values, the closest lower sample size shall be selected.</w:t>
      </w:r>
    </w:p>
    <w:p w14:paraId="67BAB508" w14:textId="77777777" w:rsidR="005C79F5" w:rsidRPr="00C71A32" w:rsidRDefault="005C79F5" w:rsidP="005C79F5">
      <w:pPr>
        <w:pStyle w:val="SingleTxtG"/>
      </w:pPr>
      <w:r w:rsidRPr="00C71A32">
        <w:t xml:space="preserve">(h) </w:t>
      </w:r>
      <w:r w:rsidRPr="00C71A32">
        <w:tab/>
        <w:t>Measures if the acceptance criteria are not met</w:t>
      </w:r>
    </w:p>
    <w:p w14:paraId="00BFE188" w14:textId="77777777" w:rsidR="005C79F5" w:rsidRPr="00C71A32" w:rsidRDefault="005C79F5" w:rsidP="005C79F5">
      <w:pPr>
        <w:pStyle w:val="SingleTxtG"/>
        <w:ind w:left="1701"/>
      </w:pPr>
      <w:r w:rsidRPr="00C71A32">
        <w:t>If a result of the burst test, peeling and corrosion test or adhesion test does not comply with the criteria detailed in the table in paragraph (g), the affected sub-group of over-moulded cylinders shall be segregated by the owner for further investigations and not be filled or made available for transport and use.</w:t>
      </w:r>
    </w:p>
    <w:p w14:paraId="5C3BC7EA" w14:textId="77777777" w:rsidR="005C79F5" w:rsidRPr="00C71A32" w:rsidRDefault="005C79F5" w:rsidP="005C79F5">
      <w:pPr>
        <w:pStyle w:val="SingleTxtG"/>
        <w:ind w:left="1701"/>
      </w:pPr>
      <w:r w:rsidRPr="00C71A32">
        <w:t>In agreement with the competent authority or the Xa-body which issued the design approval, additional tests shall be performed to determine the root cause of the failure.</w:t>
      </w:r>
    </w:p>
    <w:p w14:paraId="7C714DF9" w14:textId="77777777" w:rsidR="005C79F5" w:rsidRPr="00C71A32" w:rsidRDefault="005C79F5" w:rsidP="005C79F5">
      <w:pPr>
        <w:pStyle w:val="SingleTxtG"/>
        <w:ind w:left="1701"/>
      </w:pPr>
      <w:r w:rsidRPr="00C71A32">
        <w:t xml:space="preserve">If the root cause cannot be proved to be limited to the affected sub-group of the owner, the competent authority or the Xa-body shall take measures concerning the whole basic population and potentially other years of production. </w:t>
      </w:r>
    </w:p>
    <w:p w14:paraId="21C93954" w14:textId="77777777" w:rsidR="005C79F5" w:rsidRPr="00C71A32" w:rsidRDefault="005C79F5" w:rsidP="005C79F5">
      <w:pPr>
        <w:pStyle w:val="SingleTxtG"/>
        <w:ind w:left="1701"/>
      </w:pPr>
      <w:r w:rsidRPr="00C71A32">
        <w:t>If the root cause can be proved to be limited to a part of the affected sub-group, not affected parts may be authorized by the competent authority to return to service. It shall be proved that no individual over-moulded cylinder returning to service is affected.</w:t>
      </w:r>
    </w:p>
    <w:p w14:paraId="3FA90656" w14:textId="77777777" w:rsidR="005C79F5" w:rsidRPr="00C71A32" w:rsidRDefault="005C79F5" w:rsidP="005C79F5">
      <w:pPr>
        <w:pStyle w:val="SingleTxtG"/>
      </w:pPr>
      <w:r w:rsidRPr="00C71A32">
        <w:t>(i)</w:t>
      </w:r>
      <w:r w:rsidRPr="00C71A32">
        <w:tab/>
        <w:t>Filling centre</w:t>
      </w:r>
      <w:r w:rsidRPr="00C71A32">
        <w:rPr>
          <w:spacing w:val="-19"/>
        </w:rPr>
        <w:t xml:space="preserve"> </w:t>
      </w:r>
      <w:r w:rsidRPr="00C71A32">
        <w:t>requirements</w:t>
      </w:r>
    </w:p>
    <w:p w14:paraId="5264DB45" w14:textId="77777777" w:rsidR="005C79F5" w:rsidRPr="00C71A32" w:rsidRDefault="005C79F5" w:rsidP="005C79F5">
      <w:pPr>
        <w:pStyle w:val="SingleTxtG"/>
        <w:ind w:left="1701"/>
      </w:pPr>
      <w:r w:rsidRPr="00C71A32">
        <w:t>The owner shall make available to the competent authority documentary evidence that the filling centres:</w:t>
      </w:r>
    </w:p>
    <w:p w14:paraId="023CD198" w14:textId="425A44E8" w:rsidR="005C79F5" w:rsidRPr="00C71A32" w:rsidRDefault="009D1388" w:rsidP="009D1388">
      <w:pPr>
        <w:pStyle w:val="SingleTxtG"/>
        <w:ind w:left="1701"/>
      </w:pPr>
      <w:r>
        <w:rPr>
          <w:i/>
        </w:rPr>
        <w:t>-</w:t>
      </w:r>
      <w:r>
        <w:rPr>
          <w:i/>
        </w:rPr>
        <w:tab/>
      </w:r>
      <w:r w:rsidR="005C79F5" w:rsidRPr="00C71A32">
        <w:t>Comply with the provisions of packing instruction P200 (7) of 4.1.4.1 and that the requirements of the standard on pre-fill inspections referenced in table P200 (11) of 4.1.4.1 are fulfilled and correctly applied;</w:t>
      </w:r>
    </w:p>
    <w:p w14:paraId="72415A6E" w14:textId="51B5613C" w:rsidR="005C79F5" w:rsidRPr="00C71A32" w:rsidRDefault="009D1388" w:rsidP="009D1388">
      <w:pPr>
        <w:pStyle w:val="SingleTxtG"/>
        <w:ind w:left="1701"/>
      </w:pPr>
      <w:r>
        <w:rPr>
          <w:i/>
        </w:rPr>
        <w:lastRenderedPageBreak/>
        <w:t>-</w:t>
      </w:r>
      <w:r>
        <w:rPr>
          <w:i/>
        </w:rPr>
        <w:tab/>
      </w:r>
      <w:r w:rsidR="005C79F5" w:rsidRPr="00C71A32">
        <w:t>Have the appropriate means to identify over-moulded cylinders through the electronic identification device;</w:t>
      </w:r>
    </w:p>
    <w:p w14:paraId="5037203A" w14:textId="6D60B660" w:rsidR="005C79F5" w:rsidRPr="00C71A32" w:rsidRDefault="009D1388" w:rsidP="009D1388">
      <w:pPr>
        <w:pStyle w:val="SingleTxtG"/>
        <w:ind w:left="1701"/>
      </w:pPr>
      <w:r>
        <w:rPr>
          <w:i/>
        </w:rPr>
        <w:t>-</w:t>
      </w:r>
      <w:r>
        <w:rPr>
          <w:i/>
        </w:rPr>
        <w:tab/>
      </w:r>
      <w:r w:rsidR="005C79F5" w:rsidRPr="00C71A32">
        <w:t>Have access to the database as defined in (d);</w:t>
      </w:r>
    </w:p>
    <w:p w14:paraId="6DDC41FC" w14:textId="79ABC9CC" w:rsidR="005C79F5" w:rsidRPr="00C71A32" w:rsidRDefault="009D1388" w:rsidP="009D1388">
      <w:pPr>
        <w:pStyle w:val="SingleTxtG"/>
        <w:ind w:left="1701"/>
      </w:pPr>
      <w:r>
        <w:rPr>
          <w:i/>
        </w:rPr>
        <w:t>-</w:t>
      </w:r>
      <w:r>
        <w:rPr>
          <w:i/>
        </w:rPr>
        <w:tab/>
      </w:r>
      <w:r w:rsidR="005C79F5" w:rsidRPr="00C71A32">
        <w:t>Have the capacity to update the database;</w:t>
      </w:r>
    </w:p>
    <w:p w14:paraId="35DC567C" w14:textId="6CCC1B43" w:rsidR="005C79F5" w:rsidRPr="00C71A32" w:rsidRDefault="009D1388" w:rsidP="009D1388">
      <w:pPr>
        <w:pStyle w:val="SingleTxtG"/>
        <w:ind w:left="1701"/>
      </w:pPr>
      <w:r>
        <w:rPr>
          <w:i/>
        </w:rPr>
        <w:t>-</w:t>
      </w:r>
      <w:r>
        <w:rPr>
          <w:i/>
        </w:rPr>
        <w:tab/>
      </w:r>
      <w:r w:rsidR="005C79F5" w:rsidRPr="00C71A32">
        <w:t>Apply a quality system, according to the standard ISO 9000 (series) or equivalent, certified by an accredited independent body recognized by the competent authority.</w:t>
      </w:r>
      <w:r w:rsidR="005C79F5">
        <w:t>”.</w:t>
      </w:r>
    </w:p>
    <w:p w14:paraId="62D55FE3" w14:textId="6505F4B1" w:rsidR="005C79F5" w:rsidRPr="00960236" w:rsidRDefault="005C79F5" w:rsidP="00915707">
      <w:pPr>
        <w:pStyle w:val="SingleTxtG"/>
        <w:rPr>
          <w:rStyle w:val="H1GChar"/>
          <w:b w:val="0"/>
          <w:i/>
          <w:iCs/>
          <w:sz w:val="20"/>
        </w:rPr>
      </w:pPr>
      <w:r w:rsidRPr="00AF6025">
        <w:rPr>
          <w:i/>
          <w:iCs/>
        </w:rPr>
        <w:t xml:space="preserve">(Reference document: </w:t>
      </w:r>
      <w:r>
        <w:rPr>
          <w:i/>
          <w:iCs/>
        </w:rPr>
        <w:t>ECE/TRANS/WP.15/AC.1/2017/33 as amended in informal documents INF.55 and INF.56</w:t>
      </w:r>
      <w:r w:rsidRPr="00AF6025">
        <w:rPr>
          <w:i/>
          <w:iCs/>
        </w:rPr>
        <w:t>)</w:t>
      </w:r>
    </w:p>
    <w:p w14:paraId="7FF26715" w14:textId="335229C0" w:rsidR="006F58A0" w:rsidRPr="00960236" w:rsidRDefault="004E407B" w:rsidP="004E407B">
      <w:pPr>
        <w:pStyle w:val="H1G"/>
      </w:pPr>
      <w:r>
        <w:tab/>
      </w:r>
      <w:r>
        <w:tab/>
      </w:r>
      <w:r w:rsidR="006F58A0" w:rsidRPr="00960236">
        <w:t>Chapter 4.1</w:t>
      </w:r>
    </w:p>
    <w:p w14:paraId="1169946E" w14:textId="5AEE411C" w:rsidR="006F58A0" w:rsidRPr="00960236" w:rsidRDefault="006F58A0" w:rsidP="006F58A0">
      <w:pPr>
        <w:pStyle w:val="SingleTxtG"/>
      </w:pPr>
      <w:r w:rsidRPr="00960236">
        <w:t xml:space="preserve">4.1.4.1, packing instruction P200 </w:t>
      </w:r>
      <w:r w:rsidR="003A19CA" w:rsidRPr="00960236">
        <w:tab/>
        <w:t xml:space="preserve">In paragraph </w:t>
      </w:r>
      <w:r w:rsidRPr="00960236">
        <w:t>(10)</w:t>
      </w:r>
      <w:r w:rsidR="003A19CA" w:rsidRPr="00960236">
        <w:t>, in special packing provision</w:t>
      </w:r>
      <w:r w:rsidRPr="00960236">
        <w:t xml:space="preserve"> </w:t>
      </w:r>
      <w:r w:rsidR="00960236">
        <w:t>“</w:t>
      </w:r>
      <w:r w:rsidRPr="00960236">
        <w:t>va</w:t>
      </w:r>
      <w:r w:rsidR="00960236">
        <w:t>”</w:t>
      </w:r>
      <w:r w:rsidRPr="00960236">
        <w:t xml:space="preserve">, </w:t>
      </w:r>
      <w:r w:rsidR="003A19CA" w:rsidRPr="00960236">
        <w:t>a</w:t>
      </w:r>
      <w:r w:rsidRPr="00960236">
        <w:t>dd “or EN ISO 15996:2017” after “EN ISO 15996:2005 + A1:2007” (twice).</w:t>
      </w:r>
    </w:p>
    <w:p w14:paraId="1A7006EC" w14:textId="1FC8C326" w:rsidR="006F58A0" w:rsidRDefault="006F58A0" w:rsidP="006F58A0">
      <w:pPr>
        <w:pStyle w:val="SingleTxtG"/>
        <w:rPr>
          <w:i/>
          <w:iCs/>
        </w:rPr>
      </w:pPr>
      <w:r w:rsidRPr="00960236">
        <w:rPr>
          <w:i/>
          <w:iCs/>
        </w:rPr>
        <w:t>(Reference document: informal document INF.53, proposal 3)</w:t>
      </w:r>
    </w:p>
    <w:p w14:paraId="344390E7" w14:textId="77777777" w:rsidR="0089767C" w:rsidRPr="0089767C" w:rsidRDefault="0089767C" w:rsidP="0089767C">
      <w:pPr>
        <w:pStyle w:val="SingleTxtG"/>
      </w:pPr>
      <w:r w:rsidRPr="0089767C">
        <w:t>4.1.4.1, p</w:t>
      </w:r>
      <w:r w:rsidRPr="0089767C">
        <w:rPr>
          <w:iCs/>
        </w:rPr>
        <w:t>acking instruction</w:t>
      </w:r>
      <w:r w:rsidRPr="0089767C">
        <w:t xml:space="preserve"> P200</w:t>
      </w:r>
      <w:r w:rsidRPr="0089767C">
        <w:tab/>
        <w:t>In paragraph (11), in the Table, in column “Reference”, for “EN 1439” delete “(except 3.5 and Annex G).</w:t>
      </w:r>
    </w:p>
    <w:p w14:paraId="73F35A66" w14:textId="2E253A95" w:rsidR="0089767C" w:rsidRPr="00960236" w:rsidRDefault="0089767C" w:rsidP="006F58A0">
      <w:pPr>
        <w:pStyle w:val="SingleTxtG"/>
        <w:rPr>
          <w:i/>
          <w:iCs/>
        </w:rPr>
      </w:pPr>
      <w:r w:rsidRPr="00AF6025">
        <w:rPr>
          <w:i/>
          <w:iCs/>
        </w:rPr>
        <w:t xml:space="preserve">(Reference document: </w:t>
      </w:r>
      <w:r>
        <w:rPr>
          <w:i/>
          <w:iCs/>
        </w:rPr>
        <w:t>ECE/TRANS/WP.15/AC.1/2017/33 as amended in informal documents INF.55 and INF.56</w:t>
      </w:r>
      <w:r w:rsidRPr="00AF6025">
        <w:rPr>
          <w:i/>
          <w:iCs/>
        </w:rPr>
        <w:t>)</w:t>
      </w:r>
    </w:p>
    <w:p w14:paraId="56C63FBC" w14:textId="77777777" w:rsidR="006F58A0" w:rsidRPr="00960236" w:rsidRDefault="006F58A0" w:rsidP="006F58A0">
      <w:pPr>
        <w:pStyle w:val="SingleTxtG"/>
      </w:pPr>
      <w:r w:rsidRPr="00960236">
        <w:t>4.1.6.15</w:t>
      </w:r>
      <w:r w:rsidRPr="00960236">
        <w:tab/>
        <w:t>In the table, for “4.1.6.8 Valves with inherent protection”, add the following new row:</w:t>
      </w:r>
    </w:p>
    <w:tbl>
      <w:tblPr>
        <w:tblW w:w="7371" w:type="dxa"/>
        <w:tblInd w:w="119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33"/>
        <w:gridCol w:w="2069"/>
        <w:gridCol w:w="3969"/>
      </w:tblGrid>
      <w:tr w:rsidR="006F58A0" w:rsidRPr="00960236" w14:paraId="7BC2875D" w14:textId="77777777" w:rsidTr="000D4245">
        <w:trPr>
          <w:trHeight w:val="227"/>
        </w:trPr>
        <w:tc>
          <w:tcPr>
            <w:tcW w:w="1333" w:type="dxa"/>
            <w:shd w:val="clear" w:color="auto" w:fill="auto"/>
            <w:vAlign w:val="center"/>
          </w:tcPr>
          <w:p w14:paraId="0E87EB63" w14:textId="77777777" w:rsidR="006F58A0" w:rsidRPr="00960236" w:rsidRDefault="006F58A0" w:rsidP="000D4245">
            <w:pPr>
              <w:keepNext/>
              <w:ind w:hanging="22"/>
            </w:pPr>
            <w:r w:rsidRPr="00960236">
              <w:t>4.1.6.8 Valves with inherent protection</w:t>
            </w:r>
          </w:p>
        </w:tc>
        <w:tc>
          <w:tcPr>
            <w:tcW w:w="2069" w:type="dxa"/>
            <w:shd w:val="clear" w:color="auto" w:fill="auto"/>
            <w:vAlign w:val="center"/>
          </w:tcPr>
          <w:p w14:paraId="0F5DF183" w14:textId="77777777" w:rsidR="006F58A0" w:rsidRPr="00960236" w:rsidRDefault="006F58A0" w:rsidP="000D4245">
            <w:pPr>
              <w:keepNext/>
              <w:ind w:hanging="22"/>
            </w:pPr>
            <w:r w:rsidRPr="00960236">
              <w:t>EN ISO 17879:2017</w:t>
            </w:r>
          </w:p>
        </w:tc>
        <w:tc>
          <w:tcPr>
            <w:tcW w:w="3969" w:type="dxa"/>
            <w:shd w:val="clear" w:color="auto" w:fill="auto"/>
            <w:vAlign w:val="center"/>
          </w:tcPr>
          <w:p w14:paraId="2206D914" w14:textId="77777777" w:rsidR="006F58A0" w:rsidRPr="00960236" w:rsidRDefault="006F58A0" w:rsidP="000D4245">
            <w:pPr>
              <w:spacing w:line="240" w:lineRule="auto"/>
            </w:pPr>
            <w:r w:rsidRPr="00960236">
              <w:t>Gas cylinders - Self-closing cylinder valves - Specification and type testing</w:t>
            </w:r>
          </w:p>
        </w:tc>
      </w:tr>
    </w:tbl>
    <w:p w14:paraId="70CFF657" w14:textId="77777777" w:rsidR="006F58A0" w:rsidRPr="00960236" w:rsidRDefault="006F58A0" w:rsidP="006F58A0">
      <w:pPr>
        <w:pStyle w:val="SingleTxtG"/>
        <w:rPr>
          <w:i/>
          <w:iCs/>
        </w:rPr>
      </w:pPr>
      <w:r w:rsidRPr="00960236">
        <w:rPr>
          <w:i/>
          <w:iCs/>
        </w:rPr>
        <w:t>(Reference document: informal document INF.53, proposal 4)</w:t>
      </w:r>
    </w:p>
    <w:p w14:paraId="752A55AC" w14:textId="0CFBE51F" w:rsidR="00915707" w:rsidRPr="004E407B" w:rsidRDefault="004E407B" w:rsidP="004E407B">
      <w:pPr>
        <w:pStyle w:val="H1G"/>
      </w:pPr>
      <w:r>
        <w:tab/>
      </w:r>
      <w:r>
        <w:tab/>
      </w:r>
      <w:r w:rsidR="00915707" w:rsidRPr="004E407B">
        <w:t>Chapter 4.3</w:t>
      </w:r>
    </w:p>
    <w:p w14:paraId="7425A13D" w14:textId="77777777" w:rsidR="00915707" w:rsidRPr="00960236" w:rsidRDefault="00915707" w:rsidP="00915707">
      <w:pPr>
        <w:pStyle w:val="SingleTxtG"/>
      </w:pPr>
      <w:r w:rsidRPr="00960236">
        <w:t>4.3.5</w:t>
      </w:r>
      <w:r w:rsidRPr="00960236">
        <w:tab/>
        <w:t>Add the following new special provision TU43:</w:t>
      </w:r>
    </w:p>
    <w:p w14:paraId="62A7A7CE" w14:textId="1F374E42" w:rsidR="00915707" w:rsidRPr="00960236" w:rsidRDefault="00915707" w:rsidP="00960236">
      <w:pPr>
        <w:pStyle w:val="SingleTxtG"/>
      </w:pPr>
      <w:r w:rsidRPr="00960236">
        <w:t>“TU43</w:t>
      </w:r>
      <w:r w:rsidRPr="00960236">
        <w:tab/>
      </w:r>
      <w:r w:rsidR="00960236">
        <w:tab/>
      </w:r>
      <w:r w:rsidR="0036635D">
        <w:t xml:space="preserve">An empty uncleaned tank </w:t>
      </w:r>
      <w:r w:rsidRPr="00960236">
        <w:t>may be offered for carriage after the date of expiry of the last inspection of the lining for a period not to exceed three months beyond this date for the purposes of performing the next inspection of the lining prior to refilling (see special provision TT2 in 6.8.4 (d)).”.</w:t>
      </w:r>
    </w:p>
    <w:p w14:paraId="54DD7369" w14:textId="77777777" w:rsidR="00915707" w:rsidRPr="00960236" w:rsidRDefault="00915707" w:rsidP="00915707">
      <w:pPr>
        <w:pStyle w:val="SingleTxtG"/>
        <w:rPr>
          <w:i/>
          <w:iCs/>
        </w:rPr>
      </w:pPr>
      <w:r w:rsidRPr="00960236">
        <w:rPr>
          <w:i/>
          <w:iCs/>
        </w:rPr>
        <w:t>(Reference document: informal document INF.46, proposal 1)</w:t>
      </w:r>
    </w:p>
    <w:p w14:paraId="4EA15A5C" w14:textId="5620CDCD" w:rsidR="006F58A0" w:rsidRPr="004E407B" w:rsidRDefault="004E407B" w:rsidP="004E407B">
      <w:pPr>
        <w:pStyle w:val="H1G"/>
      </w:pPr>
      <w:r>
        <w:tab/>
      </w:r>
      <w:r>
        <w:tab/>
      </w:r>
      <w:r w:rsidR="006F58A0" w:rsidRPr="004E407B">
        <w:t>Chapter 5.2</w:t>
      </w:r>
    </w:p>
    <w:p w14:paraId="1F1465BF" w14:textId="40F7B508" w:rsidR="006F58A0" w:rsidRPr="00960236" w:rsidRDefault="006F58A0" w:rsidP="006F58A0">
      <w:pPr>
        <w:pStyle w:val="SingleTxtG"/>
        <w:rPr>
          <w:rStyle w:val="H1GChar"/>
          <w:b w:val="0"/>
          <w:sz w:val="20"/>
        </w:rPr>
      </w:pPr>
      <w:r w:rsidRPr="00960236">
        <w:rPr>
          <w:rStyle w:val="H1GChar"/>
          <w:b w:val="0"/>
          <w:sz w:val="20"/>
        </w:rPr>
        <w:t>[5.2.2.2.1.1.2</w:t>
      </w:r>
      <w:r w:rsidRPr="00960236">
        <w:rPr>
          <w:rStyle w:val="H1GChar"/>
          <w:b w:val="0"/>
          <w:sz w:val="20"/>
        </w:rPr>
        <w:tab/>
      </w:r>
      <w:r w:rsidR="00960236">
        <w:rPr>
          <w:rStyle w:val="H1GChar"/>
          <w:b w:val="0"/>
          <w:sz w:val="20"/>
        </w:rPr>
        <w:tab/>
      </w:r>
      <w:r w:rsidRPr="00960236">
        <w:rPr>
          <w:rStyle w:val="H1GChar"/>
          <w:b w:val="0"/>
          <w:sz w:val="20"/>
        </w:rPr>
        <w:t>Replace the second and third sentences by “The minimum dimensions shall be 100 mm x 100 mm. There shall be a line inside the edge forming the diamond which shall be parallel and approximately 5 mm from the outside of that line to the edge of the label.”.]</w:t>
      </w:r>
    </w:p>
    <w:p w14:paraId="6C90208F" w14:textId="77777777" w:rsidR="006F58A0" w:rsidRPr="00960236" w:rsidRDefault="006F58A0" w:rsidP="006F58A0">
      <w:pPr>
        <w:pStyle w:val="SingleTxtG"/>
        <w:rPr>
          <w:rStyle w:val="H1GChar"/>
          <w:b w:val="0"/>
          <w:i/>
          <w:iCs/>
          <w:sz w:val="20"/>
        </w:rPr>
      </w:pPr>
      <w:r w:rsidRPr="00960236">
        <w:rPr>
          <w:rStyle w:val="H1GChar"/>
          <w:b w:val="0"/>
          <w:i/>
          <w:iCs/>
          <w:sz w:val="20"/>
        </w:rPr>
        <w:t>(Reference document: informal document INF.57)</w:t>
      </w:r>
    </w:p>
    <w:p w14:paraId="703DF56C" w14:textId="0789F274" w:rsidR="006F58A0" w:rsidRPr="004E407B" w:rsidRDefault="004E407B" w:rsidP="004E407B">
      <w:pPr>
        <w:pStyle w:val="H1G"/>
      </w:pPr>
      <w:r>
        <w:lastRenderedPageBreak/>
        <w:tab/>
      </w:r>
      <w:r>
        <w:tab/>
      </w:r>
      <w:r w:rsidR="006F58A0" w:rsidRPr="004E407B">
        <w:t>Chapter 5.3</w:t>
      </w:r>
    </w:p>
    <w:p w14:paraId="13FD2A98" w14:textId="77777777" w:rsidR="006F58A0" w:rsidRPr="00960236" w:rsidRDefault="006F58A0" w:rsidP="006F58A0">
      <w:pPr>
        <w:pStyle w:val="SingleTxtG"/>
      </w:pPr>
      <w:r w:rsidRPr="00960236">
        <w:t>5.3.1.1.1</w:t>
      </w:r>
      <w:r w:rsidRPr="00960236">
        <w:tab/>
        <w:t>At the end, add: “The placards shall be weather-resistant and shall ensure durable marking throughout the entire journey.”.</w:t>
      </w:r>
    </w:p>
    <w:p w14:paraId="7257D485" w14:textId="77777777" w:rsidR="006F58A0" w:rsidRPr="00960236" w:rsidRDefault="006F58A0" w:rsidP="006F58A0">
      <w:pPr>
        <w:pStyle w:val="SingleTxtG"/>
        <w:rPr>
          <w:i/>
        </w:rPr>
      </w:pPr>
      <w:r w:rsidRPr="00960236">
        <w:rPr>
          <w:i/>
        </w:rPr>
        <w:t>(Reference document: informal document INF.31, proposal 1)</w:t>
      </w:r>
    </w:p>
    <w:p w14:paraId="2E80E136" w14:textId="77777777" w:rsidR="006F58A0" w:rsidRPr="00960236" w:rsidRDefault="006F58A0" w:rsidP="006F58A0">
      <w:pPr>
        <w:pStyle w:val="SingleTxtG"/>
      </w:pPr>
      <w:r w:rsidRPr="00960236">
        <w:t>5.3.3</w:t>
      </w:r>
      <w:r w:rsidRPr="00960236">
        <w:tab/>
      </w:r>
      <w:r w:rsidRPr="00960236">
        <w:tab/>
        <w:t>Add the following sentence at the end of the second paragraph: “The mark shall be weather-resistant and shall ensure durable marking throughout the entire journey.”.</w:t>
      </w:r>
    </w:p>
    <w:p w14:paraId="214CA7DD" w14:textId="77777777" w:rsidR="006F58A0" w:rsidRPr="00960236" w:rsidRDefault="006F58A0" w:rsidP="006F58A0">
      <w:pPr>
        <w:pStyle w:val="SingleTxtG"/>
        <w:rPr>
          <w:i/>
        </w:rPr>
      </w:pPr>
      <w:r w:rsidRPr="00960236">
        <w:rPr>
          <w:i/>
        </w:rPr>
        <w:t>(Reference document: informal document INF.31 proposal 2, as amended in INF.31/Rev1)</w:t>
      </w:r>
    </w:p>
    <w:p w14:paraId="14D09B8F" w14:textId="77777777" w:rsidR="006F58A0" w:rsidRPr="00960236" w:rsidRDefault="006F58A0" w:rsidP="006F58A0">
      <w:pPr>
        <w:pStyle w:val="SingleTxtG"/>
        <w:rPr>
          <w:rFonts w:eastAsia="SimSun"/>
        </w:rPr>
      </w:pPr>
      <w:r w:rsidRPr="00960236">
        <w:rPr>
          <w:rFonts w:eastAsia="SimSun"/>
        </w:rPr>
        <w:t>5.3.6.1</w:t>
      </w:r>
      <w:r w:rsidRPr="00960236">
        <w:rPr>
          <w:rFonts w:eastAsia="SimSun"/>
        </w:rPr>
        <w:tab/>
      </w:r>
      <w:r w:rsidRPr="00960236">
        <w:rPr>
          <w:rFonts w:eastAsia="SimSun"/>
        </w:rPr>
        <w:tab/>
        <w:t>Add the following new sentence at the end: “This does not apply to the exceptions listed in 5.2.1.8.1”.</w:t>
      </w:r>
    </w:p>
    <w:p w14:paraId="21EC815C" w14:textId="77777777" w:rsidR="006F58A0" w:rsidRPr="00960236" w:rsidRDefault="006F58A0" w:rsidP="006F58A0">
      <w:pPr>
        <w:pStyle w:val="SingleTxtG"/>
        <w:rPr>
          <w:rStyle w:val="H1GChar"/>
          <w:b w:val="0"/>
          <w:i/>
          <w:iCs/>
          <w:sz w:val="20"/>
        </w:rPr>
      </w:pPr>
      <w:r w:rsidRPr="00960236">
        <w:rPr>
          <w:rStyle w:val="H1GChar"/>
          <w:b w:val="0"/>
          <w:i/>
          <w:iCs/>
          <w:sz w:val="20"/>
        </w:rPr>
        <w:t>(Reference document: ECE/TRANS/WP.15/AC.1/2017/30)</w:t>
      </w:r>
    </w:p>
    <w:p w14:paraId="092B7A0C" w14:textId="28618354" w:rsidR="006F58A0" w:rsidRPr="004E407B" w:rsidRDefault="004E407B" w:rsidP="004E407B">
      <w:pPr>
        <w:pStyle w:val="H1G"/>
        <w:rPr>
          <w:rStyle w:val="H1GChar"/>
          <w:b/>
        </w:rPr>
      </w:pPr>
      <w:r>
        <w:rPr>
          <w:rStyle w:val="H1GChar"/>
          <w:b/>
        </w:rPr>
        <w:tab/>
      </w:r>
      <w:r>
        <w:rPr>
          <w:rStyle w:val="H1GChar"/>
          <w:b/>
        </w:rPr>
        <w:tab/>
      </w:r>
      <w:r w:rsidR="006F58A0" w:rsidRPr="004E407B">
        <w:rPr>
          <w:rStyle w:val="H1GChar"/>
          <w:b/>
        </w:rPr>
        <w:t>Chapter 6.1</w:t>
      </w:r>
    </w:p>
    <w:p w14:paraId="63F5C6BE" w14:textId="77777777" w:rsidR="006F58A0" w:rsidRPr="00960236" w:rsidRDefault="006F58A0" w:rsidP="006F58A0">
      <w:pPr>
        <w:pStyle w:val="SingleTxtG"/>
      </w:pPr>
      <w:r w:rsidRPr="00960236">
        <w:rPr>
          <w:rStyle w:val="SingleTxtGZchnZchn"/>
        </w:rPr>
        <w:t>6.1.1.1 (b)</w:t>
      </w:r>
      <w:r w:rsidRPr="00960236">
        <w:rPr>
          <w:rStyle w:val="SingleTxtGZchnZchn"/>
        </w:rPr>
        <w:tab/>
      </w:r>
      <w:r w:rsidRPr="00960236">
        <w:t>Replace “</w:t>
      </w:r>
      <w:r w:rsidRPr="00960236">
        <w:rPr>
          <w:rFonts w:eastAsia="TimesNewRomanPSMT"/>
          <w:spacing w:val="4"/>
          <w:w w:val="103"/>
        </w:rPr>
        <w:t>(see Chapter 6.3, Note and packing instruction P621 of 4.1.4.1)</w:t>
      </w:r>
      <w:r w:rsidRPr="00960236">
        <w:t>” by “(see Note under the heading of Chapter 6.3 and packing instruction P621 of 4.1.4.1)”.</w:t>
      </w:r>
    </w:p>
    <w:p w14:paraId="66D6638D" w14:textId="77777777" w:rsidR="006F58A0" w:rsidRPr="00960236" w:rsidRDefault="006F58A0" w:rsidP="006F58A0">
      <w:pPr>
        <w:pStyle w:val="SingleTxtG"/>
        <w:rPr>
          <w:i/>
          <w:iCs/>
        </w:rPr>
      </w:pPr>
      <w:r w:rsidRPr="00960236">
        <w:rPr>
          <w:i/>
          <w:iCs/>
        </w:rPr>
        <w:t xml:space="preserve">(Reference document: </w:t>
      </w:r>
      <w:r w:rsidRPr="00960236">
        <w:rPr>
          <w:rStyle w:val="H1GChar"/>
          <w:b w:val="0"/>
          <w:i/>
          <w:iCs/>
          <w:sz w:val="20"/>
        </w:rPr>
        <w:t>ECE/TRANS/WP.15/AC.1/2017/43, as amended)</w:t>
      </w:r>
    </w:p>
    <w:p w14:paraId="49B61414" w14:textId="21C4DD66" w:rsidR="006F58A0" w:rsidRPr="004E407B" w:rsidRDefault="004E407B" w:rsidP="004E407B">
      <w:pPr>
        <w:pStyle w:val="H1G"/>
      </w:pPr>
      <w:r>
        <w:tab/>
      </w:r>
      <w:r>
        <w:tab/>
      </w:r>
      <w:r w:rsidR="006F58A0" w:rsidRPr="004E407B">
        <w:t>Chapter 6.2</w:t>
      </w:r>
    </w:p>
    <w:p w14:paraId="3F80068D" w14:textId="77777777" w:rsidR="00A03AE8" w:rsidRPr="00C71A32" w:rsidRDefault="00A03AE8" w:rsidP="00A03AE8">
      <w:pPr>
        <w:spacing w:after="120"/>
        <w:ind w:left="1134" w:right="1134"/>
        <w:jc w:val="both"/>
      </w:pPr>
      <w:r w:rsidRPr="00C71A32">
        <w:t>Add a new 6.2.3.5.3 to read as follows:</w:t>
      </w:r>
    </w:p>
    <w:p w14:paraId="2D881907" w14:textId="77777777" w:rsidR="00A03AE8" w:rsidRPr="00C71A32" w:rsidRDefault="00A03AE8" w:rsidP="00A03AE8">
      <w:pPr>
        <w:pStyle w:val="SingleTxtG"/>
      </w:pPr>
      <w:r w:rsidRPr="00C71A32">
        <w:t>“6.2.3.5.3</w:t>
      </w:r>
      <w:r w:rsidRPr="00C71A32">
        <w:tab/>
      </w:r>
      <w:r w:rsidRPr="00C71A32">
        <w:rPr>
          <w:i/>
        </w:rPr>
        <w:t>General provisions for the substitution of dedicated check(s) for periodic inspection and test required</w:t>
      </w:r>
      <w:r w:rsidRPr="00C71A32">
        <w:rPr>
          <w:i/>
          <w:spacing w:val="6"/>
        </w:rPr>
        <w:t xml:space="preserve"> </w:t>
      </w:r>
      <w:r w:rsidRPr="00C71A32">
        <w:rPr>
          <w:i/>
        </w:rPr>
        <w:t>in 6.2.3.5.1</w:t>
      </w:r>
    </w:p>
    <w:p w14:paraId="5934F829" w14:textId="77777777" w:rsidR="00A03AE8" w:rsidRPr="00C71A32" w:rsidRDefault="00A03AE8" w:rsidP="00A03AE8">
      <w:pPr>
        <w:pStyle w:val="SingleTxtG"/>
        <w:rPr>
          <w:i/>
        </w:rPr>
      </w:pPr>
      <w:r w:rsidRPr="00C71A32">
        <w:t>6.2.3.5.3.1</w:t>
      </w:r>
      <w:r w:rsidRPr="00C71A32">
        <w:tab/>
        <w:t xml:space="preserve">This paragraph only applies to types of pressure receptacles designed and manufactured in accordance with the standards referred to in 6.2.4.1 or a technical code in accordance with 6.2.5, and for which the inherent properties of the design prevent the checks </w:t>
      </w:r>
      <w:r w:rsidRPr="00DE6D0D">
        <w:t xml:space="preserve">(b) </w:t>
      </w:r>
      <w:r w:rsidRPr="00EA784B">
        <w:t>or (d)</w:t>
      </w:r>
      <w:r w:rsidRPr="00C71A32">
        <w:t xml:space="preserve"> for periodic inspection and test required in 6.2.1.6.1 to be applied or the results to be interpreted.</w:t>
      </w:r>
    </w:p>
    <w:p w14:paraId="602115D5" w14:textId="77777777" w:rsidR="00A03AE8" w:rsidRPr="00C71A32" w:rsidRDefault="00A03AE8" w:rsidP="00A03AE8">
      <w:pPr>
        <w:pStyle w:val="SingleTxtG"/>
      </w:pPr>
      <w:r w:rsidRPr="00C71A32">
        <w:t>For such pressure receptacles, these check(s) shall be replaced by alternative method(s) related to the characteristics of the specific design specified under 6.2.3.5.4, and detailed in a special provision of Chapter 3.3 or a standard referenced in 6.2.4.2.</w:t>
      </w:r>
    </w:p>
    <w:p w14:paraId="704F7D85" w14:textId="77777777" w:rsidR="00A03AE8" w:rsidRPr="00C71A32" w:rsidRDefault="00A03AE8" w:rsidP="00A03AE8">
      <w:pPr>
        <w:pStyle w:val="SingleTxtG"/>
      </w:pPr>
      <w:r>
        <w:t>The alternative methods</w:t>
      </w:r>
      <w:r w:rsidRPr="00EA784B">
        <w:t xml:space="preserve"> shall specify which checks and tests according to 6.2.1.6.1 (b) and (d) are to be substituted.</w:t>
      </w:r>
    </w:p>
    <w:p w14:paraId="348F3BCC" w14:textId="77777777" w:rsidR="00A03AE8" w:rsidRPr="00C71A32" w:rsidRDefault="00A03AE8" w:rsidP="00A03AE8">
      <w:pPr>
        <w:pStyle w:val="SingleTxtG"/>
      </w:pPr>
      <w:r w:rsidRPr="00C71A32">
        <w:t xml:space="preserve">The alternative method(s) in combination with the remaining checks according to 6.2.1.6.1 (a) to (e) shall ensure a level of safety at least equivalent to the safety level for pressure receptacles of a similar size and use which are periodically inspected and tested </w:t>
      </w:r>
      <w:r w:rsidRPr="00EA784B">
        <w:t>in compliance</w:t>
      </w:r>
      <w:r w:rsidRPr="00C71A32">
        <w:t xml:space="preserve"> with 6.2.3.5.1.</w:t>
      </w:r>
    </w:p>
    <w:p w14:paraId="75F5CAE9" w14:textId="77777777" w:rsidR="00A03AE8" w:rsidRPr="00C71A32" w:rsidRDefault="00A03AE8" w:rsidP="00A03AE8">
      <w:pPr>
        <w:pStyle w:val="SingleTxtG"/>
      </w:pPr>
      <w:r w:rsidRPr="00C71A32">
        <w:t>The alternative method(s) shall moreover detail all the following elements:</w:t>
      </w:r>
    </w:p>
    <w:p w14:paraId="7176499F" w14:textId="1E51BC43" w:rsidR="00A03AE8" w:rsidRPr="00C71A32" w:rsidRDefault="00A03AE8" w:rsidP="00A03AE8">
      <w:pPr>
        <w:pStyle w:val="SingleTxtG"/>
      </w:pPr>
      <w:r>
        <w:t>-</w:t>
      </w:r>
      <w:r>
        <w:tab/>
      </w:r>
      <w:r w:rsidRPr="00C71A32">
        <w:t>A description of the relevant types of pressure receptacles;</w:t>
      </w:r>
    </w:p>
    <w:p w14:paraId="61F35810" w14:textId="3539D7F6" w:rsidR="00A03AE8" w:rsidRPr="00C71A32" w:rsidRDefault="00A03AE8" w:rsidP="00A03AE8">
      <w:pPr>
        <w:pStyle w:val="SingleTxtG"/>
      </w:pPr>
      <w:r>
        <w:t>-</w:t>
      </w:r>
      <w:r>
        <w:tab/>
      </w:r>
      <w:r w:rsidRPr="00C71A32">
        <w:t>The procedure for the test(s);</w:t>
      </w:r>
    </w:p>
    <w:p w14:paraId="4F864F07" w14:textId="60156B27" w:rsidR="00A03AE8" w:rsidRPr="00C71A32" w:rsidRDefault="00A03AE8" w:rsidP="00A03AE8">
      <w:pPr>
        <w:pStyle w:val="SingleTxtG"/>
      </w:pPr>
      <w:r>
        <w:t>-</w:t>
      </w:r>
      <w:r>
        <w:tab/>
      </w:r>
      <w:r w:rsidRPr="00EA784B">
        <w:t>The specifications</w:t>
      </w:r>
      <w:r w:rsidRPr="00C71A32">
        <w:t xml:space="preserve"> of the acceptance criteria; </w:t>
      </w:r>
    </w:p>
    <w:p w14:paraId="6E92AAFD" w14:textId="78894685" w:rsidR="00A03AE8" w:rsidRPr="00C71A32" w:rsidRDefault="00A03AE8" w:rsidP="00A03AE8">
      <w:pPr>
        <w:pStyle w:val="SingleTxtG"/>
      </w:pPr>
      <w:r>
        <w:t>-</w:t>
      </w:r>
      <w:r>
        <w:tab/>
      </w:r>
      <w:r w:rsidRPr="00C71A32">
        <w:t>A description of the measures to be taken in case of rejection of pressure receptacles.</w:t>
      </w:r>
    </w:p>
    <w:p w14:paraId="0BB697E3" w14:textId="77777777" w:rsidR="00A03AE8" w:rsidRPr="00C71A32" w:rsidRDefault="00A03AE8" w:rsidP="00A03AE8">
      <w:pPr>
        <w:pStyle w:val="SingleTxtG"/>
      </w:pPr>
      <w:r w:rsidRPr="00C71A32">
        <w:t>6.2.3.5.3.2</w:t>
      </w:r>
      <w:r w:rsidRPr="00C71A32">
        <w:tab/>
        <w:t>Non-destructive testing as an alternative method</w:t>
      </w:r>
    </w:p>
    <w:p w14:paraId="76ED8932" w14:textId="77777777" w:rsidR="00A03AE8" w:rsidRPr="00C71A32" w:rsidRDefault="00A03AE8" w:rsidP="00A03AE8">
      <w:pPr>
        <w:pStyle w:val="SingleTxtG"/>
      </w:pPr>
      <w:r w:rsidRPr="00C71A32">
        <w:lastRenderedPageBreak/>
        <w:t xml:space="preserve">The check(s) identified in 6.2.3.5.3.1 shall be </w:t>
      </w:r>
      <w:r w:rsidRPr="00EA784B">
        <w:t>supplemented or replaced</w:t>
      </w:r>
      <w:r w:rsidRPr="00C71A32">
        <w:t xml:space="preserve"> by one (or more) non-destructive test method(s) to be performed on each individual pressure receptacle.</w:t>
      </w:r>
    </w:p>
    <w:p w14:paraId="11B54A0A" w14:textId="77777777" w:rsidR="00A03AE8" w:rsidRPr="00C71A32" w:rsidRDefault="00A03AE8" w:rsidP="00A03AE8">
      <w:pPr>
        <w:pStyle w:val="SingleTxtG"/>
      </w:pPr>
      <w:r w:rsidRPr="00C71A32">
        <w:t>6.2.3.5.3.3</w:t>
      </w:r>
      <w:r w:rsidRPr="00C71A32">
        <w:tab/>
        <w:t>Destructive testing as an alternative</w:t>
      </w:r>
      <w:r w:rsidRPr="00C71A32">
        <w:rPr>
          <w:spacing w:val="-7"/>
        </w:rPr>
        <w:t xml:space="preserve"> </w:t>
      </w:r>
      <w:r w:rsidRPr="00C71A32">
        <w:t>method</w:t>
      </w:r>
    </w:p>
    <w:p w14:paraId="72E6134F" w14:textId="77777777" w:rsidR="00A03AE8" w:rsidRPr="00C71A32" w:rsidRDefault="00A03AE8" w:rsidP="00A03AE8">
      <w:pPr>
        <w:pStyle w:val="SingleTxtG"/>
      </w:pPr>
      <w:r w:rsidRPr="00C71A32">
        <w:t xml:space="preserve">If no non-destructive test method leads to an equivalent level of safety, the check(s) identified in 6.2.3.5.3.1, with exception of the check of the internal conditions mentioned in 6.2.1.6.1 b, shall be supplemented </w:t>
      </w:r>
      <w:r w:rsidRPr="00EA784B">
        <w:t>or replaced</w:t>
      </w:r>
      <w:r w:rsidRPr="00C71A32">
        <w:t xml:space="preserve"> by one (or more) destructive test method(s) in combination with its statistical evaluation.</w:t>
      </w:r>
    </w:p>
    <w:p w14:paraId="7F7FA7F2" w14:textId="77777777" w:rsidR="00A03AE8" w:rsidRPr="00C71A32" w:rsidRDefault="00A03AE8" w:rsidP="00A03AE8">
      <w:pPr>
        <w:pStyle w:val="SingleTxtG"/>
      </w:pPr>
      <w:r w:rsidRPr="00C71A32">
        <w:t>In addition to the elements described above, the detailed method for destructive testing shall document the following elements:</w:t>
      </w:r>
    </w:p>
    <w:p w14:paraId="5F5ADEA1" w14:textId="1A707C64" w:rsidR="00A03AE8" w:rsidRPr="00C71A32" w:rsidRDefault="00A03AE8" w:rsidP="00A03AE8">
      <w:pPr>
        <w:pStyle w:val="SingleTxtG"/>
      </w:pPr>
      <w:r>
        <w:t>-</w:t>
      </w:r>
      <w:r>
        <w:tab/>
      </w:r>
      <w:r w:rsidRPr="00C71A32">
        <w:t>A description of the relevant basic population of pressure receptacles;</w:t>
      </w:r>
    </w:p>
    <w:p w14:paraId="3C1BC019" w14:textId="46BA3664" w:rsidR="00A03AE8" w:rsidRPr="00C71A32" w:rsidRDefault="00A03AE8" w:rsidP="00A03AE8">
      <w:pPr>
        <w:pStyle w:val="SingleTxtG"/>
      </w:pPr>
      <w:r>
        <w:t>-</w:t>
      </w:r>
      <w:r>
        <w:tab/>
      </w:r>
      <w:r w:rsidRPr="00C71A32">
        <w:t>A procedure for the random sampling of individual pressure receptacles to be tested;</w:t>
      </w:r>
    </w:p>
    <w:p w14:paraId="0FA5515B" w14:textId="0C15F98F" w:rsidR="00A03AE8" w:rsidRPr="00C71A32" w:rsidRDefault="00A03AE8" w:rsidP="00A03AE8">
      <w:pPr>
        <w:pStyle w:val="SingleTxtG"/>
      </w:pPr>
      <w:r>
        <w:t>-</w:t>
      </w:r>
      <w:r>
        <w:tab/>
      </w:r>
      <w:r w:rsidRPr="00C71A32">
        <w:t xml:space="preserve">A procedure for the statistical evaluation of the test results including rejection criteria; </w:t>
      </w:r>
    </w:p>
    <w:p w14:paraId="542ED478" w14:textId="50FCBF4B" w:rsidR="00A03AE8" w:rsidRPr="00C71A32" w:rsidRDefault="00A03AE8" w:rsidP="00A03AE8">
      <w:pPr>
        <w:pStyle w:val="SingleTxtG"/>
      </w:pPr>
      <w:r>
        <w:t>-</w:t>
      </w:r>
      <w:r>
        <w:tab/>
      </w:r>
      <w:r w:rsidRPr="00C71A32">
        <w:t xml:space="preserve">A specification for the periodicity of destructive sample tests; </w:t>
      </w:r>
    </w:p>
    <w:p w14:paraId="2399D337" w14:textId="24E0F44F" w:rsidR="00A03AE8" w:rsidRPr="00C71A32" w:rsidRDefault="00A03AE8" w:rsidP="00A03AE8">
      <w:pPr>
        <w:pStyle w:val="SingleTxtG"/>
      </w:pPr>
      <w:r>
        <w:t>-</w:t>
      </w:r>
      <w:r>
        <w:tab/>
      </w:r>
      <w:r w:rsidRPr="00C71A32">
        <w:t>A description of the measures to be taken if acceptance criteria are met but a safety relevant degradation of material properties is observed, which shall be used for the determination of the end of service life;</w:t>
      </w:r>
    </w:p>
    <w:p w14:paraId="3A14DE1F" w14:textId="10DA8586" w:rsidR="00A03AE8" w:rsidRDefault="00A03AE8" w:rsidP="00A03AE8">
      <w:pPr>
        <w:pStyle w:val="SingleTxtG"/>
      </w:pPr>
      <w:r>
        <w:t>-</w:t>
      </w:r>
      <w:r>
        <w:tab/>
      </w:r>
      <w:r w:rsidRPr="00C71A32">
        <w:t>A statistical assessment of the level of safety achieved by the alternative method.”.</w:t>
      </w:r>
    </w:p>
    <w:p w14:paraId="2E97669D" w14:textId="77777777" w:rsidR="00A03AE8" w:rsidRDefault="00A03AE8" w:rsidP="00A03AE8">
      <w:pPr>
        <w:pStyle w:val="SingleTxtG"/>
        <w:rPr>
          <w:i/>
          <w:iCs/>
        </w:rPr>
      </w:pPr>
      <w:r w:rsidRPr="00AF6025">
        <w:rPr>
          <w:i/>
          <w:iCs/>
        </w:rPr>
        <w:t xml:space="preserve">(Reference document: </w:t>
      </w:r>
      <w:r>
        <w:rPr>
          <w:i/>
          <w:iCs/>
        </w:rPr>
        <w:t>ECE/TRANS/WP.15/AC.1/2017/33 as amended in informal documents INF.55 and INF.56</w:t>
      </w:r>
      <w:r w:rsidRPr="00AF6025">
        <w:rPr>
          <w:i/>
          <w:iCs/>
        </w:rPr>
        <w:t>)</w:t>
      </w:r>
    </w:p>
    <w:p w14:paraId="772E9F02" w14:textId="312F5D28" w:rsidR="00F66F00" w:rsidRDefault="00F66F00" w:rsidP="00F66F00">
      <w:pPr>
        <w:pStyle w:val="SingleTxtG"/>
      </w:pPr>
      <w:r>
        <w:t>Add the following new 6.2.3.5.4:</w:t>
      </w:r>
    </w:p>
    <w:p w14:paraId="0115A545" w14:textId="3D2D7C1B" w:rsidR="00F66F00" w:rsidRDefault="00F66F00" w:rsidP="00F66F00">
      <w:pPr>
        <w:pStyle w:val="SingleTxtG"/>
      </w:pPr>
      <w:r w:rsidRPr="00C71A32">
        <w:t xml:space="preserve">“6.2.3.5.4 </w:t>
      </w:r>
      <w:r>
        <w:tab/>
      </w:r>
      <w:r w:rsidRPr="00C71A32">
        <w:t>Over-moulded cylinders subject to 6.2.3.5.3.1 shall be subject to periodic inspection and test in accordance with special provision 674 of Chapter 3.3.”.</w:t>
      </w:r>
    </w:p>
    <w:p w14:paraId="58BA9125" w14:textId="675C03C4" w:rsidR="00F66F00" w:rsidRDefault="00F66F00" w:rsidP="00F66F00">
      <w:pPr>
        <w:pStyle w:val="SingleTxtG"/>
        <w:rPr>
          <w:i/>
          <w:iCs/>
        </w:rPr>
      </w:pPr>
      <w:r w:rsidRPr="00AF6025">
        <w:rPr>
          <w:i/>
          <w:iCs/>
        </w:rPr>
        <w:t xml:space="preserve">(Reference document: </w:t>
      </w:r>
      <w:r>
        <w:rPr>
          <w:i/>
          <w:iCs/>
        </w:rPr>
        <w:t>ECE/TRANS/WP.15/AC.1/2017/33 as amended in informal documents INF.55 and INF.56</w:t>
      </w:r>
      <w:r w:rsidRPr="00AF6025">
        <w:rPr>
          <w:i/>
          <w:iCs/>
        </w:rPr>
        <w:t>)</w:t>
      </w:r>
    </w:p>
    <w:p w14:paraId="692D26C5" w14:textId="19B4225F" w:rsidR="006F58A0" w:rsidRPr="00960236" w:rsidRDefault="006F58A0" w:rsidP="00A03AE8">
      <w:pPr>
        <w:pStyle w:val="SingleTxtG"/>
      </w:pPr>
      <w:r w:rsidRPr="00960236">
        <w:t>6.2.3.6.1</w:t>
      </w:r>
      <w:r w:rsidRPr="00960236">
        <w:tab/>
        <w:t>Amend the first paragraph after the table to read as follows:</w:t>
      </w:r>
    </w:p>
    <w:p w14:paraId="043535CD" w14:textId="48088D55" w:rsidR="006F58A0" w:rsidRPr="00960236" w:rsidRDefault="006F58A0" w:rsidP="006F58A0">
      <w:pPr>
        <w:pStyle w:val="SingleTxtG"/>
      </w:pPr>
      <w:r w:rsidRPr="00960236">
        <w:t xml:space="preserve">“For refillable pressure receptacles, the conformity assessment of valves and other demountable accessories having a direct safety function may be carried out separately from the </w:t>
      </w:r>
      <w:r w:rsidR="0036635D">
        <w:t xml:space="preserve">pressure </w:t>
      </w:r>
      <w:r w:rsidRPr="00960236">
        <w:t>receptacles. For non-refillable pressure receptacles, the conformity assessment of valves and other demountable accessories having a direct safety function shall be carried out together with the assessment of the pressure receptacles.”.</w:t>
      </w:r>
    </w:p>
    <w:p w14:paraId="085DB1F9" w14:textId="77777777" w:rsidR="006F58A0" w:rsidRPr="00960236" w:rsidRDefault="006F58A0" w:rsidP="006F58A0">
      <w:pPr>
        <w:pStyle w:val="SingleTxtG"/>
        <w:rPr>
          <w:i/>
        </w:rPr>
      </w:pPr>
      <w:r w:rsidRPr="00960236">
        <w:rPr>
          <w:i/>
        </w:rPr>
        <w:t>(Reference document: informal document INF.20)</w:t>
      </w:r>
    </w:p>
    <w:p w14:paraId="519C435C" w14:textId="77777777" w:rsidR="0089767C" w:rsidRDefault="0089767C" w:rsidP="0089767C">
      <w:pPr>
        <w:pStyle w:val="SingleTxtG"/>
      </w:pPr>
      <w:r w:rsidRPr="00AF6025">
        <w:t>6.2.4.1</w:t>
      </w:r>
      <w:r>
        <w:tab/>
      </w:r>
      <w:r w:rsidRPr="00AF6025">
        <w:tab/>
        <w:t xml:space="preserve">In the table, under “for </w:t>
      </w:r>
      <w:r>
        <w:t>design and construction</w:t>
      </w:r>
      <w:r w:rsidRPr="00AF6025">
        <w:t xml:space="preserve">”, </w:t>
      </w:r>
      <w:r>
        <w:t xml:space="preserve">for </w:t>
      </w:r>
      <w:r w:rsidRPr="00AF6025">
        <w:t>“</w:t>
      </w:r>
      <w:r>
        <w:t>EN 14140:2014 +AC:2015</w:t>
      </w:r>
      <w:r w:rsidRPr="00AF6025">
        <w:t>”, in column (</w:t>
      </w:r>
      <w:r>
        <w:t>1</w:t>
      </w:r>
      <w:r w:rsidRPr="00AF6025">
        <w:t xml:space="preserve">), </w:t>
      </w:r>
      <w:r>
        <w:t>delete</w:t>
      </w:r>
      <w:r w:rsidRPr="00AF6025">
        <w:t xml:space="preserve"> “</w:t>
      </w:r>
      <w:r>
        <w:t>(except over-moulded cylinders)”.</w:t>
      </w:r>
    </w:p>
    <w:p w14:paraId="72D1080C" w14:textId="77777777" w:rsidR="0089767C" w:rsidRPr="002C676B" w:rsidRDefault="0089767C" w:rsidP="0089767C">
      <w:pPr>
        <w:pStyle w:val="SingleTxtG"/>
        <w:rPr>
          <w:i/>
          <w:iCs/>
        </w:rPr>
      </w:pPr>
      <w:r w:rsidRPr="00AF6025">
        <w:rPr>
          <w:i/>
          <w:iCs/>
        </w:rPr>
        <w:t xml:space="preserve">(Reference document: </w:t>
      </w:r>
      <w:r>
        <w:rPr>
          <w:i/>
          <w:iCs/>
        </w:rPr>
        <w:t>ECE/TRANS/WP.15/AC.1/2017/33 as amended in informal documents INF.55 and INF.56</w:t>
      </w:r>
      <w:r w:rsidRPr="00AF6025">
        <w:rPr>
          <w:i/>
          <w:iCs/>
        </w:rPr>
        <w:t>)</w:t>
      </w:r>
    </w:p>
    <w:p w14:paraId="0D814F4A" w14:textId="4B258EE7" w:rsidR="006F58A0" w:rsidRPr="00960236" w:rsidRDefault="006F58A0" w:rsidP="006F58A0">
      <w:pPr>
        <w:pStyle w:val="SingleTxtG"/>
      </w:pPr>
      <w:r w:rsidRPr="00960236">
        <w:t>6.2.4.1</w:t>
      </w:r>
      <w:r w:rsidRPr="00960236">
        <w:tab/>
      </w:r>
      <w:r w:rsidRPr="00960236">
        <w:tab/>
        <w:t xml:space="preserve">In the table, under “for closures”, for </w:t>
      </w:r>
      <w:r w:rsidR="00DE445A" w:rsidRPr="00960236">
        <w:t>standard</w:t>
      </w:r>
      <w:r w:rsidRPr="00960236">
        <w:t xml:space="preserve"> “EN ISO 17871:2015”, in column (4), replace “Until further notice” by “ Between 1 January 2017 and 31 December 2020”. After </w:t>
      </w:r>
      <w:r w:rsidR="00DE445A" w:rsidRPr="00960236">
        <w:t>standard</w:t>
      </w:r>
      <w:r w:rsidR="00DE445A" w:rsidRPr="00960236" w:rsidDel="00DE445A">
        <w:t xml:space="preserve"> </w:t>
      </w:r>
      <w:r w:rsidRPr="00960236">
        <w:t xml:space="preserve">“EN ISO 17871:2015”, add the following new </w:t>
      </w:r>
      <w:r w:rsidR="00DE445A" w:rsidRPr="00960236">
        <w:t>standard</w:t>
      </w:r>
      <w:r w:rsidRPr="00960236">
        <w:t>:</w:t>
      </w:r>
    </w:p>
    <w:tbl>
      <w:tblPr>
        <w:tblW w:w="7428"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050"/>
      </w:tblGrid>
      <w:tr w:rsidR="006F58A0" w:rsidRPr="00960236" w14:paraId="4E316611" w14:textId="77777777" w:rsidTr="000D4245">
        <w:tc>
          <w:tcPr>
            <w:tcW w:w="1417" w:type="dxa"/>
            <w:shd w:val="clear" w:color="auto" w:fill="auto"/>
            <w:vAlign w:val="center"/>
          </w:tcPr>
          <w:p w14:paraId="34CB7558" w14:textId="77777777" w:rsidR="006F58A0" w:rsidRPr="00960236" w:rsidRDefault="006F58A0" w:rsidP="000D4245">
            <w:pPr>
              <w:keepNext/>
              <w:ind w:hanging="22"/>
            </w:pPr>
            <w:r w:rsidRPr="00960236">
              <w:t>EN ISO 17871:2015 + A1:[2018]</w:t>
            </w:r>
          </w:p>
        </w:tc>
        <w:tc>
          <w:tcPr>
            <w:tcW w:w="3459" w:type="dxa"/>
            <w:shd w:val="clear" w:color="auto" w:fill="auto"/>
            <w:vAlign w:val="center"/>
          </w:tcPr>
          <w:p w14:paraId="7C6171EE" w14:textId="77777777" w:rsidR="006F58A0" w:rsidRPr="00960236" w:rsidRDefault="006F58A0" w:rsidP="000D4245">
            <w:pPr>
              <w:keepNext/>
              <w:ind w:hanging="22"/>
            </w:pPr>
            <w:r w:rsidRPr="00960236">
              <w:t xml:space="preserve">Gas cylinders - Quick-release cylinder valves - Specification and type testing </w:t>
            </w:r>
          </w:p>
        </w:tc>
        <w:tc>
          <w:tcPr>
            <w:tcW w:w="1502" w:type="dxa"/>
            <w:shd w:val="clear" w:color="auto" w:fill="auto"/>
            <w:vAlign w:val="center"/>
          </w:tcPr>
          <w:p w14:paraId="415CA3CF" w14:textId="77777777" w:rsidR="006F58A0" w:rsidRPr="00960236" w:rsidRDefault="006F58A0" w:rsidP="000D4245">
            <w:pPr>
              <w:spacing w:line="240" w:lineRule="auto"/>
            </w:pPr>
            <w:r w:rsidRPr="00960236">
              <w:t>6.2.3.1 , 6.2.3.3 and 6.2.3.4</w:t>
            </w:r>
          </w:p>
        </w:tc>
        <w:tc>
          <w:tcPr>
            <w:tcW w:w="1050" w:type="dxa"/>
            <w:shd w:val="clear" w:color="auto" w:fill="auto"/>
            <w:vAlign w:val="center"/>
          </w:tcPr>
          <w:p w14:paraId="1A0508DA" w14:textId="77777777" w:rsidR="006F58A0" w:rsidRPr="00960236" w:rsidRDefault="006F58A0" w:rsidP="000D4245">
            <w:pPr>
              <w:spacing w:line="240" w:lineRule="auto"/>
            </w:pPr>
            <w:r w:rsidRPr="00960236">
              <w:t>Until further notice</w:t>
            </w:r>
          </w:p>
        </w:tc>
      </w:tr>
    </w:tbl>
    <w:p w14:paraId="58256FF8" w14:textId="77777777" w:rsidR="006F58A0" w:rsidRPr="00960236" w:rsidRDefault="006F58A0" w:rsidP="006F58A0">
      <w:pPr>
        <w:pStyle w:val="SingleTxtG"/>
        <w:rPr>
          <w:i/>
          <w:iCs/>
        </w:rPr>
      </w:pPr>
      <w:r w:rsidRPr="00960236">
        <w:rPr>
          <w:i/>
          <w:iCs/>
        </w:rPr>
        <w:t>(Reference document: informal document INF.53, proposal 1)</w:t>
      </w:r>
    </w:p>
    <w:p w14:paraId="2F45561C" w14:textId="77777777" w:rsidR="006F58A0" w:rsidRPr="00960236" w:rsidRDefault="006F58A0" w:rsidP="006F58A0">
      <w:pPr>
        <w:pStyle w:val="SingleTxtG"/>
      </w:pPr>
      <w:r w:rsidRPr="00960236">
        <w:lastRenderedPageBreak/>
        <w:t>6.2.4.1</w:t>
      </w:r>
      <w:r w:rsidRPr="00960236">
        <w:tab/>
      </w:r>
      <w:r w:rsidRPr="00960236">
        <w:tab/>
        <w:t>In the table, under “for closure”, add the following new row:</w:t>
      </w:r>
    </w:p>
    <w:tbl>
      <w:tblPr>
        <w:tblW w:w="7428"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050"/>
      </w:tblGrid>
      <w:tr w:rsidR="006F58A0" w:rsidRPr="00960236" w14:paraId="62C7DDC6" w14:textId="77777777" w:rsidTr="000D4245">
        <w:tc>
          <w:tcPr>
            <w:tcW w:w="1417" w:type="dxa"/>
            <w:shd w:val="clear" w:color="auto" w:fill="auto"/>
          </w:tcPr>
          <w:p w14:paraId="120541EC" w14:textId="77777777" w:rsidR="006F58A0" w:rsidRPr="00960236" w:rsidRDefault="006F58A0" w:rsidP="000D4245">
            <w:pPr>
              <w:autoSpaceDE w:val="0"/>
              <w:autoSpaceDN w:val="0"/>
              <w:adjustRightInd w:val="0"/>
              <w:spacing w:line="240" w:lineRule="auto"/>
              <w:rPr>
                <w:rFonts w:eastAsia="MS Mincho"/>
                <w:lang w:eastAsia="de-DE"/>
              </w:rPr>
            </w:pPr>
            <w:r w:rsidRPr="00960236">
              <w:rPr>
                <w:rFonts w:eastAsia="MS Mincho"/>
                <w:lang w:eastAsia="de-DE"/>
              </w:rPr>
              <w:t xml:space="preserve">EN ISO </w:t>
            </w:r>
            <w:r w:rsidRPr="00960236">
              <w:t>17879:2017</w:t>
            </w:r>
          </w:p>
        </w:tc>
        <w:tc>
          <w:tcPr>
            <w:tcW w:w="3459" w:type="dxa"/>
            <w:shd w:val="clear" w:color="auto" w:fill="auto"/>
          </w:tcPr>
          <w:p w14:paraId="6EBEB4BA" w14:textId="77777777" w:rsidR="006F58A0" w:rsidRPr="00960236" w:rsidRDefault="006F58A0" w:rsidP="000D4245">
            <w:pPr>
              <w:autoSpaceDE w:val="0"/>
              <w:autoSpaceDN w:val="0"/>
              <w:adjustRightInd w:val="0"/>
              <w:spacing w:line="240" w:lineRule="auto"/>
              <w:rPr>
                <w:spacing w:val="-3"/>
              </w:rPr>
            </w:pPr>
            <w:r w:rsidRPr="00960236">
              <w:t xml:space="preserve"> </w:t>
            </w:r>
            <w:r w:rsidRPr="00960236">
              <w:rPr>
                <w:spacing w:val="-3"/>
              </w:rPr>
              <w:t>Gas cylinders - Self-closing cylinder valves - Specification and type testing</w:t>
            </w:r>
          </w:p>
          <w:p w14:paraId="2528340A" w14:textId="77777777" w:rsidR="006F58A0" w:rsidRPr="00960236" w:rsidRDefault="006F58A0" w:rsidP="000D4245">
            <w:pPr>
              <w:autoSpaceDE w:val="0"/>
              <w:autoSpaceDN w:val="0"/>
              <w:adjustRightInd w:val="0"/>
              <w:spacing w:line="240" w:lineRule="auto"/>
              <w:rPr>
                <w:spacing w:val="-3"/>
              </w:rPr>
            </w:pPr>
          </w:p>
        </w:tc>
        <w:tc>
          <w:tcPr>
            <w:tcW w:w="1502" w:type="dxa"/>
            <w:shd w:val="clear" w:color="auto" w:fill="auto"/>
          </w:tcPr>
          <w:p w14:paraId="12612FD7" w14:textId="77777777" w:rsidR="006F58A0" w:rsidRPr="00960236" w:rsidRDefault="006F58A0" w:rsidP="000D4245">
            <w:pPr>
              <w:spacing w:line="240" w:lineRule="auto"/>
              <w:jc w:val="center"/>
              <w:rPr>
                <w:bCs/>
              </w:rPr>
            </w:pPr>
            <w:r w:rsidRPr="00960236">
              <w:t>6.2.3.1 and 6.2.3.4</w:t>
            </w:r>
            <w:r w:rsidRPr="00960236">
              <w:rPr>
                <w:bCs/>
              </w:rPr>
              <w:t xml:space="preserve"> </w:t>
            </w:r>
          </w:p>
        </w:tc>
        <w:tc>
          <w:tcPr>
            <w:tcW w:w="1050" w:type="dxa"/>
            <w:shd w:val="clear" w:color="auto" w:fill="auto"/>
          </w:tcPr>
          <w:p w14:paraId="3574F42B" w14:textId="77777777" w:rsidR="006F58A0" w:rsidRPr="00960236" w:rsidRDefault="006F58A0" w:rsidP="000D4245">
            <w:pPr>
              <w:spacing w:line="240" w:lineRule="auto"/>
              <w:jc w:val="center"/>
              <w:rPr>
                <w:bCs/>
              </w:rPr>
            </w:pPr>
            <w:r w:rsidRPr="00960236">
              <w:rPr>
                <w:bCs/>
              </w:rPr>
              <w:t>Until further notice</w:t>
            </w:r>
          </w:p>
        </w:tc>
      </w:tr>
    </w:tbl>
    <w:p w14:paraId="2893F210" w14:textId="77777777" w:rsidR="006F58A0" w:rsidRPr="00960236" w:rsidRDefault="006F58A0" w:rsidP="006F58A0">
      <w:pPr>
        <w:pStyle w:val="SingleTxtG"/>
        <w:rPr>
          <w:i/>
          <w:iCs/>
        </w:rPr>
      </w:pPr>
      <w:r w:rsidRPr="00960236">
        <w:rPr>
          <w:i/>
          <w:iCs/>
        </w:rPr>
        <w:t xml:space="preserve"> (Reference document: informal document INF.53, proposal 4)</w:t>
      </w:r>
    </w:p>
    <w:p w14:paraId="4EBA1053" w14:textId="367DF975" w:rsidR="006F58A0" w:rsidRPr="00960236" w:rsidRDefault="006F58A0" w:rsidP="006F58A0">
      <w:pPr>
        <w:pStyle w:val="SingleTxtG"/>
      </w:pPr>
      <w:r w:rsidRPr="00960236">
        <w:t>6.2.4.2</w:t>
      </w:r>
      <w:r w:rsidRPr="00960236">
        <w:tab/>
      </w:r>
      <w:r w:rsidRPr="00960236">
        <w:tab/>
        <w:t xml:space="preserve">In the table, delete the rows for “EN ISO 11623:2002 (except article 4”, “EN 14912:2005” and “EN 1440:2008 + A1:2012 (except annexes G and H)”. For </w:t>
      </w:r>
      <w:r w:rsidR="00DE445A" w:rsidRPr="00960236">
        <w:t>standard</w:t>
      </w:r>
      <w:r w:rsidRPr="00960236">
        <w:t xml:space="preserve"> “EN 1440:2016 (except annex c)”, in column 3), replace “Mandatorily from 1 January 2019” by “Until 31 December 2020”. After </w:t>
      </w:r>
      <w:r w:rsidR="00DE445A" w:rsidRPr="00960236">
        <w:t>standard</w:t>
      </w:r>
      <w:r w:rsidRPr="00960236">
        <w:t xml:space="preserve"> “EN 1440:2016 (except annex C)”, add the following new row:</w:t>
      </w:r>
    </w:p>
    <w:tbl>
      <w:tblPr>
        <w:tblStyle w:val="TableGrid"/>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8"/>
        <w:gridCol w:w="4394"/>
        <w:gridCol w:w="1559"/>
      </w:tblGrid>
      <w:tr w:rsidR="006F58A0" w:rsidRPr="00960236" w14:paraId="3D162651" w14:textId="77777777" w:rsidTr="000D4245">
        <w:tc>
          <w:tcPr>
            <w:tcW w:w="1418" w:type="dxa"/>
          </w:tcPr>
          <w:p w14:paraId="5311290D" w14:textId="27485DD9" w:rsidR="006F58A0" w:rsidRPr="00960236" w:rsidRDefault="000161AE" w:rsidP="000D4245">
            <w:pPr>
              <w:spacing w:before="120" w:line="240" w:lineRule="auto"/>
              <w:jc w:val="center"/>
            </w:pPr>
            <w:r>
              <w:t>EN 1440</w:t>
            </w:r>
            <w:r w:rsidR="006F58A0" w:rsidRPr="00960236">
              <w:t>:</w:t>
            </w:r>
            <w:r w:rsidR="0036635D">
              <w:t xml:space="preserve">2016 +A1 [2018] (except </w:t>
            </w:r>
            <w:r w:rsidR="006F58A0" w:rsidRPr="00960236">
              <w:t>Annex C)</w:t>
            </w:r>
          </w:p>
        </w:tc>
        <w:tc>
          <w:tcPr>
            <w:tcW w:w="4394" w:type="dxa"/>
          </w:tcPr>
          <w:p w14:paraId="5460BCF3" w14:textId="77777777" w:rsidR="006F58A0" w:rsidRPr="00960236" w:rsidRDefault="006F58A0" w:rsidP="000D4245">
            <w:pPr>
              <w:spacing w:before="120" w:line="240" w:lineRule="auto"/>
              <w:jc w:val="center"/>
            </w:pPr>
            <w:r w:rsidRPr="00960236">
              <w:t>LPG equipment and accessories -– Transportable refillable traditional welded and brazed steel Liquefied Petroleum Gas (LPG) cylinders -– Periodic inspection</w:t>
            </w:r>
          </w:p>
        </w:tc>
        <w:tc>
          <w:tcPr>
            <w:tcW w:w="1559" w:type="dxa"/>
            <w:shd w:val="clear" w:color="auto" w:fill="auto"/>
          </w:tcPr>
          <w:p w14:paraId="1E3D9F54" w14:textId="77777777" w:rsidR="006F58A0" w:rsidRPr="00960236" w:rsidRDefault="006F58A0" w:rsidP="000D4245">
            <w:pPr>
              <w:spacing w:before="120" w:line="240" w:lineRule="auto"/>
              <w:jc w:val="center"/>
            </w:pPr>
            <w:r w:rsidRPr="00960236">
              <w:t>Mandatorily from 1 January 2021</w:t>
            </w:r>
          </w:p>
        </w:tc>
      </w:tr>
    </w:tbl>
    <w:p w14:paraId="15C8D23C" w14:textId="04A74819" w:rsidR="006F58A0" w:rsidRPr="00960236" w:rsidRDefault="006F58A0" w:rsidP="00960236">
      <w:pPr>
        <w:pStyle w:val="SingleTxtG"/>
        <w:spacing w:before="120"/>
      </w:pPr>
      <w:r w:rsidRPr="00960236">
        <w:t xml:space="preserve">For </w:t>
      </w:r>
      <w:r w:rsidR="00DE445A" w:rsidRPr="00960236">
        <w:t>standard</w:t>
      </w:r>
      <w:r w:rsidRPr="00960236">
        <w:t xml:space="preserve"> “EN 16728:2016 (except clause 3.5, Annex F and Annex G)”, in column (3), replace “Mandatorily from 1 January 2019” by “Until 31 December 2020”. After </w:t>
      </w:r>
      <w:r w:rsidR="00DE445A" w:rsidRPr="00960236">
        <w:t>standard</w:t>
      </w:r>
      <w:r w:rsidRPr="00960236">
        <w:t xml:space="preserve"> “EN 16728:2016 (except clause 3.5, Annex F and Annex G)” add the following new row:</w:t>
      </w:r>
    </w:p>
    <w:tbl>
      <w:tblPr>
        <w:tblStyle w:val="TableGrid"/>
        <w:tblW w:w="7371" w:type="dxa"/>
        <w:tblInd w:w="1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4394"/>
        <w:gridCol w:w="1559"/>
      </w:tblGrid>
      <w:tr w:rsidR="006F58A0" w:rsidRPr="00960236" w14:paraId="05F8DA89" w14:textId="77777777" w:rsidTr="000D4245">
        <w:tc>
          <w:tcPr>
            <w:tcW w:w="1418" w:type="dxa"/>
            <w:vAlign w:val="center"/>
          </w:tcPr>
          <w:p w14:paraId="54361559" w14:textId="14BDCEFF" w:rsidR="006F58A0" w:rsidRPr="00960236" w:rsidRDefault="0036635D" w:rsidP="0036635D">
            <w:pPr>
              <w:spacing w:line="240" w:lineRule="auto"/>
            </w:pPr>
            <w:r>
              <w:t>EN 16728:2016 +A1:[2018]</w:t>
            </w:r>
          </w:p>
        </w:tc>
        <w:tc>
          <w:tcPr>
            <w:tcW w:w="4394" w:type="dxa"/>
            <w:vAlign w:val="center"/>
          </w:tcPr>
          <w:p w14:paraId="39DDD119" w14:textId="77777777" w:rsidR="006F58A0" w:rsidRPr="00960236" w:rsidRDefault="006F58A0" w:rsidP="000D4245">
            <w:pPr>
              <w:spacing w:line="240" w:lineRule="auto"/>
            </w:pPr>
            <w:r w:rsidRPr="00960236">
              <w:t>LPG equipment and accessories - Transportable refillable LPG cylinders other than traditional welded and brazed steel cylinders - Periodic inspection</w:t>
            </w:r>
          </w:p>
        </w:tc>
        <w:tc>
          <w:tcPr>
            <w:tcW w:w="1559" w:type="dxa"/>
            <w:shd w:val="clear" w:color="auto" w:fill="auto"/>
            <w:vAlign w:val="center"/>
          </w:tcPr>
          <w:p w14:paraId="0DAB76CA" w14:textId="77777777" w:rsidR="006F58A0" w:rsidRPr="00960236" w:rsidRDefault="006F58A0" w:rsidP="000D4245">
            <w:pPr>
              <w:spacing w:line="240" w:lineRule="auto"/>
            </w:pPr>
            <w:r w:rsidRPr="00960236">
              <w:t>Mandatorily from 1 January 2021</w:t>
            </w:r>
          </w:p>
        </w:tc>
      </w:tr>
    </w:tbl>
    <w:p w14:paraId="36E46142" w14:textId="77777777" w:rsidR="006F58A0" w:rsidRPr="00960236" w:rsidRDefault="006F58A0" w:rsidP="006F58A0">
      <w:pPr>
        <w:pStyle w:val="SingleTxtG"/>
        <w:rPr>
          <w:i/>
          <w:iCs/>
        </w:rPr>
      </w:pPr>
      <w:r w:rsidRPr="00960236">
        <w:rPr>
          <w:i/>
          <w:iCs/>
        </w:rPr>
        <w:t>(Reference document: informal document INF.53, proposal 6)</w:t>
      </w:r>
    </w:p>
    <w:p w14:paraId="7273F03F" w14:textId="5D08F156" w:rsidR="00375A94" w:rsidRPr="004E407B" w:rsidRDefault="004E407B" w:rsidP="004E407B">
      <w:pPr>
        <w:pStyle w:val="H1G"/>
      </w:pPr>
      <w:r>
        <w:tab/>
      </w:r>
      <w:r>
        <w:tab/>
      </w:r>
      <w:r w:rsidR="00375A94" w:rsidRPr="004E407B">
        <w:t>Chapter 6.8</w:t>
      </w:r>
    </w:p>
    <w:p w14:paraId="64D4A7D5" w14:textId="200C63F4" w:rsidR="006F58A0" w:rsidRPr="00960236" w:rsidRDefault="006F58A0" w:rsidP="006F58A0">
      <w:pPr>
        <w:pStyle w:val="SingleTxtG"/>
        <w:rPr>
          <w:rStyle w:val="H1GChar"/>
          <w:b w:val="0"/>
          <w:sz w:val="20"/>
        </w:rPr>
      </w:pPr>
      <w:r w:rsidRPr="00960236">
        <w:rPr>
          <w:rStyle w:val="H1GChar"/>
          <w:b w:val="0"/>
          <w:sz w:val="20"/>
        </w:rPr>
        <w:t xml:space="preserve">[6.8.2.1.18 </w:t>
      </w:r>
      <w:r w:rsidRPr="00960236">
        <w:rPr>
          <w:rStyle w:val="H1GChar"/>
          <w:b w:val="0"/>
          <w:sz w:val="20"/>
        </w:rPr>
        <w:tab/>
        <w:t xml:space="preserve">Add the following sentence at the end of footnote </w:t>
      </w:r>
      <w:r w:rsidR="00FB2D54">
        <w:rPr>
          <w:rStyle w:val="H1GChar"/>
          <w:b w:val="0"/>
          <w:sz w:val="20"/>
        </w:rPr>
        <w:t xml:space="preserve">4 / footnote </w:t>
      </w:r>
      <w:r w:rsidRPr="00960236">
        <w:rPr>
          <w:rStyle w:val="H1GChar"/>
          <w:b w:val="0"/>
          <w:sz w:val="20"/>
        </w:rPr>
        <w:t>2: “However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w:t>
      </w:r>
    </w:p>
    <w:p w14:paraId="4D377576" w14:textId="77777777" w:rsidR="006F58A0" w:rsidRPr="00960236" w:rsidRDefault="006F58A0" w:rsidP="006F58A0">
      <w:pPr>
        <w:pStyle w:val="SingleTxtG"/>
        <w:rPr>
          <w:rStyle w:val="H1GChar"/>
          <w:b w:val="0"/>
          <w:i/>
          <w:iCs/>
          <w:sz w:val="20"/>
        </w:rPr>
      </w:pPr>
      <w:r w:rsidRPr="00960236">
        <w:rPr>
          <w:rStyle w:val="H1GChar"/>
          <w:b w:val="0"/>
          <w:i/>
          <w:iCs/>
          <w:sz w:val="20"/>
        </w:rPr>
        <w:t>(Reference document: informal document INF.46, proposal 6)</w:t>
      </w:r>
    </w:p>
    <w:p w14:paraId="63A21CF6" w14:textId="77777777" w:rsidR="00375A94" w:rsidRPr="00960236" w:rsidRDefault="00375A94" w:rsidP="00375A94">
      <w:pPr>
        <w:pStyle w:val="SingleTxtG"/>
      </w:pPr>
      <w:r w:rsidRPr="00960236">
        <w:t>6.8.2.1.23</w:t>
      </w:r>
      <w:r w:rsidRPr="00960236">
        <w:tab/>
        <w:t>In the first sentence of the first paragraph, after “The ability of the manufacturer” add “, or the maintenance or repair shop,</w:t>
      </w:r>
      <w:r w:rsidRPr="00960236">
        <w:rPr>
          <w:i/>
        </w:rPr>
        <w:t xml:space="preserve">” </w:t>
      </w:r>
      <w:r w:rsidRPr="00960236">
        <w:rPr>
          <w:iCs/>
        </w:rPr>
        <w:t>and at the end, delete</w:t>
      </w:r>
      <w:r w:rsidRPr="00960236">
        <w:rPr>
          <w:i/>
        </w:rPr>
        <w:t xml:space="preserve"> “</w:t>
      </w:r>
      <w:r w:rsidRPr="00960236">
        <w:t>, which issues the type approval”. In the second sentence of the first paragraph, at the end, add “</w:t>
      </w:r>
      <w:r w:rsidRPr="00960236">
        <w:rPr>
          <w:iCs/>
        </w:rPr>
        <w:t>or the maintenance or repair shop</w:t>
      </w:r>
      <w:r w:rsidRPr="00960236">
        <w:t>”.</w:t>
      </w:r>
    </w:p>
    <w:p w14:paraId="5D3DF530" w14:textId="77777777" w:rsidR="00375A94" w:rsidRPr="00960236" w:rsidRDefault="00375A94" w:rsidP="00375A94">
      <w:pPr>
        <w:pStyle w:val="SingleTxtG"/>
        <w:rPr>
          <w:i/>
          <w:iCs/>
        </w:rPr>
      </w:pPr>
      <w:r w:rsidRPr="00960236">
        <w:rPr>
          <w:i/>
          <w:iCs/>
        </w:rPr>
        <w:t>(Reference document: informal document INF.46, proposal 5)</w:t>
      </w:r>
    </w:p>
    <w:p w14:paraId="2CF41AE4" w14:textId="7BEB20E8" w:rsidR="006F58A0" w:rsidRPr="00960236" w:rsidRDefault="006F58A0" w:rsidP="006F58A0">
      <w:pPr>
        <w:pStyle w:val="SingleTxtG"/>
      </w:pPr>
      <w:r w:rsidRPr="00960236">
        <w:t>(ADR:) 6.8.2.6.1</w:t>
      </w:r>
      <w:r w:rsidRPr="00960236">
        <w:tab/>
        <w:t xml:space="preserve">Under “for equipment”, for </w:t>
      </w:r>
      <w:r w:rsidR="00DE445A" w:rsidRPr="00960236">
        <w:t>standard</w:t>
      </w:r>
      <w:r w:rsidR="00DE445A" w:rsidRPr="00960236" w:rsidDel="00DE445A">
        <w:t xml:space="preserve"> </w:t>
      </w:r>
      <w:r w:rsidRPr="00960236">
        <w:t xml:space="preserve">“EN 13317:2002 + A1:2006”, </w:t>
      </w:r>
      <w:r w:rsidR="00DE445A" w:rsidRPr="00960236">
        <w:t xml:space="preserve">in column </w:t>
      </w:r>
      <w:r w:rsidRPr="00960236">
        <w:t xml:space="preserve">(4), </w:t>
      </w:r>
      <w:r w:rsidR="00DE445A" w:rsidRPr="00960236">
        <w:t xml:space="preserve">replace </w:t>
      </w:r>
      <w:r w:rsidRPr="00960236">
        <w:t xml:space="preserve">“Until further notice” by “Between 1 January 2009 and 31 December 2020”. After </w:t>
      </w:r>
      <w:r w:rsidR="00DE445A" w:rsidRPr="00960236">
        <w:t>standard</w:t>
      </w:r>
      <w:r w:rsidR="00DE445A" w:rsidRPr="00960236" w:rsidDel="00DE445A">
        <w:t xml:space="preserve"> </w:t>
      </w:r>
      <w:r w:rsidRPr="00960236">
        <w:t xml:space="preserve">“EN 13317: 2002 + A1:2006”, add the following new </w:t>
      </w:r>
      <w:r w:rsidR="00DE445A" w:rsidRPr="00960236">
        <w:t>standard</w:t>
      </w:r>
      <w:r w:rsidRPr="00960236">
        <w:t>:</w:t>
      </w:r>
    </w:p>
    <w:tbl>
      <w:tblPr>
        <w:tblW w:w="742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993"/>
        <w:gridCol w:w="1559"/>
      </w:tblGrid>
      <w:tr w:rsidR="006F58A0" w:rsidRPr="00960236" w14:paraId="39766D7E" w14:textId="77777777" w:rsidTr="000D4245">
        <w:trPr>
          <w:trHeight w:val="771"/>
        </w:trPr>
        <w:tc>
          <w:tcPr>
            <w:tcW w:w="1417" w:type="dxa"/>
            <w:shd w:val="clear" w:color="auto" w:fill="auto"/>
            <w:vAlign w:val="center"/>
          </w:tcPr>
          <w:p w14:paraId="2BB8583F" w14:textId="77777777" w:rsidR="006F58A0" w:rsidRPr="00960236" w:rsidRDefault="006F58A0" w:rsidP="000D4245">
            <w:pPr>
              <w:autoSpaceDE w:val="0"/>
              <w:autoSpaceDN w:val="0"/>
              <w:adjustRightInd w:val="0"/>
              <w:spacing w:line="240" w:lineRule="auto"/>
              <w:rPr>
                <w:rFonts w:eastAsia="MS Mincho"/>
                <w:lang w:eastAsia="de-DE"/>
              </w:rPr>
            </w:pPr>
            <w:r w:rsidRPr="00960236">
              <w:t>EN 13317:[2018]</w:t>
            </w:r>
          </w:p>
        </w:tc>
        <w:tc>
          <w:tcPr>
            <w:tcW w:w="3459" w:type="dxa"/>
            <w:shd w:val="clear" w:color="auto" w:fill="auto"/>
            <w:vAlign w:val="center"/>
          </w:tcPr>
          <w:p w14:paraId="5A1E444C" w14:textId="77777777" w:rsidR="006F58A0" w:rsidRPr="00960236" w:rsidRDefault="006F58A0" w:rsidP="000D4245">
            <w:pPr>
              <w:autoSpaceDE w:val="0"/>
              <w:autoSpaceDN w:val="0"/>
              <w:adjustRightInd w:val="0"/>
              <w:spacing w:line="240" w:lineRule="auto"/>
            </w:pPr>
            <w:r w:rsidRPr="00960236">
              <w:t>Tanks for transport of dangerous goods - Service equipment for tanks - Manhole cover assembly</w:t>
            </w:r>
          </w:p>
        </w:tc>
        <w:tc>
          <w:tcPr>
            <w:tcW w:w="993" w:type="dxa"/>
            <w:shd w:val="clear" w:color="auto" w:fill="auto"/>
            <w:vAlign w:val="center"/>
          </w:tcPr>
          <w:p w14:paraId="562F0886" w14:textId="77777777" w:rsidR="006F58A0" w:rsidRPr="00960236" w:rsidRDefault="006F58A0" w:rsidP="000D4245">
            <w:pPr>
              <w:spacing w:line="240" w:lineRule="auto"/>
            </w:pPr>
            <w:r w:rsidRPr="00960236">
              <w:t>6.8.2.2 and 6.8.2.4.1</w:t>
            </w:r>
          </w:p>
        </w:tc>
        <w:tc>
          <w:tcPr>
            <w:tcW w:w="1559" w:type="dxa"/>
            <w:shd w:val="clear" w:color="auto" w:fill="auto"/>
            <w:vAlign w:val="center"/>
          </w:tcPr>
          <w:p w14:paraId="6566F29D" w14:textId="77777777" w:rsidR="006F58A0" w:rsidRPr="00960236" w:rsidRDefault="006F58A0" w:rsidP="000D4245">
            <w:pPr>
              <w:spacing w:line="240" w:lineRule="auto"/>
            </w:pPr>
            <w:r w:rsidRPr="00960236">
              <w:t>Until further notice</w:t>
            </w:r>
          </w:p>
        </w:tc>
      </w:tr>
    </w:tbl>
    <w:p w14:paraId="0F53494D" w14:textId="77777777" w:rsidR="006F58A0" w:rsidRPr="00960236" w:rsidRDefault="006F58A0" w:rsidP="006F58A0">
      <w:pPr>
        <w:pStyle w:val="SingleTxtG"/>
        <w:rPr>
          <w:i/>
          <w:iCs/>
        </w:rPr>
      </w:pPr>
      <w:r w:rsidRPr="00960236">
        <w:rPr>
          <w:i/>
          <w:iCs/>
        </w:rPr>
        <w:t>(Reference document: informal document INF.53, proposal 5)</w:t>
      </w:r>
    </w:p>
    <w:p w14:paraId="092FD03D" w14:textId="77777777" w:rsidR="00375A94" w:rsidRPr="00960236" w:rsidRDefault="00375A94" w:rsidP="00375A94">
      <w:pPr>
        <w:pStyle w:val="SingleTxtG"/>
      </w:pPr>
      <w:r w:rsidRPr="00960236">
        <w:t>6.8.3.2.21</w:t>
      </w:r>
      <w:r w:rsidRPr="00960236">
        <w:tab/>
        <w:t>At the end, delete “The basic requirements of this paragraph shall be deemed to have been complied with if the following standards are applied:</w:t>
      </w:r>
      <w:r w:rsidRPr="00960236">
        <w:rPr>
          <w:i/>
        </w:rPr>
        <w:t xml:space="preserve"> (Reserved).</w:t>
      </w:r>
      <w:r w:rsidRPr="00960236">
        <w:t>”.</w:t>
      </w:r>
    </w:p>
    <w:p w14:paraId="0A546FA8" w14:textId="77777777" w:rsidR="00375A94" w:rsidRPr="00960236" w:rsidRDefault="00375A94" w:rsidP="00375A94">
      <w:pPr>
        <w:pStyle w:val="SingleTxtG"/>
        <w:rPr>
          <w:i/>
          <w:iCs/>
        </w:rPr>
      </w:pPr>
      <w:r w:rsidRPr="00960236">
        <w:rPr>
          <w:i/>
          <w:iCs/>
        </w:rPr>
        <w:t>(Reference document: ECE/TRANS/WP.15/AC.1/2017/43)</w:t>
      </w:r>
    </w:p>
    <w:p w14:paraId="644C3C0C" w14:textId="5828B691" w:rsidR="006F58A0" w:rsidRPr="00960236" w:rsidRDefault="006F58A0" w:rsidP="006F58A0">
      <w:pPr>
        <w:pStyle w:val="SingleTxtG"/>
      </w:pPr>
      <w:r w:rsidRPr="00960236">
        <w:lastRenderedPageBreak/>
        <w:t>6.8.3.6</w:t>
      </w:r>
      <w:r w:rsidR="001E266F" w:rsidRPr="00960236">
        <w:tab/>
      </w:r>
      <w:r w:rsidRPr="00960236">
        <w:tab/>
        <w:t xml:space="preserve">In the table, for </w:t>
      </w:r>
      <w:r w:rsidR="00DE445A" w:rsidRPr="00960236">
        <w:t>standard</w:t>
      </w:r>
      <w:r w:rsidRPr="00960236">
        <w:t xml:space="preserve"> “EN 13807:2003”, in column (4), replace “Until further notice” by “Between 1 January 2005 and 31 December 2020”. After </w:t>
      </w:r>
      <w:r w:rsidR="00DE445A" w:rsidRPr="00960236">
        <w:t>standard</w:t>
      </w:r>
      <w:r w:rsidR="00DE445A" w:rsidRPr="00960236" w:rsidDel="00DE445A">
        <w:t xml:space="preserve"> </w:t>
      </w:r>
      <w:r w:rsidRPr="00960236">
        <w:t xml:space="preserve">“EN 13807:2003”, add the following new </w:t>
      </w:r>
      <w:r w:rsidR="00DE445A" w:rsidRPr="00960236">
        <w:t>standard</w:t>
      </w:r>
      <w:r w:rsidRPr="00960236">
        <w:t>:</w:t>
      </w:r>
    </w:p>
    <w:tbl>
      <w:tblPr>
        <w:tblW w:w="7428"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60"/>
        <w:gridCol w:w="1417"/>
        <w:gridCol w:w="1134"/>
      </w:tblGrid>
      <w:tr w:rsidR="006F58A0" w:rsidRPr="00960236" w14:paraId="6FA6A76E" w14:textId="77777777" w:rsidTr="000D4245">
        <w:tc>
          <w:tcPr>
            <w:tcW w:w="1417" w:type="dxa"/>
            <w:shd w:val="clear" w:color="auto" w:fill="auto"/>
          </w:tcPr>
          <w:p w14:paraId="5BA88527" w14:textId="77777777" w:rsidR="006F58A0" w:rsidRPr="00960236" w:rsidRDefault="006F58A0" w:rsidP="000D4245">
            <w:pPr>
              <w:keepNext/>
              <w:ind w:hanging="22"/>
            </w:pPr>
            <w:r w:rsidRPr="00960236">
              <w:t>EN 13807:2017</w:t>
            </w:r>
          </w:p>
        </w:tc>
        <w:tc>
          <w:tcPr>
            <w:tcW w:w="3460" w:type="dxa"/>
            <w:shd w:val="clear" w:color="auto" w:fill="auto"/>
          </w:tcPr>
          <w:p w14:paraId="6B091F7A" w14:textId="77777777" w:rsidR="006F58A0" w:rsidRPr="00960236" w:rsidRDefault="006F58A0" w:rsidP="000D4245">
            <w:pPr>
              <w:keepNext/>
              <w:ind w:hanging="22"/>
            </w:pPr>
            <w:r w:rsidRPr="00960236">
              <w:t>Transportable gas cylinders - Battery vehicles and multiple-element gas containers (MEGCs) - Design, manufacture, identification and testing</w:t>
            </w:r>
          </w:p>
        </w:tc>
        <w:tc>
          <w:tcPr>
            <w:tcW w:w="1417" w:type="dxa"/>
            <w:shd w:val="clear" w:color="auto" w:fill="auto"/>
          </w:tcPr>
          <w:p w14:paraId="58098441" w14:textId="79368376" w:rsidR="006F58A0" w:rsidRPr="00960236" w:rsidRDefault="0036635D" w:rsidP="0036635D">
            <w:pPr>
              <w:spacing w:line="240" w:lineRule="auto"/>
              <w:jc w:val="center"/>
            </w:pPr>
            <w:r>
              <w:rPr>
                <w:rFonts w:ascii="(Asiatische Schriftart verwende" w:hAnsi="(Asiatische Schriftart verwende"/>
              </w:rPr>
              <w:t xml:space="preserve">6.8.3.1.4, </w:t>
            </w:r>
            <w:r w:rsidR="006F58A0" w:rsidRPr="00960236">
              <w:rPr>
                <w:rFonts w:ascii="(Asiatische Schriftart verwende" w:hAnsi="(Asiatische Schriftart verwende"/>
              </w:rPr>
              <w:t>6.8.3.1.5, 6.8.3.2.18 to 6.8.3.2.28, 6.8.3.4.12 to 6.8.3.4.14 and 6.8.3.5.10 to 6.8.3.5.13</w:t>
            </w:r>
          </w:p>
        </w:tc>
        <w:tc>
          <w:tcPr>
            <w:tcW w:w="1134" w:type="dxa"/>
            <w:shd w:val="clear" w:color="auto" w:fill="auto"/>
          </w:tcPr>
          <w:p w14:paraId="0023920D" w14:textId="77777777" w:rsidR="006F58A0" w:rsidRPr="00960236" w:rsidRDefault="006F58A0" w:rsidP="000D4245">
            <w:pPr>
              <w:spacing w:line="240" w:lineRule="auto"/>
              <w:jc w:val="center"/>
            </w:pPr>
            <w:r w:rsidRPr="00960236">
              <w:t>Until further notice</w:t>
            </w:r>
          </w:p>
        </w:tc>
      </w:tr>
    </w:tbl>
    <w:p w14:paraId="67721554" w14:textId="77777777" w:rsidR="006F58A0" w:rsidRPr="00960236" w:rsidRDefault="006F58A0" w:rsidP="006F58A0">
      <w:pPr>
        <w:pStyle w:val="SingleTxtG"/>
        <w:rPr>
          <w:i/>
          <w:iCs/>
        </w:rPr>
      </w:pPr>
      <w:r w:rsidRPr="00960236">
        <w:rPr>
          <w:i/>
          <w:iCs/>
        </w:rPr>
        <w:t>(Reference document: informal document INF.53, proposal 2)</w:t>
      </w:r>
    </w:p>
    <w:p w14:paraId="1EA9352C" w14:textId="77777777" w:rsidR="00375A94" w:rsidRPr="00960236" w:rsidRDefault="00375A94" w:rsidP="00375A94">
      <w:pPr>
        <w:pStyle w:val="SingleTxtG"/>
      </w:pPr>
      <w:r w:rsidRPr="00960236">
        <w:t>6.8.4 (d), special provision TT2</w:t>
      </w:r>
      <w:r w:rsidRPr="00960236">
        <w:tab/>
        <w:t>At the end, add “(see special provision TU43 in 4.3.5)”.</w:t>
      </w:r>
    </w:p>
    <w:p w14:paraId="5C69A3E9" w14:textId="77777777" w:rsidR="00375A94" w:rsidRPr="00960236" w:rsidRDefault="00375A94" w:rsidP="00375A94">
      <w:pPr>
        <w:pStyle w:val="SingleTxtG"/>
        <w:rPr>
          <w:i/>
          <w:iCs/>
        </w:rPr>
      </w:pPr>
      <w:r w:rsidRPr="00960236">
        <w:rPr>
          <w:i/>
          <w:iCs/>
        </w:rPr>
        <w:t>(Reference document: informal document INF.46, proposal 3)</w:t>
      </w:r>
    </w:p>
    <w:p w14:paraId="5BC2140F" w14:textId="77777777" w:rsidR="00375A94" w:rsidRPr="00960236" w:rsidRDefault="00375A94" w:rsidP="00375A94">
      <w:pPr>
        <w:pStyle w:val="SingleTxtG"/>
      </w:pPr>
      <w:r w:rsidRPr="00960236">
        <w:t>6.8.5.1.2 (a)</w:t>
      </w:r>
      <w:r w:rsidRPr="00960236">
        <w:tab/>
        <w:t>At the end, add the following new indent:</w:t>
      </w:r>
    </w:p>
    <w:p w14:paraId="3F886B4D" w14:textId="77777777" w:rsidR="00375A94" w:rsidRPr="00960236" w:rsidRDefault="00375A94" w:rsidP="00375A94">
      <w:pPr>
        <w:pStyle w:val="SingleTxtG"/>
      </w:pPr>
      <w:r w:rsidRPr="00960236">
        <w:t>"</w:t>
      </w:r>
      <w:r w:rsidRPr="00960236">
        <w:rPr>
          <w:bCs/>
        </w:rPr>
        <w:t>– Austenitic-ferritic stainless steels, down to a temperature of [-40 °C]</w:t>
      </w:r>
      <w:r w:rsidRPr="00960236">
        <w:t>;”.</w:t>
      </w:r>
    </w:p>
    <w:p w14:paraId="6F89395E" w14:textId="77777777" w:rsidR="00375A94" w:rsidRPr="00960236" w:rsidRDefault="00375A94" w:rsidP="00375A94">
      <w:pPr>
        <w:pStyle w:val="SingleTxtG"/>
        <w:rPr>
          <w:i/>
          <w:iCs/>
        </w:rPr>
      </w:pPr>
      <w:r w:rsidRPr="00960236">
        <w:rPr>
          <w:i/>
          <w:iCs/>
        </w:rPr>
        <w:t>(Reference document: informal document INF.46, proposal 11)</w:t>
      </w:r>
    </w:p>
    <w:p w14:paraId="7E6AC787" w14:textId="77777777" w:rsidR="00375A94" w:rsidRPr="00960236" w:rsidRDefault="00375A94" w:rsidP="00375A94">
      <w:pPr>
        <w:pStyle w:val="SingleTxtG"/>
      </w:pPr>
      <w:r w:rsidRPr="00960236">
        <w:t>6.8.5.2.1</w:t>
      </w:r>
      <w:r w:rsidRPr="00960236">
        <w:tab/>
        <w:t>At the end of the second indent, replace “</w:t>
      </w:r>
      <w:r w:rsidRPr="00960236">
        <w:rPr>
          <w:bCs/>
        </w:rPr>
        <w:t>or</w:t>
      </w:r>
      <w:r w:rsidRPr="00960236">
        <w:rPr>
          <w:b/>
          <w:bCs/>
        </w:rPr>
        <w:t xml:space="preserve"> </w:t>
      </w:r>
      <w:r w:rsidRPr="00960236">
        <w:t xml:space="preserve">austenitic Cr - Ni steel”, by “austenitic Cr - Ni steel; </w:t>
      </w:r>
      <w:r w:rsidRPr="00960236">
        <w:rPr>
          <w:bCs/>
          <w:iCs/>
        </w:rPr>
        <w:t>or austenitic-ferritic stainless steel</w:t>
      </w:r>
      <w:r w:rsidRPr="00960236">
        <w:rPr>
          <w:iCs/>
        </w:rPr>
        <w:t>.</w:t>
      </w:r>
      <w:r w:rsidRPr="00960236">
        <w:t>"</w:t>
      </w:r>
    </w:p>
    <w:p w14:paraId="617573F6" w14:textId="77777777" w:rsidR="00375A94" w:rsidRPr="00960236" w:rsidRDefault="00375A94" w:rsidP="00375A94">
      <w:pPr>
        <w:pStyle w:val="SingleTxtG"/>
        <w:rPr>
          <w:i/>
          <w:iCs/>
        </w:rPr>
      </w:pPr>
      <w:r w:rsidRPr="00960236">
        <w:rPr>
          <w:i/>
          <w:iCs/>
        </w:rPr>
        <w:t>(Reference document: informal document INF.46, proposal 12)</w:t>
      </w:r>
    </w:p>
    <w:p w14:paraId="71EE9030" w14:textId="68B30F68" w:rsidR="00375A94" w:rsidRPr="004E407B" w:rsidRDefault="004E407B" w:rsidP="004E407B">
      <w:pPr>
        <w:pStyle w:val="H1G"/>
      </w:pPr>
      <w:r>
        <w:tab/>
      </w:r>
      <w:r>
        <w:tab/>
      </w:r>
      <w:r w:rsidR="00375A94" w:rsidRPr="004E407B">
        <w:t>Chapter 6.9</w:t>
      </w:r>
    </w:p>
    <w:p w14:paraId="681E69E3" w14:textId="77777777" w:rsidR="00375A94" w:rsidRPr="00960236" w:rsidRDefault="00375A94" w:rsidP="00375A94">
      <w:pPr>
        <w:pStyle w:val="SingleTxtG"/>
      </w:pPr>
      <w:r w:rsidRPr="00960236">
        <w:t>6.9.3.1</w:t>
      </w:r>
      <w:r w:rsidRPr="00960236">
        <w:tab/>
      </w:r>
      <w:r w:rsidRPr="00960236">
        <w:tab/>
        <w:t>Replace “and 6.8.2.2.4” by “, 6.8.2.2.4 and 6.8.2.2.6”.</w:t>
      </w:r>
    </w:p>
    <w:p w14:paraId="71D10B65" w14:textId="77777777" w:rsidR="00375A94" w:rsidRPr="00960236" w:rsidRDefault="00375A94" w:rsidP="00375A94">
      <w:pPr>
        <w:pStyle w:val="SingleTxtG"/>
        <w:rPr>
          <w:i/>
          <w:iCs/>
        </w:rPr>
      </w:pPr>
      <w:r w:rsidRPr="00960236">
        <w:rPr>
          <w:i/>
          <w:iCs/>
        </w:rPr>
        <w:t>(Reference document: ECE/TRANS/WP.15/AC.1/2017/43)</w:t>
      </w:r>
    </w:p>
    <w:p w14:paraId="7BAF0B0A" w14:textId="27EDD52B" w:rsidR="00375A94" w:rsidRPr="004E407B" w:rsidRDefault="004E407B" w:rsidP="004E407B">
      <w:pPr>
        <w:pStyle w:val="H1G"/>
      </w:pPr>
      <w:r>
        <w:tab/>
      </w:r>
      <w:r>
        <w:tab/>
      </w:r>
      <w:r w:rsidR="00375A94" w:rsidRPr="004E407B">
        <w:t>Chapter 6.10</w:t>
      </w:r>
    </w:p>
    <w:p w14:paraId="05476776" w14:textId="77777777" w:rsidR="00375A94" w:rsidRPr="00960236" w:rsidRDefault="00375A94" w:rsidP="00375A94">
      <w:pPr>
        <w:pStyle w:val="SingleTxtG"/>
      </w:pPr>
      <w:r w:rsidRPr="00960236">
        <w:t>6.10.1.2.1</w:t>
      </w:r>
      <w:r w:rsidRPr="00960236">
        <w:tab/>
        <w:t>In the third paragraph, in the first sentence, replace “with the exception of requirements overtaken by a special provision in this Chapter” by “</w:t>
      </w:r>
      <w:r w:rsidRPr="00960236">
        <w:rPr>
          <w:iCs/>
        </w:rPr>
        <w:t xml:space="preserve">except where </w:t>
      </w:r>
      <w:r w:rsidRPr="00960236">
        <w:t xml:space="preserve">overtaken by </w:t>
      </w:r>
      <w:r w:rsidRPr="00960236">
        <w:rPr>
          <w:iCs/>
        </w:rPr>
        <w:t>special</w:t>
      </w:r>
      <w:r w:rsidRPr="00960236">
        <w:rPr>
          <w:i/>
        </w:rPr>
        <w:t xml:space="preserve"> </w:t>
      </w:r>
      <w:r w:rsidRPr="00960236">
        <w:t>requirements in this Chapter.”.</w:t>
      </w:r>
    </w:p>
    <w:p w14:paraId="1F58D1D7" w14:textId="77777777" w:rsidR="00375A94" w:rsidRPr="00960236" w:rsidRDefault="00375A94" w:rsidP="00375A94">
      <w:pPr>
        <w:pStyle w:val="SingleTxtG"/>
        <w:rPr>
          <w:i/>
          <w:iCs/>
        </w:rPr>
      </w:pPr>
      <w:r w:rsidRPr="00960236">
        <w:rPr>
          <w:i/>
          <w:iCs/>
        </w:rPr>
        <w:t>(Reference document: informal document INF.46, proposal 7)</w:t>
      </w:r>
    </w:p>
    <w:p w14:paraId="2D76F2E2" w14:textId="3CE0A648" w:rsidR="00915707" w:rsidRPr="004E407B" w:rsidRDefault="004E407B" w:rsidP="004E407B">
      <w:pPr>
        <w:pStyle w:val="H1G"/>
      </w:pPr>
      <w:r>
        <w:tab/>
      </w:r>
      <w:r>
        <w:tab/>
      </w:r>
      <w:r w:rsidR="00915707" w:rsidRPr="004E407B">
        <w:t>Chapter 7.5</w:t>
      </w:r>
    </w:p>
    <w:p w14:paraId="47509068" w14:textId="5AC6ECC4" w:rsidR="00915707" w:rsidRPr="00960236" w:rsidRDefault="00915707" w:rsidP="00915707">
      <w:pPr>
        <w:pStyle w:val="SingleTxtG"/>
      </w:pPr>
      <w:r w:rsidRPr="00960236">
        <w:t>7.5.2.2</w:t>
      </w:r>
      <w:r w:rsidRPr="00960236">
        <w:tab/>
      </w:r>
      <w:r w:rsidRPr="00960236">
        <w:tab/>
        <w:t xml:space="preserve">The </w:t>
      </w:r>
      <w:r w:rsidR="00200BFC">
        <w:t>modification</w:t>
      </w:r>
      <w:r w:rsidRPr="00960236">
        <w:t xml:space="preserve"> does not apply to the English text.</w:t>
      </w:r>
    </w:p>
    <w:p w14:paraId="1724D5AF" w14:textId="04CBAD3A" w:rsidR="00375A94" w:rsidRPr="00960236" w:rsidRDefault="0036635D" w:rsidP="00375A94">
      <w:pPr>
        <w:pStyle w:val="SingleTxtG"/>
      </w:pPr>
      <w:r w:rsidRPr="00960236">
        <w:t>(ADR</w:t>
      </w:r>
      <w:r>
        <w:t>:</w:t>
      </w:r>
      <w:r w:rsidRPr="00960236">
        <w:t xml:space="preserve">) </w:t>
      </w:r>
      <w:r w:rsidR="00375A94" w:rsidRPr="00960236">
        <w:t>7.5.11, special provision CV20</w:t>
      </w:r>
      <w:r w:rsidR="00375A94" w:rsidRPr="00960236">
        <w:tab/>
        <w:t>Replace “and special provisions V1 and V8 (5) and (6) of Chapter 7.2” by “and 7.1.7.4.7 and 7.1.7.4.8 as well as special provision V1 of Chapter 7.2”.</w:t>
      </w:r>
    </w:p>
    <w:p w14:paraId="7B265DEE" w14:textId="77777777" w:rsidR="00375A94" w:rsidRPr="00960236" w:rsidRDefault="00375A94" w:rsidP="00375A94">
      <w:pPr>
        <w:pStyle w:val="SingleTxtG"/>
        <w:rPr>
          <w:i/>
        </w:rPr>
      </w:pPr>
      <w:r w:rsidRPr="00960236">
        <w:rPr>
          <w:i/>
        </w:rPr>
        <w:t>(Reference document: informal document INF.9)</w:t>
      </w:r>
    </w:p>
    <w:p w14:paraId="09EE7EFB" w14:textId="77777777" w:rsidR="00375A94" w:rsidRPr="00960236" w:rsidRDefault="00375A94" w:rsidP="00375A94">
      <w:pPr>
        <w:pStyle w:val="SingleTxtG"/>
      </w:pPr>
      <w:r w:rsidRPr="00960236">
        <w:t>7.5.11, special provision CV21</w:t>
      </w:r>
      <w:r w:rsidRPr="00960236">
        <w:tab/>
        <w:t>In the third paragraph, replace “in accordance with methods R2 or R4 of special provision V8</w:t>
      </w:r>
      <w:r w:rsidR="00E405F2" w:rsidRPr="00960236">
        <w:t xml:space="preserve"> </w:t>
      </w:r>
      <w:r w:rsidRPr="00960236">
        <w:t>(3) of Chapter 7.2” by “in accordance with the methods described in 7.1.7.4.5 (b) or (d)”.</w:t>
      </w:r>
    </w:p>
    <w:p w14:paraId="1D8A1F0E" w14:textId="77777777" w:rsidR="00375A94" w:rsidRPr="00960236" w:rsidRDefault="00375A94" w:rsidP="00375A94">
      <w:pPr>
        <w:pStyle w:val="SingleTxtG"/>
        <w:rPr>
          <w:i/>
        </w:rPr>
      </w:pPr>
      <w:r w:rsidRPr="00960236">
        <w:rPr>
          <w:i/>
        </w:rPr>
        <w:t>(Reference document: informal document INF.9)</w:t>
      </w:r>
    </w:p>
    <w:p w14:paraId="56D61495" w14:textId="43703DBC" w:rsidR="00375A94" w:rsidRPr="004E407B" w:rsidRDefault="004E407B" w:rsidP="004E407B">
      <w:pPr>
        <w:pStyle w:val="H1G"/>
      </w:pPr>
      <w:r>
        <w:lastRenderedPageBreak/>
        <w:tab/>
      </w:r>
      <w:r>
        <w:tab/>
      </w:r>
      <w:r w:rsidR="00375A94" w:rsidRPr="004E407B">
        <w:t>(ADR</w:t>
      </w:r>
      <w:r>
        <w:t>:</w:t>
      </w:r>
      <w:r w:rsidR="00375A94" w:rsidRPr="004E407B">
        <w:t>) Chapter 9.6</w:t>
      </w:r>
    </w:p>
    <w:p w14:paraId="6DE07051" w14:textId="77777777" w:rsidR="00375A94" w:rsidRPr="00960236" w:rsidRDefault="00375A94" w:rsidP="00375A94">
      <w:pPr>
        <w:pStyle w:val="SingleTxtG"/>
      </w:pPr>
      <w:r w:rsidRPr="00960236">
        <w:t>9.6.2</w:t>
      </w:r>
      <w:r w:rsidRPr="00960236">
        <w:tab/>
        <w:t>Amend the first sentence to read as follows: “Suitable methods to prevent the control temperature from being exceeded are listed in 7.1.7.4.5.”</w:t>
      </w:r>
    </w:p>
    <w:p w14:paraId="5641CB9C" w14:textId="77777777" w:rsidR="00375A94" w:rsidRPr="00960236" w:rsidRDefault="00375A94" w:rsidP="00375A94">
      <w:pPr>
        <w:pStyle w:val="SingleTxtG"/>
        <w:rPr>
          <w:i/>
        </w:rPr>
      </w:pPr>
      <w:r w:rsidRPr="00960236">
        <w:rPr>
          <w:i/>
        </w:rPr>
        <w:t>(Reference document: informal document INF.9)</w:t>
      </w:r>
    </w:p>
    <w:p w14:paraId="352D0700" w14:textId="38A56194" w:rsidR="001E266F" w:rsidRPr="000119BD" w:rsidRDefault="00375A94" w:rsidP="000119BD">
      <w:pPr>
        <w:pStyle w:val="H1G"/>
      </w:pPr>
      <w:r w:rsidRPr="000119BD">
        <w:tab/>
      </w:r>
      <w:r w:rsidRPr="000119BD">
        <w:tab/>
      </w:r>
      <w:r w:rsidR="000119BD" w:rsidRPr="000119BD">
        <w:t>Modifications</w:t>
      </w:r>
      <w:r w:rsidR="001E266F" w:rsidRPr="000119BD">
        <w:t xml:space="preserve"> to annex II of document ECE/TRANS/WP.15/AC.1/144</w:t>
      </w:r>
    </w:p>
    <w:p w14:paraId="1B7250FC" w14:textId="77777777" w:rsidR="001E266F" w:rsidRPr="00960236" w:rsidRDefault="001E266F" w:rsidP="001E266F">
      <w:pPr>
        <w:pStyle w:val="SingleTxtG"/>
      </w:pPr>
      <w:r w:rsidRPr="00960236">
        <w:t>1.6.3.48 and 1.6.4.50</w:t>
      </w:r>
      <w:r w:rsidRPr="00960236">
        <w:tab/>
      </w:r>
      <w:r w:rsidRPr="00960236">
        <w:tab/>
        <w:t>Replace “2022” by “2026”.</w:t>
      </w:r>
    </w:p>
    <w:p w14:paraId="0B99A00D" w14:textId="77777777" w:rsidR="001E266F" w:rsidRPr="00960236" w:rsidRDefault="001E266F" w:rsidP="001E266F">
      <w:pPr>
        <w:pStyle w:val="SingleTxtG"/>
        <w:rPr>
          <w:i/>
          <w:iCs/>
        </w:rPr>
      </w:pPr>
      <w:r w:rsidRPr="00960236">
        <w:rPr>
          <w:i/>
          <w:iCs/>
        </w:rPr>
        <w:t>(Reference document: informal document INF.46, proposal 13)</w:t>
      </w:r>
    </w:p>
    <w:p w14:paraId="1F9DD7A9" w14:textId="7B672D54" w:rsidR="001E266F" w:rsidRPr="000119BD" w:rsidRDefault="001E266F" w:rsidP="000119BD">
      <w:pPr>
        <w:pStyle w:val="H1G"/>
      </w:pPr>
      <w:r w:rsidRPr="000119BD">
        <w:tab/>
      </w:r>
      <w:r w:rsidRPr="000119BD">
        <w:tab/>
      </w:r>
      <w:r w:rsidR="000119BD" w:rsidRPr="000119BD">
        <w:t xml:space="preserve">Modifications </w:t>
      </w:r>
      <w:r w:rsidRPr="000119BD">
        <w:t>to annex II of document ECE/TRANS/WP.15/AC.1/146</w:t>
      </w:r>
    </w:p>
    <w:p w14:paraId="05672612" w14:textId="77777777" w:rsidR="001E266F" w:rsidRPr="00960236" w:rsidRDefault="001E266F" w:rsidP="00D72758">
      <w:pPr>
        <w:pStyle w:val="FootnoteText"/>
        <w:tabs>
          <w:tab w:val="clear" w:pos="1021"/>
        </w:tabs>
        <w:spacing w:after="120"/>
        <w:ind w:firstLine="0"/>
      </w:pPr>
      <w:r w:rsidRPr="00960236">
        <w:t>1.6.3.49</w:t>
      </w:r>
      <w:r w:rsidRPr="00960236">
        <w:tab/>
      </w:r>
      <w:r w:rsidRPr="00960236">
        <w:rPr>
          <w:sz w:val="20"/>
        </w:rPr>
        <w:t>Delete the text in square brackets</w:t>
      </w:r>
      <w:r w:rsidR="00D72758" w:rsidRPr="00960236">
        <w:rPr>
          <w:sz w:val="20"/>
        </w:rPr>
        <w:t>.</w:t>
      </w:r>
    </w:p>
    <w:p w14:paraId="612C3271" w14:textId="77777777" w:rsidR="001E266F" w:rsidRPr="00960236" w:rsidRDefault="001E266F" w:rsidP="001E266F">
      <w:pPr>
        <w:pStyle w:val="SingleTxtG"/>
        <w:rPr>
          <w:i/>
          <w:iCs/>
        </w:rPr>
      </w:pPr>
      <w:r w:rsidRPr="00960236">
        <w:rPr>
          <w:i/>
          <w:iCs/>
        </w:rPr>
        <w:t>(Reference document: informal document INF.46, proposal 9)</w:t>
      </w:r>
    </w:p>
    <w:p w14:paraId="7797F1D6" w14:textId="77777777" w:rsidR="001E266F" w:rsidRPr="00960236" w:rsidRDefault="001E266F" w:rsidP="00D72758">
      <w:pPr>
        <w:pStyle w:val="SingleTxtG"/>
      </w:pPr>
      <w:r w:rsidRPr="00960236">
        <w:t>1.6.3.53</w:t>
      </w:r>
      <w:r w:rsidR="00D72758" w:rsidRPr="00960236">
        <w:tab/>
        <w:t>Delete the square brackets.</w:t>
      </w:r>
    </w:p>
    <w:p w14:paraId="1B25A850" w14:textId="77777777" w:rsidR="001E266F" w:rsidRPr="00960236" w:rsidRDefault="001E266F" w:rsidP="001E266F">
      <w:pPr>
        <w:pStyle w:val="SingleTxtG"/>
        <w:rPr>
          <w:i/>
          <w:iCs/>
        </w:rPr>
      </w:pPr>
      <w:r w:rsidRPr="00960236">
        <w:rPr>
          <w:i/>
          <w:iCs/>
        </w:rPr>
        <w:t>(Reference document: informal document INF.46, proposal 8)</w:t>
      </w:r>
    </w:p>
    <w:p w14:paraId="0EB6CB6C" w14:textId="0C37488E" w:rsidR="001E266F" w:rsidRPr="00960236" w:rsidRDefault="001E266F" w:rsidP="00D72758">
      <w:pPr>
        <w:pStyle w:val="SingleTxtG"/>
      </w:pPr>
      <w:r w:rsidRPr="00960236">
        <w:t>1.6.4.51</w:t>
      </w:r>
      <w:r w:rsidR="00D72758" w:rsidRPr="00960236">
        <w:tab/>
        <w:t xml:space="preserve">Delete the </w:t>
      </w:r>
      <w:r w:rsidR="002478B4">
        <w:t xml:space="preserve">text in </w:t>
      </w:r>
      <w:r w:rsidR="00D72758" w:rsidRPr="00960236">
        <w:t>square brackets.</w:t>
      </w:r>
    </w:p>
    <w:p w14:paraId="15A6B738" w14:textId="77777777" w:rsidR="001E266F" w:rsidRPr="00960236" w:rsidRDefault="001E266F" w:rsidP="001E266F">
      <w:pPr>
        <w:pStyle w:val="SingleTxtG"/>
        <w:rPr>
          <w:i/>
          <w:iCs/>
        </w:rPr>
      </w:pPr>
      <w:r w:rsidRPr="00960236">
        <w:rPr>
          <w:i/>
          <w:iCs/>
        </w:rPr>
        <w:t>(Reference document: informal document INF.46, proposal 9)</w:t>
      </w:r>
    </w:p>
    <w:p w14:paraId="37CF8FAC" w14:textId="2C3F1742" w:rsidR="001E266F" w:rsidRPr="00960236" w:rsidRDefault="001E266F" w:rsidP="00D72758">
      <w:pPr>
        <w:pStyle w:val="SingleTxtG"/>
      </w:pPr>
      <w:r w:rsidRPr="00960236">
        <w:t>6.8.2.2.3</w:t>
      </w:r>
      <w:r w:rsidR="00D72758" w:rsidRPr="00960236">
        <w:tab/>
        <w:t xml:space="preserve">In the new paragraph </w:t>
      </w:r>
      <w:r w:rsidR="00D064B9">
        <w:t>before</w:t>
      </w:r>
      <w:r w:rsidR="00D72758" w:rsidRPr="00960236">
        <w:t xml:space="preserve"> the table, replace “EN ISO16852:[2010]” by “EN ISO 16852:2016 </w:t>
      </w:r>
      <w:r w:rsidR="00D72758" w:rsidRPr="00960236">
        <w:rPr>
          <w:i/>
        </w:rPr>
        <w:t>(Flame arresters - Performance requirements, test methods and limits for use.)</w:t>
      </w:r>
      <w:r w:rsidR="00D72758" w:rsidRPr="00960236">
        <w:t>”. In the table, in the second column, replace “EN ISO 16852:[2010]” by “EN ISO 16852:2016” in each row of the table.</w:t>
      </w:r>
    </w:p>
    <w:p w14:paraId="30C79965" w14:textId="77777777" w:rsidR="001E266F" w:rsidRPr="00960236" w:rsidRDefault="001E266F" w:rsidP="001E266F">
      <w:pPr>
        <w:pStyle w:val="SingleTxtG"/>
        <w:rPr>
          <w:i/>
          <w:iCs/>
        </w:rPr>
      </w:pPr>
      <w:r w:rsidRPr="00960236">
        <w:rPr>
          <w:i/>
          <w:iCs/>
        </w:rPr>
        <w:t>(Reference document: informal document INF.46, proposal 10)</w:t>
      </w:r>
    </w:p>
    <w:p w14:paraId="74547E59" w14:textId="10F75ED5" w:rsidR="00D72758" w:rsidRPr="00960236" w:rsidRDefault="001E266F" w:rsidP="00D72758">
      <w:pPr>
        <w:pStyle w:val="SingleTxtG"/>
      </w:pPr>
      <w:r w:rsidRPr="00960236">
        <w:t>6.8.2.3.1</w:t>
      </w:r>
      <w:r w:rsidR="00D72758" w:rsidRPr="00960236">
        <w:tab/>
        <w:t>Delete the square brackets.</w:t>
      </w:r>
    </w:p>
    <w:p w14:paraId="6880012F" w14:textId="77777777" w:rsidR="001E266F" w:rsidRPr="00960236" w:rsidRDefault="001E266F" w:rsidP="001E266F">
      <w:pPr>
        <w:pStyle w:val="SingleTxtG"/>
        <w:rPr>
          <w:i/>
          <w:iCs/>
        </w:rPr>
      </w:pPr>
      <w:r w:rsidRPr="00960236">
        <w:rPr>
          <w:i/>
          <w:iCs/>
        </w:rPr>
        <w:t>(Reference document: informal document INF.46, proposal 8)</w:t>
      </w:r>
    </w:p>
    <w:p w14:paraId="11BA54CC" w14:textId="77777777" w:rsidR="00915BA8" w:rsidRPr="000119BD" w:rsidRDefault="001E266F" w:rsidP="000119BD">
      <w:pPr>
        <w:pStyle w:val="H1G"/>
      </w:pPr>
      <w:r w:rsidRPr="000119BD">
        <w:tab/>
      </w:r>
      <w:r w:rsidRPr="000119BD">
        <w:tab/>
      </w:r>
      <w:r w:rsidR="00915BA8" w:rsidRPr="000119BD">
        <w:rPr>
          <w:rStyle w:val="H1GChar"/>
          <w:b/>
        </w:rPr>
        <w:t xml:space="preserve">Document ECE/TRANS/WP.15/AC.1/2017/26/Add.1 and its annex </w:t>
      </w:r>
      <w:r w:rsidR="00915BA8" w:rsidRPr="000119BD">
        <w:t>adopted with the following modifications:</w:t>
      </w:r>
    </w:p>
    <w:p w14:paraId="3453DF17" w14:textId="5B9DFF15" w:rsidR="00915BA8" w:rsidRPr="00960236" w:rsidRDefault="00915BA8" w:rsidP="00915BA8">
      <w:pPr>
        <w:pStyle w:val="SingleTxtG"/>
      </w:pPr>
      <w:r w:rsidRPr="00960236">
        <w:t>Delete the square brackets everywhere in the document</w:t>
      </w:r>
      <w:r w:rsidR="000119BD">
        <w:t xml:space="preserve"> except in Chapter 7.1</w:t>
      </w:r>
      <w:r w:rsidRPr="00960236">
        <w:t>.</w:t>
      </w:r>
    </w:p>
    <w:p w14:paraId="10A24C0D" w14:textId="77777777" w:rsidR="00915BA8" w:rsidRPr="00960236" w:rsidRDefault="00915BA8" w:rsidP="004E407B">
      <w:pPr>
        <w:pStyle w:val="H23G"/>
      </w:pPr>
      <w:r w:rsidRPr="00960236">
        <w:tab/>
      </w:r>
      <w:r w:rsidRPr="00960236">
        <w:tab/>
        <w:t>Chapter 1.6</w:t>
      </w:r>
    </w:p>
    <w:p w14:paraId="327D45BA" w14:textId="11B61D30" w:rsidR="004B14D6" w:rsidRPr="00960236" w:rsidRDefault="006C2042" w:rsidP="003F29CC">
      <w:pPr>
        <w:pStyle w:val="SingleTxtG"/>
      </w:pPr>
      <w:r w:rsidRPr="00960236">
        <w:t>1.6.1.XX</w:t>
      </w:r>
      <w:r w:rsidRPr="00960236">
        <w:tab/>
        <w:t xml:space="preserve">Renumber as </w:t>
      </w:r>
      <w:r w:rsidR="00915BA8" w:rsidRPr="00960236">
        <w:t>1.6.1.</w:t>
      </w:r>
      <w:r w:rsidR="003F29CC" w:rsidRPr="00960236">
        <w:t>46</w:t>
      </w:r>
      <w:r w:rsidRPr="00960236">
        <w:t xml:space="preserve"> and a</w:t>
      </w:r>
      <w:r w:rsidR="00915BA8" w:rsidRPr="00960236">
        <w:t xml:space="preserve">t the end, after “until”, replace “[…]” by “31 December 2022”. </w:t>
      </w:r>
      <w:r w:rsidR="000119BD">
        <w:t xml:space="preserve">The last modification </w:t>
      </w:r>
      <w:r w:rsidR="004B14D6" w:rsidRPr="00960236">
        <w:t>does not apply to the English text.</w:t>
      </w:r>
    </w:p>
    <w:p w14:paraId="1B90BF06" w14:textId="77777777" w:rsidR="00915BA8" w:rsidRPr="00960236" w:rsidRDefault="00915BA8" w:rsidP="004E407B">
      <w:pPr>
        <w:pStyle w:val="H23G"/>
      </w:pPr>
      <w:r w:rsidRPr="00960236">
        <w:tab/>
      </w:r>
      <w:r w:rsidRPr="00960236">
        <w:tab/>
        <w:t>Chapter 2.1</w:t>
      </w:r>
    </w:p>
    <w:p w14:paraId="1AFD043A" w14:textId="0DFDD18B" w:rsidR="003F29CC" w:rsidRPr="00960236" w:rsidRDefault="003F29CC" w:rsidP="00915BA8">
      <w:pPr>
        <w:pStyle w:val="SingleTxtG"/>
        <w:rPr>
          <w:iCs/>
        </w:rPr>
      </w:pPr>
      <w:r w:rsidRPr="00960236">
        <w:rPr>
          <w:iCs/>
        </w:rPr>
        <w:t>2.1.4.3</w:t>
      </w:r>
      <w:r w:rsidR="000119BD">
        <w:rPr>
          <w:iCs/>
        </w:rPr>
        <w:t>.1</w:t>
      </w:r>
      <w:r w:rsidRPr="00960236">
        <w:rPr>
          <w:iCs/>
        </w:rPr>
        <w:t xml:space="preserve"> (a)</w:t>
      </w:r>
      <w:r w:rsidRPr="00960236">
        <w:rPr>
          <w:iCs/>
        </w:rPr>
        <w:tab/>
        <w:t xml:space="preserve">The </w:t>
      </w:r>
      <w:r w:rsidR="004E2C14">
        <w:rPr>
          <w:iCs/>
        </w:rPr>
        <w:t>modification</w:t>
      </w:r>
      <w:r w:rsidR="004E2C14" w:rsidRPr="00960236">
        <w:rPr>
          <w:iCs/>
        </w:rPr>
        <w:t xml:space="preserve"> </w:t>
      </w:r>
      <w:r w:rsidRPr="00960236">
        <w:rPr>
          <w:iCs/>
        </w:rPr>
        <w:t>does not apply to the English text.</w:t>
      </w:r>
    </w:p>
    <w:p w14:paraId="7797DDA3" w14:textId="3B5FDAB7" w:rsidR="00B16603" w:rsidRPr="00960236" w:rsidRDefault="000119BD" w:rsidP="00B16603">
      <w:pPr>
        <w:pStyle w:val="SingleTxtG"/>
      </w:pPr>
      <w:r w:rsidRPr="00960236">
        <w:t>[</w:t>
      </w:r>
      <w:r w:rsidR="00B16603" w:rsidRPr="00960236">
        <w:rPr>
          <w:iCs/>
        </w:rPr>
        <w:t>2.1.5</w:t>
      </w:r>
      <w:r w:rsidR="00B16603" w:rsidRPr="00960236">
        <w:rPr>
          <w:iCs/>
        </w:rPr>
        <w:tab/>
      </w:r>
      <w:r w:rsidR="00B16603" w:rsidRPr="00960236">
        <w:rPr>
          <w:iCs/>
        </w:rPr>
        <w:tab/>
      </w:r>
      <w:r w:rsidR="00B16603" w:rsidRPr="00960236">
        <w:t>Renumber the Note as Note 1 and insert a new Note 2 to read as follows:</w:t>
      </w:r>
    </w:p>
    <w:p w14:paraId="181EBBBD" w14:textId="77777777" w:rsidR="00B16603" w:rsidRPr="00960236" w:rsidRDefault="00B16603" w:rsidP="00B16603">
      <w:pPr>
        <w:pStyle w:val="SingleTxtG"/>
      </w:pPr>
      <w:r w:rsidRPr="00960236">
        <w:t>“</w:t>
      </w:r>
      <w:r w:rsidRPr="00960236">
        <w:rPr>
          <w:b/>
          <w:i/>
        </w:rPr>
        <w:t>NOTE 2:</w:t>
      </w:r>
      <w:r w:rsidRPr="00960236">
        <w:rPr>
          <w:i/>
        </w:rPr>
        <w:t xml:space="preserve"> The term “existing proper shipping name” in NOTE 1 above excludes specific n.o.s. entries for UN Nos. 3537 to 3548.</w:t>
      </w:r>
      <w:r w:rsidRPr="00960236">
        <w:t>”.]</w:t>
      </w:r>
    </w:p>
    <w:p w14:paraId="6E150F82" w14:textId="77777777" w:rsidR="00B16603" w:rsidRPr="00960236" w:rsidRDefault="00B16603" w:rsidP="00B16603">
      <w:pPr>
        <w:pStyle w:val="SingleTxtG"/>
        <w:rPr>
          <w:i/>
        </w:rPr>
      </w:pPr>
      <w:r w:rsidRPr="00960236">
        <w:rPr>
          <w:i/>
        </w:rPr>
        <w:t>(Reference document: informal document INF.47)</w:t>
      </w:r>
    </w:p>
    <w:p w14:paraId="3900E3DD" w14:textId="43286A2B" w:rsidR="003F29CC" w:rsidRPr="00960236" w:rsidRDefault="003F29CC" w:rsidP="00915BA8">
      <w:pPr>
        <w:pStyle w:val="SingleTxtG"/>
        <w:rPr>
          <w:iCs/>
        </w:rPr>
      </w:pPr>
      <w:r w:rsidRPr="00960236">
        <w:rPr>
          <w:iCs/>
        </w:rPr>
        <w:t>2.1.5.1</w:t>
      </w:r>
      <w:r w:rsidRPr="00960236">
        <w:rPr>
          <w:iCs/>
        </w:rPr>
        <w:tab/>
      </w:r>
      <w:r w:rsidR="004E1EBC" w:rsidRPr="00960236">
        <w:rPr>
          <w:iCs/>
        </w:rPr>
        <w:tab/>
        <w:t xml:space="preserve">The </w:t>
      </w:r>
      <w:r w:rsidR="004E2C14">
        <w:rPr>
          <w:iCs/>
        </w:rPr>
        <w:t>modification</w:t>
      </w:r>
      <w:r w:rsidR="004E2C14" w:rsidRPr="00960236">
        <w:rPr>
          <w:iCs/>
        </w:rPr>
        <w:t xml:space="preserve"> </w:t>
      </w:r>
      <w:r w:rsidR="004E1EBC" w:rsidRPr="00960236">
        <w:rPr>
          <w:iCs/>
        </w:rPr>
        <w:t>does not apply to the English text.</w:t>
      </w:r>
    </w:p>
    <w:p w14:paraId="72327604" w14:textId="77777777" w:rsidR="00915BA8" w:rsidRPr="00960236" w:rsidRDefault="00915BA8" w:rsidP="00915BA8">
      <w:pPr>
        <w:pStyle w:val="SingleTxtG"/>
        <w:rPr>
          <w:iCs/>
        </w:rPr>
      </w:pPr>
      <w:r w:rsidRPr="00960236">
        <w:rPr>
          <w:iCs/>
        </w:rPr>
        <w:lastRenderedPageBreak/>
        <w:t>2.1.5.6</w:t>
      </w:r>
      <w:r w:rsidRPr="00960236">
        <w:rPr>
          <w:iCs/>
        </w:rPr>
        <w:tab/>
      </w:r>
      <w:r w:rsidR="00010A60" w:rsidRPr="00960236">
        <w:rPr>
          <w:iCs/>
        </w:rPr>
        <w:tab/>
      </w:r>
      <w:r w:rsidRPr="00960236">
        <w:rPr>
          <w:iCs/>
        </w:rPr>
        <w:t>The new paragraph 2.1.5.6 reads as follows:</w:t>
      </w:r>
    </w:p>
    <w:p w14:paraId="14E66467" w14:textId="77777777" w:rsidR="00915BA8" w:rsidRPr="00960236" w:rsidRDefault="00915BA8" w:rsidP="00915BA8">
      <w:pPr>
        <w:pStyle w:val="SingleTxtG"/>
      </w:pPr>
      <w:r w:rsidRPr="00960236">
        <w:rPr>
          <w:iCs/>
        </w:rPr>
        <w:t>“</w:t>
      </w:r>
      <w:r w:rsidRPr="00960236">
        <w:t>2.1.5.6</w:t>
      </w:r>
      <w:r w:rsidRPr="00960236">
        <w:tab/>
        <w:t>Subsidiary hazards shall be representative of the primary hazards posed by the other dangerous goods contained within the article. When only one item of dangerous goods is present in the article, the subsidiary hazard(s), if any, shall be the subsidiary hazard(s) identified by the subsidiary hazard label(s) in column (5) of Table A of Chapter 3.2. If the article contains more than one item of dangerous goods and these could react dangerously with one another during carriage, each of the dangerous goods shall be enclosed separately (see 4.1.1.6).”</w:t>
      </w:r>
    </w:p>
    <w:p w14:paraId="65A67B16" w14:textId="0FE131A1" w:rsidR="00915BA8" w:rsidRPr="00960236" w:rsidRDefault="00915BA8" w:rsidP="009177CD">
      <w:pPr>
        <w:pStyle w:val="SingleTxtG"/>
        <w:rPr>
          <w:i/>
          <w:iCs/>
        </w:rPr>
      </w:pPr>
      <w:r w:rsidRPr="00960236">
        <w:rPr>
          <w:i/>
          <w:iCs/>
        </w:rPr>
        <w:t>(Reference: Option 2</w:t>
      </w:r>
      <w:r w:rsidR="000119BD">
        <w:rPr>
          <w:i/>
          <w:iCs/>
        </w:rPr>
        <w:t xml:space="preserve"> of ECE/TRANS/WP.15/AC.1/2017/26/Add.1</w:t>
      </w:r>
      <w:r w:rsidRPr="00960236">
        <w:rPr>
          <w:i/>
          <w:iCs/>
        </w:rPr>
        <w:t>, as amended)</w:t>
      </w:r>
    </w:p>
    <w:p w14:paraId="3ECCF99F" w14:textId="77777777" w:rsidR="00915BA8" w:rsidRPr="00960236" w:rsidRDefault="00915BA8" w:rsidP="004E407B">
      <w:pPr>
        <w:pStyle w:val="H23G"/>
      </w:pPr>
      <w:r w:rsidRPr="00960236">
        <w:tab/>
      </w:r>
      <w:r w:rsidRPr="00960236">
        <w:tab/>
        <w:t>Chapter 2.2</w:t>
      </w:r>
    </w:p>
    <w:p w14:paraId="5891218D" w14:textId="2567A58A" w:rsidR="009177CD" w:rsidRPr="00960236" w:rsidRDefault="009177CD" w:rsidP="00915BA8">
      <w:pPr>
        <w:pStyle w:val="SingleTxtG"/>
        <w:rPr>
          <w:iCs/>
        </w:rPr>
      </w:pPr>
      <w:r w:rsidRPr="00960236">
        <w:t>2.2.1.1.1 (c)</w:t>
      </w:r>
      <w:r w:rsidRPr="00960236">
        <w:tab/>
      </w:r>
      <w:r w:rsidRPr="00960236">
        <w:rPr>
          <w:iCs/>
        </w:rPr>
        <w:t xml:space="preserve">The </w:t>
      </w:r>
      <w:r w:rsidR="004E2C14">
        <w:rPr>
          <w:iCs/>
        </w:rPr>
        <w:t>modification</w:t>
      </w:r>
      <w:r w:rsidR="004E2C14" w:rsidRPr="00960236">
        <w:rPr>
          <w:iCs/>
        </w:rPr>
        <w:t xml:space="preserve"> </w:t>
      </w:r>
      <w:r w:rsidRPr="00960236">
        <w:rPr>
          <w:iCs/>
        </w:rPr>
        <w:t>does not apply to the English text.</w:t>
      </w:r>
    </w:p>
    <w:p w14:paraId="52C1016D" w14:textId="3516BEE6" w:rsidR="009177CD" w:rsidRPr="00960236" w:rsidRDefault="009177CD" w:rsidP="00915BA8">
      <w:pPr>
        <w:pStyle w:val="SingleTxtG"/>
        <w:rPr>
          <w:iCs/>
        </w:rPr>
      </w:pPr>
      <w:r w:rsidRPr="00960236">
        <w:rPr>
          <w:iCs/>
        </w:rPr>
        <w:t>2.2.3.3</w:t>
      </w:r>
      <w:r w:rsidRPr="00960236">
        <w:rPr>
          <w:iCs/>
        </w:rPr>
        <w:tab/>
      </w:r>
      <w:r w:rsidRPr="00960236">
        <w:rPr>
          <w:iCs/>
        </w:rPr>
        <w:tab/>
        <w:t xml:space="preserve">The </w:t>
      </w:r>
      <w:r w:rsidR="004E2C14">
        <w:rPr>
          <w:iCs/>
        </w:rPr>
        <w:t>modification</w:t>
      </w:r>
      <w:r w:rsidR="004E2C14" w:rsidRPr="00960236">
        <w:rPr>
          <w:iCs/>
        </w:rPr>
        <w:t xml:space="preserve"> </w:t>
      </w:r>
      <w:r w:rsidRPr="00960236">
        <w:rPr>
          <w:iCs/>
        </w:rPr>
        <w:t>does not apply to the English text.</w:t>
      </w:r>
    </w:p>
    <w:p w14:paraId="51609F51" w14:textId="77777777" w:rsidR="00915BA8" w:rsidRPr="00960236" w:rsidRDefault="00915BA8" w:rsidP="00915BA8">
      <w:pPr>
        <w:pStyle w:val="SingleTxtG"/>
      </w:pPr>
      <w:r w:rsidRPr="00960236">
        <w:t>2.2.51.2.2</w:t>
      </w:r>
      <w:r w:rsidRPr="00960236">
        <w:tab/>
        <w:t>The amendment should read as follows:</w:t>
      </w:r>
    </w:p>
    <w:p w14:paraId="02CCD5C6" w14:textId="77777777" w:rsidR="00915BA8" w:rsidRPr="00960236" w:rsidRDefault="00915BA8" w:rsidP="00915BA8">
      <w:pPr>
        <w:pStyle w:val="SingleTxtG"/>
      </w:pPr>
      <w:r w:rsidRPr="00960236">
        <w:t>“2.2.51.2.2</w:t>
      </w:r>
      <w:r w:rsidRPr="00960236">
        <w:tab/>
        <w:t>Replace indent thirteen by the following text:</w:t>
      </w:r>
    </w:p>
    <w:p w14:paraId="0731BD43" w14:textId="77777777" w:rsidR="00915BA8" w:rsidRPr="00960236" w:rsidRDefault="00915BA8" w:rsidP="00915BA8">
      <w:pPr>
        <w:pStyle w:val="SingleTxtG"/>
      </w:pPr>
      <w:r w:rsidRPr="00960236">
        <w:t>“-</w:t>
      </w:r>
      <w:r w:rsidRPr="00960236">
        <w:tab/>
        <w:t xml:space="preserve">ammonium nitrate based fertilizers with compositions that lead to exit boxes 4, 6, 8, 15, 31, or 33 of the flowchart of paragraph 39.5.1 of the Manual of Tests and Criteria, Part III, Section 39, unless they have been assigned a suitable UN number in Class 1; </w:t>
      </w:r>
    </w:p>
    <w:p w14:paraId="1A366CE4" w14:textId="77777777" w:rsidR="00915BA8" w:rsidRPr="00960236" w:rsidRDefault="00915BA8" w:rsidP="00915BA8">
      <w:pPr>
        <w:pStyle w:val="SingleTxtG"/>
      </w:pPr>
      <w:r w:rsidRPr="00960236">
        <w:t>-</w:t>
      </w:r>
      <w:r w:rsidRPr="00960236">
        <w:tab/>
        <w:t>ammonium nitrate based fertilizers with compositions that lead to exit boxes 20, 23 or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 2067;”.”.</w:t>
      </w:r>
    </w:p>
    <w:p w14:paraId="6861B21B" w14:textId="77777777" w:rsidR="00607400" w:rsidRPr="00832A93" w:rsidRDefault="00607400" w:rsidP="00607400">
      <w:pPr>
        <w:pStyle w:val="SingleTxtG"/>
        <w:rPr>
          <w:iCs/>
        </w:rPr>
      </w:pPr>
      <w:r>
        <w:rPr>
          <w:iCs/>
        </w:rPr>
        <w:t>The amendment in the annex is deleted.</w:t>
      </w:r>
    </w:p>
    <w:p w14:paraId="471C3170" w14:textId="20606C97" w:rsidR="00915BA8" w:rsidRPr="00960236" w:rsidRDefault="00915BA8" w:rsidP="00607400">
      <w:pPr>
        <w:pStyle w:val="SingleTxtG"/>
        <w:rPr>
          <w:i/>
          <w:iCs/>
        </w:rPr>
      </w:pPr>
      <w:r w:rsidRPr="00960236">
        <w:rPr>
          <w:i/>
        </w:rPr>
        <w:t xml:space="preserve">(Reference document: </w:t>
      </w:r>
      <w:r w:rsidRPr="00960236">
        <w:rPr>
          <w:i/>
          <w:iCs/>
        </w:rPr>
        <w:t>ECE/TRANS/WP.15/AC.1/2017/35, as amended in informal document INF.12)</w:t>
      </w:r>
    </w:p>
    <w:p w14:paraId="1FA1714A" w14:textId="4AC5615A" w:rsidR="00F55307" w:rsidRPr="00960236" w:rsidRDefault="00F55307" w:rsidP="00915BA8">
      <w:pPr>
        <w:pStyle w:val="SingleTxtG"/>
        <w:rPr>
          <w:iCs/>
        </w:rPr>
      </w:pPr>
      <w:r w:rsidRPr="00960236">
        <w:rPr>
          <w:iCs/>
        </w:rPr>
        <w:t>2.2.8.1.6.3.2</w:t>
      </w:r>
      <w:r w:rsidRPr="00960236">
        <w:rPr>
          <w:iCs/>
        </w:rPr>
        <w:tab/>
        <w:t xml:space="preserve">The </w:t>
      </w:r>
      <w:r w:rsidR="004E2C14">
        <w:rPr>
          <w:iCs/>
        </w:rPr>
        <w:t>modification</w:t>
      </w:r>
      <w:r w:rsidRPr="00960236">
        <w:rPr>
          <w:iCs/>
        </w:rPr>
        <w:t xml:space="preserve"> does not apply to the English text.</w:t>
      </w:r>
    </w:p>
    <w:p w14:paraId="0F83ECB7" w14:textId="77777777" w:rsidR="00915BA8" w:rsidRPr="00960236" w:rsidRDefault="00915BA8" w:rsidP="00915BA8">
      <w:pPr>
        <w:pStyle w:val="SingleTxtG"/>
      </w:pPr>
      <w:r w:rsidRPr="00960236">
        <w:t>Before 2.2.8.2, replace “[</w:t>
      </w:r>
      <w:r w:rsidRPr="00960236">
        <w:rPr>
          <w:i/>
          <w:iCs/>
        </w:rPr>
        <w:t>2.2.8.1.9 and Note</w:t>
      </w:r>
      <w:r w:rsidRPr="00960236">
        <w:rPr>
          <w:i/>
          <w:iCs/>
        </w:rPr>
        <w:tab/>
        <w:t>Remain unchanged</w:t>
      </w:r>
      <w:r w:rsidRPr="00960236">
        <w:t>]” by:</w:t>
      </w:r>
    </w:p>
    <w:p w14:paraId="531CF13C" w14:textId="77777777" w:rsidR="00915BA8" w:rsidRPr="00960236" w:rsidRDefault="00915BA8" w:rsidP="00915BA8">
      <w:pPr>
        <w:pStyle w:val="SingleTxtG"/>
      </w:pPr>
      <w:r w:rsidRPr="00960236">
        <w:t>“2.2.8.1.9</w:t>
      </w:r>
      <w:r w:rsidRPr="00960236">
        <w:tab/>
      </w:r>
      <w:r w:rsidRPr="00960236">
        <w:rPr>
          <w:i/>
          <w:iCs/>
        </w:rPr>
        <w:t>(Deleted)</w:t>
      </w:r>
    </w:p>
    <w:p w14:paraId="185F72F3" w14:textId="77777777" w:rsidR="00915BA8" w:rsidRPr="00960236" w:rsidRDefault="00915BA8" w:rsidP="00915BA8">
      <w:pPr>
        <w:pStyle w:val="SingleTxtG"/>
      </w:pPr>
      <w:r w:rsidRPr="00960236">
        <w:rPr>
          <w:i/>
          <w:iCs/>
        </w:rPr>
        <w:t>The existing Note before 2.2.8.2 remains unchanged.”</w:t>
      </w:r>
      <w:r w:rsidRPr="00960236">
        <w:t>.</w:t>
      </w:r>
    </w:p>
    <w:p w14:paraId="20C99A30" w14:textId="77777777" w:rsidR="00915BA8" w:rsidRPr="00960236" w:rsidRDefault="00915BA8" w:rsidP="00915BA8">
      <w:pPr>
        <w:pStyle w:val="SingleTxtG"/>
      </w:pPr>
      <w:r w:rsidRPr="00960236">
        <w:t>2.2.8.2</w:t>
      </w:r>
      <w:r w:rsidRPr="00960236">
        <w:tab/>
      </w:r>
      <w:r w:rsidR="00375A94" w:rsidRPr="00960236">
        <w:tab/>
      </w:r>
      <w:r w:rsidRPr="00960236">
        <w:t>Amend to read as follows:</w:t>
      </w:r>
    </w:p>
    <w:p w14:paraId="712CE8F8" w14:textId="77777777" w:rsidR="00915BA8" w:rsidRPr="00960236" w:rsidRDefault="00915BA8" w:rsidP="00915BA8">
      <w:pPr>
        <w:pStyle w:val="SingleTxtG"/>
        <w:rPr>
          <w:b/>
          <w:bCs/>
          <w:i/>
          <w:iCs/>
        </w:rPr>
      </w:pPr>
      <w:r w:rsidRPr="00960236">
        <w:t>“</w:t>
      </w:r>
      <w:r w:rsidRPr="00960236">
        <w:rPr>
          <w:b/>
          <w:bCs/>
        </w:rPr>
        <w:t>2.2.8.2</w:t>
      </w:r>
      <w:r w:rsidRPr="00960236">
        <w:rPr>
          <w:b/>
          <w:bCs/>
          <w:i/>
          <w:iCs/>
        </w:rPr>
        <w:tab/>
        <w:t>Substances not accepted for carriage</w:t>
      </w:r>
    </w:p>
    <w:p w14:paraId="62F26183" w14:textId="77777777" w:rsidR="00915BA8" w:rsidRPr="00960236" w:rsidRDefault="00915BA8" w:rsidP="00915BA8">
      <w:pPr>
        <w:pStyle w:val="SingleTxtG"/>
        <w:rPr>
          <w:i/>
          <w:iCs/>
        </w:rPr>
      </w:pPr>
      <w:r w:rsidRPr="00960236">
        <w:rPr>
          <w:i/>
          <w:iCs/>
        </w:rPr>
        <w:t>2.2.8.2.1 and 2.2.8.2.2</w:t>
      </w:r>
      <w:r w:rsidRPr="00960236">
        <w:rPr>
          <w:i/>
          <w:iCs/>
        </w:rPr>
        <w:tab/>
        <w:t>remain unchanged</w:t>
      </w:r>
    </w:p>
    <w:p w14:paraId="0793BC54" w14:textId="77777777" w:rsidR="00915BA8" w:rsidRPr="00960236" w:rsidRDefault="00915BA8" w:rsidP="00915BA8">
      <w:pPr>
        <w:pStyle w:val="SingleTxtG"/>
      </w:pPr>
      <w:r w:rsidRPr="00960236">
        <w:rPr>
          <w:i/>
          <w:iCs/>
        </w:rPr>
        <w:t>2.2.8.3</w:t>
      </w:r>
      <w:r w:rsidRPr="00960236">
        <w:rPr>
          <w:i/>
          <w:iCs/>
        </w:rPr>
        <w:tab/>
      </w:r>
      <w:r w:rsidR="00010A60" w:rsidRPr="00960236">
        <w:rPr>
          <w:i/>
          <w:iCs/>
        </w:rPr>
        <w:tab/>
      </w:r>
      <w:r w:rsidRPr="00960236">
        <w:rPr>
          <w:i/>
          <w:iCs/>
        </w:rPr>
        <w:t xml:space="preserve">Existing text with the following amendment: </w:t>
      </w:r>
      <w:r w:rsidRPr="00960236">
        <w:rPr>
          <w:i/>
        </w:rPr>
        <w:t>In the “List of collective entries”, for “Articles C11” add “3547</w:t>
      </w:r>
      <w:r w:rsidRPr="00960236">
        <w:rPr>
          <w:i/>
        </w:rPr>
        <w:tab/>
        <w:t>ARTICLES CONTAINING CORROSIVE SUBSTANCE, N.O.S.”.</w:t>
      </w:r>
      <w:r w:rsidRPr="00960236">
        <w:t>”.</w:t>
      </w:r>
    </w:p>
    <w:p w14:paraId="49AC9EE8" w14:textId="0F879250" w:rsidR="00915BA8" w:rsidRPr="00960236" w:rsidRDefault="004E407B" w:rsidP="004E407B">
      <w:pPr>
        <w:pStyle w:val="H23G"/>
      </w:pPr>
      <w:r>
        <w:tab/>
      </w:r>
      <w:r>
        <w:tab/>
      </w:r>
      <w:r w:rsidR="00915BA8" w:rsidRPr="00960236">
        <w:t>Chapter 3.2</w:t>
      </w:r>
    </w:p>
    <w:p w14:paraId="7E59138D" w14:textId="5FA9D9FC" w:rsidR="009177CD" w:rsidRPr="00960236" w:rsidRDefault="009177CD" w:rsidP="00915BA8">
      <w:pPr>
        <w:pStyle w:val="SingleTxtG"/>
      </w:pPr>
      <w:r w:rsidRPr="00960236">
        <w:t>3.2.1</w:t>
      </w:r>
      <w:r w:rsidRPr="00960236">
        <w:tab/>
      </w:r>
      <w:r w:rsidRPr="00960236">
        <w:tab/>
      </w:r>
      <w:r w:rsidRPr="00960236">
        <w:rPr>
          <w:iCs/>
        </w:rPr>
        <w:t xml:space="preserve">The </w:t>
      </w:r>
      <w:r w:rsidR="004E2C14">
        <w:rPr>
          <w:iCs/>
        </w:rPr>
        <w:t>modification</w:t>
      </w:r>
      <w:r w:rsidR="004E2C14" w:rsidRPr="00960236">
        <w:rPr>
          <w:iCs/>
        </w:rPr>
        <w:t xml:space="preserve"> </w:t>
      </w:r>
      <w:r w:rsidRPr="00960236">
        <w:rPr>
          <w:iCs/>
        </w:rPr>
        <w:t>does not apply to the English text.</w:t>
      </w:r>
    </w:p>
    <w:p w14:paraId="3A50104B" w14:textId="77777777" w:rsidR="00915BA8" w:rsidRPr="00960236" w:rsidRDefault="00915BA8" w:rsidP="00915BA8">
      <w:pPr>
        <w:pStyle w:val="SingleTxtG"/>
      </w:pPr>
      <w:r w:rsidRPr="00960236">
        <w:t>3.2.2</w:t>
      </w:r>
      <w:r w:rsidRPr="00960236">
        <w:tab/>
      </w:r>
      <w:r w:rsidR="00010A60" w:rsidRPr="00960236">
        <w:tab/>
      </w:r>
      <w:r w:rsidRPr="00960236">
        <w:t>In the table, replace “2.1”, “2.2” and “2.3” by “2”.</w:t>
      </w:r>
    </w:p>
    <w:p w14:paraId="2C8DE1B1" w14:textId="17EEA25F" w:rsidR="00915BA8" w:rsidRPr="00960236" w:rsidRDefault="004E407B" w:rsidP="004E407B">
      <w:pPr>
        <w:pStyle w:val="H23G"/>
      </w:pPr>
      <w:r>
        <w:tab/>
      </w:r>
      <w:r>
        <w:tab/>
      </w:r>
      <w:r w:rsidR="00915BA8" w:rsidRPr="00960236">
        <w:t>Chapter 3.3</w:t>
      </w:r>
    </w:p>
    <w:p w14:paraId="5A1811F9" w14:textId="77777777" w:rsidR="00E07FB5" w:rsidRPr="00960236" w:rsidRDefault="00E07FB5" w:rsidP="00E07FB5">
      <w:pPr>
        <w:pStyle w:val="SingleTxtG"/>
      </w:pPr>
      <w:r w:rsidRPr="00960236">
        <w:t>The amendment to special provision 188 (c) should read as follows:</w:t>
      </w:r>
    </w:p>
    <w:p w14:paraId="68767304" w14:textId="77777777" w:rsidR="00E07FB5" w:rsidRPr="00960236" w:rsidRDefault="00E07FB5" w:rsidP="00E07FB5">
      <w:pPr>
        <w:pStyle w:val="SingleTxtG"/>
      </w:pPr>
      <w:r w:rsidRPr="00960236">
        <w:lastRenderedPageBreak/>
        <w:t>“Special provision 188 (c)</w:t>
      </w:r>
      <w:r w:rsidRPr="00960236">
        <w:tab/>
        <w:t>Replace “2.2.9.1.7 (a) and (e)” by “2.2.9.1.7 (a), (e), (f) if applicable and (g)”.</w:t>
      </w:r>
    </w:p>
    <w:p w14:paraId="38AB3F18" w14:textId="1C4F1E71" w:rsidR="00362E4C" w:rsidRPr="00960236" w:rsidRDefault="00362E4C" w:rsidP="00362E4C">
      <w:pPr>
        <w:pStyle w:val="SingleTxtG"/>
        <w:rPr>
          <w:rStyle w:val="H1GChar"/>
          <w:b w:val="0"/>
          <w:sz w:val="20"/>
        </w:rPr>
      </w:pPr>
      <w:r w:rsidRPr="00960236">
        <w:rPr>
          <w:rStyle w:val="H1GChar"/>
          <w:b w:val="0"/>
          <w:sz w:val="20"/>
        </w:rPr>
        <w:t>Special provision 301</w:t>
      </w:r>
      <w:r w:rsidRPr="00960236">
        <w:rPr>
          <w:rStyle w:val="H1GChar"/>
          <w:b w:val="0"/>
          <w:sz w:val="20"/>
        </w:rPr>
        <w:tab/>
        <w:t>The</w:t>
      </w:r>
      <w:r w:rsidR="00AC745C" w:rsidRPr="00960236">
        <w:rPr>
          <w:rStyle w:val="H1GChar"/>
          <w:b w:val="0"/>
          <w:sz w:val="20"/>
        </w:rPr>
        <w:t xml:space="preserve"> first</w:t>
      </w:r>
      <w:r w:rsidRPr="00960236">
        <w:rPr>
          <w:rStyle w:val="H1GChar"/>
          <w:b w:val="0"/>
          <w:sz w:val="20"/>
        </w:rPr>
        <w:t xml:space="preserve"> </w:t>
      </w:r>
      <w:r w:rsidR="004E2C14">
        <w:rPr>
          <w:rStyle w:val="H1GChar"/>
          <w:b w:val="0"/>
          <w:sz w:val="20"/>
        </w:rPr>
        <w:t>modification</w:t>
      </w:r>
      <w:r w:rsidRPr="00960236">
        <w:rPr>
          <w:rStyle w:val="H1GChar"/>
          <w:b w:val="0"/>
          <w:sz w:val="20"/>
        </w:rPr>
        <w:t xml:space="preserve"> does not apply to the English text.</w:t>
      </w:r>
    </w:p>
    <w:p w14:paraId="1BC1BB26" w14:textId="77777777" w:rsidR="00AC745C" w:rsidRPr="00960236" w:rsidRDefault="00AC745C" w:rsidP="00AC745C">
      <w:pPr>
        <w:pStyle w:val="SingleTxtG"/>
        <w:rPr>
          <w:iCs/>
        </w:rPr>
      </w:pPr>
      <w:r w:rsidRPr="00960236">
        <w:rPr>
          <w:iCs/>
        </w:rPr>
        <w:t>Special provision 301</w:t>
      </w:r>
      <w:r w:rsidRPr="00960236">
        <w:rPr>
          <w:iCs/>
        </w:rPr>
        <w:tab/>
        <w:t>Delete the last sentence.</w:t>
      </w:r>
    </w:p>
    <w:p w14:paraId="1CA03B1C" w14:textId="4DEDD2CC" w:rsidR="00915BA8" w:rsidRPr="004E2C14" w:rsidRDefault="00915BA8" w:rsidP="00AC745C">
      <w:pPr>
        <w:pStyle w:val="SingleTxtG"/>
      </w:pPr>
      <w:r w:rsidRPr="004E2C14">
        <w:t>[</w:t>
      </w:r>
      <w:r w:rsidR="00362E4C" w:rsidRPr="004E2C14">
        <w:rPr>
          <w:rStyle w:val="H1GChar"/>
          <w:b w:val="0"/>
          <w:sz w:val="20"/>
        </w:rPr>
        <w:t>Special provision 301</w:t>
      </w:r>
      <w:r w:rsidR="00362E4C" w:rsidRPr="004E2C14">
        <w:rPr>
          <w:rStyle w:val="H1GChar"/>
          <w:b w:val="0"/>
          <w:sz w:val="20"/>
        </w:rPr>
        <w:tab/>
      </w:r>
      <w:r w:rsidR="00362E4C" w:rsidRPr="004E2C14">
        <w:t>At the end of this special provision, insert the following new note</w:t>
      </w:r>
      <w:r w:rsidRPr="004E2C14">
        <w:t>:</w:t>
      </w:r>
    </w:p>
    <w:p w14:paraId="4A086E46" w14:textId="77777777" w:rsidR="00915BA8" w:rsidRPr="00960236" w:rsidRDefault="00915BA8" w:rsidP="00362E4C">
      <w:pPr>
        <w:pStyle w:val="SingleTxtG"/>
      </w:pPr>
      <w:r w:rsidRPr="004E2C14">
        <w:rPr>
          <w:i/>
        </w:rPr>
        <w:t>“N</w:t>
      </w:r>
      <w:r w:rsidR="00362E4C" w:rsidRPr="004E2C14">
        <w:rPr>
          <w:i/>
        </w:rPr>
        <w:t>ote</w:t>
      </w:r>
      <w:r w:rsidRPr="004E2C14">
        <w:rPr>
          <w:i/>
        </w:rPr>
        <w:t>: In this special provision the reference to “a proper shipping name which already exists” excludes specific n.o.s. entries for UN Nos. 3537 to 3548.”.</w:t>
      </w:r>
      <w:r w:rsidRPr="004E2C14">
        <w:t>]</w:t>
      </w:r>
    </w:p>
    <w:p w14:paraId="407B49BF" w14:textId="77777777" w:rsidR="00915BA8" w:rsidRPr="00960236" w:rsidRDefault="00915BA8" w:rsidP="00915BA8">
      <w:pPr>
        <w:pStyle w:val="SingleTxtG"/>
        <w:rPr>
          <w:i/>
        </w:rPr>
      </w:pPr>
      <w:r w:rsidRPr="00960236">
        <w:rPr>
          <w:i/>
        </w:rPr>
        <w:t>(Reference document: informal document INF.47)</w:t>
      </w:r>
    </w:p>
    <w:p w14:paraId="0789FE2C" w14:textId="77777777" w:rsidR="00607400" w:rsidRPr="00EA740F" w:rsidRDefault="00607400" w:rsidP="00607400">
      <w:pPr>
        <w:pStyle w:val="SingleTxtG"/>
      </w:pPr>
      <w:r>
        <w:t>Special provision 307</w:t>
      </w:r>
      <w:r>
        <w:tab/>
        <w:t>At the end of the second sentence, after “Section 39”, add “subject to the restrictions of 2.2.51.2.2, thirteenth indent”.</w:t>
      </w:r>
    </w:p>
    <w:p w14:paraId="77B60262" w14:textId="4BF4E66F" w:rsidR="00607400" w:rsidRPr="00607400" w:rsidRDefault="00607400" w:rsidP="00397809">
      <w:pPr>
        <w:pStyle w:val="SingleTxtG"/>
        <w:rPr>
          <w:rStyle w:val="H1GChar"/>
          <w:b w:val="0"/>
          <w:i/>
          <w:sz w:val="20"/>
        </w:rPr>
      </w:pPr>
      <w:r>
        <w:rPr>
          <w:rStyle w:val="H1GChar"/>
          <w:b w:val="0"/>
          <w:i/>
          <w:sz w:val="20"/>
        </w:rPr>
        <w:t>(Consequential amendment)</w:t>
      </w:r>
    </w:p>
    <w:p w14:paraId="3F3DB830" w14:textId="38C8501C" w:rsidR="00397809" w:rsidRPr="00960236" w:rsidRDefault="00397809" w:rsidP="00397809">
      <w:pPr>
        <w:pStyle w:val="SingleTxtG"/>
        <w:rPr>
          <w:rStyle w:val="H1GChar"/>
          <w:b w:val="0"/>
          <w:sz w:val="20"/>
        </w:rPr>
      </w:pPr>
      <w:r w:rsidRPr="00960236">
        <w:rPr>
          <w:rStyle w:val="H1GChar"/>
          <w:b w:val="0"/>
          <w:sz w:val="20"/>
        </w:rPr>
        <w:t>Special provision 376</w:t>
      </w:r>
      <w:r w:rsidRPr="00960236">
        <w:rPr>
          <w:rStyle w:val="H1GChar"/>
          <w:b w:val="0"/>
          <w:sz w:val="20"/>
        </w:rPr>
        <w:tab/>
        <w:t>At the end of the second paragraph ending with “…ICAO Technical Instructions”, add the following sentence: “In both cases the cells and batteries are assigned to transport category 0.”. The second modification does not apply to the English text.</w:t>
      </w:r>
    </w:p>
    <w:p w14:paraId="3DCFEC6B" w14:textId="77777777" w:rsidR="00397809" w:rsidRPr="00960236" w:rsidRDefault="00397809" w:rsidP="00397809">
      <w:pPr>
        <w:pStyle w:val="SingleTxtG"/>
        <w:rPr>
          <w:iCs/>
        </w:rPr>
      </w:pPr>
      <w:r w:rsidRPr="00960236">
        <w:rPr>
          <w:rStyle w:val="H1GChar"/>
          <w:b w:val="0"/>
          <w:i/>
          <w:iCs/>
          <w:sz w:val="20"/>
        </w:rPr>
        <w:t>(Reference document: informal document INF.16)</w:t>
      </w:r>
    </w:p>
    <w:p w14:paraId="6CAD9CAF" w14:textId="44750F6D" w:rsidR="00362E4C" w:rsidRPr="00960236" w:rsidRDefault="00362E4C" w:rsidP="00362E4C">
      <w:pPr>
        <w:pStyle w:val="SingleTxtG"/>
        <w:rPr>
          <w:iCs/>
        </w:rPr>
      </w:pPr>
      <w:r w:rsidRPr="00960236">
        <w:t>Special provision 387</w:t>
      </w:r>
      <w:r w:rsidRPr="00960236">
        <w:tab/>
      </w:r>
      <w:r w:rsidRPr="00960236">
        <w:rPr>
          <w:iCs/>
        </w:rPr>
        <w:t xml:space="preserve">The </w:t>
      </w:r>
      <w:r w:rsidR="004E2C14" w:rsidRPr="00960236">
        <w:rPr>
          <w:rStyle w:val="H1GChar"/>
          <w:b w:val="0"/>
          <w:sz w:val="20"/>
        </w:rPr>
        <w:t xml:space="preserve">modification </w:t>
      </w:r>
      <w:r w:rsidRPr="00960236">
        <w:rPr>
          <w:iCs/>
        </w:rPr>
        <w:t>does not apply to the English text.</w:t>
      </w:r>
    </w:p>
    <w:p w14:paraId="5B60E148" w14:textId="67D7ABCE" w:rsidR="00362E4C" w:rsidRPr="00960236" w:rsidRDefault="00362E4C" w:rsidP="00362E4C">
      <w:pPr>
        <w:pStyle w:val="SingleTxtG"/>
        <w:rPr>
          <w:iCs/>
        </w:rPr>
      </w:pPr>
      <w:r w:rsidRPr="00960236">
        <w:t>Special provision 388</w:t>
      </w:r>
      <w:r w:rsidRPr="00960236">
        <w:tab/>
      </w:r>
      <w:r w:rsidRPr="00960236">
        <w:rPr>
          <w:iCs/>
        </w:rPr>
        <w:t xml:space="preserve">The </w:t>
      </w:r>
      <w:r w:rsidR="004E2C14" w:rsidRPr="00960236">
        <w:rPr>
          <w:rStyle w:val="H1GChar"/>
          <w:b w:val="0"/>
          <w:sz w:val="20"/>
        </w:rPr>
        <w:t xml:space="preserve">modification </w:t>
      </w:r>
      <w:r w:rsidRPr="00960236">
        <w:rPr>
          <w:iCs/>
        </w:rPr>
        <w:t>does not apply to the English text.</w:t>
      </w:r>
    </w:p>
    <w:p w14:paraId="1887EF8E" w14:textId="77777777" w:rsidR="00362E4C" w:rsidRPr="00960236" w:rsidRDefault="00362E4C" w:rsidP="00362E4C">
      <w:pPr>
        <w:pStyle w:val="SingleTxtG"/>
      </w:pPr>
      <w:r w:rsidRPr="00960236">
        <w:t>Special provision 389</w:t>
      </w:r>
      <w:r w:rsidRPr="00960236">
        <w:rPr>
          <w:rStyle w:val="H1GChar"/>
        </w:rPr>
        <w:tab/>
      </w:r>
      <w:r w:rsidRPr="00960236">
        <w:t>Amend the first paragraph to read as follows:</w:t>
      </w:r>
    </w:p>
    <w:p w14:paraId="31FDCE36" w14:textId="30DA8937" w:rsidR="00362E4C" w:rsidRPr="00960236" w:rsidRDefault="00362E4C" w:rsidP="00362E4C">
      <w:pPr>
        <w:pStyle w:val="SingleTxtG"/>
      </w:pPr>
      <w:r w:rsidRPr="00960236">
        <w:t>“This entry only applies to cargo transport units in which lithium ion batteries or lithium metal batteries are installed and which are designed only to provide power external to the unit. The lithium batteries shall meet the provisions of 2.2.9.1.7</w:t>
      </w:r>
      <w:r w:rsidRPr="00960236" w:rsidDel="00D5295B">
        <w:t xml:space="preserve"> </w:t>
      </w:r>
      <w:r w:rsidRPr="00960236">
        <w:t>(a) to (g) and contain the necessary systems to prevent overcharge and over discharge between the batteries.”.</w:t>
      </w:r>
    </w:p>
    <w:p w14:paraId="70DCCD39" w14:textId="77777777" w:rsidR="00362E4C" w:rsidRPr="00960236" w:rsidRDefault="00362E4C" w:rsidP="00362E4C">
      <w:pPr>
        <w:pStyle w:val="SingleTxtG"/>
        <w:rPr>
          <w:rStyle w:val="H1GChar"/>
          <w:b w:val="0"/>
          <w:i/>
          <w:iCs/>
          <w:sz w:val="20"/>
        </w:rPr>
      </w:pPr>
      <w:r w:rsidRPr="00960236">
        <w:rPr>
          <w:rStyle w:val="H1GChar"/>
          <w:b w:val="0"/>
          <w:i/>
          <w:iCs/>
          <w:sz w:val="20"/>
        </w:rPr>
        <w:t>(Reference document: informal document INF.48)</w:t>
      </w:r>
    </w:p>
    <w:p w14:paraId="493A93D4" w14:textId="16B94933" w:rsidR="00A03CA7" w:rsidRPr="00960236" w:rsidRDefault="00A03CA7" w:rsidP="00A03CA7">
      <w:pPr>
        <w:pStyle w:val="SingleTxtG"/>
        <w:rPr>
          <w:rStyle w:val="H1GChar"/>
          <w:b w:val="0"/>
          <w:sz w:val="20"/>
        </w:rPr>
      </w:pPr>
      <w:r w:rsidRPr="00960236">
        <w:t>Special provision 389</w:t>
      </w:r>
      <w:r w:rsidRPr="00960236">
        <w:tab/>
        <w:t xml:space="preserve"> </w:t>
      </w:r>
      <w:r w:rsidRPr="00960236">
        <w:rPr>
          <w:iCs/>
        </w:rPr>
        <w:t xml:space="preserve">The </w:t>
      </w:r>
      <w:r w:rsidR="004E2C14">
        <w:rPr>
          <w:iCs/>
        </w:rPr>
        <w:t>modification</w:t>
      </w:r>
      <w:r w:rsidRPr="00960236">
        <w:rPr>
          <w:iCs/>
        </w:rPr>
        <w:t xml:space="preserve"> </w:t>
      </w:r>
      <w:r w:rsidR="00200BFC">
        <w:t>of</w:t>
      </w:r>
      <w:r w:rsidR="00064F47" w:rsidRPr="00960236">
        <w:t xml:space="preserve"> the second paragraph</w:t>
      </w:r>
      <w:r w:rsidR="00064F47" w:rsidRPr="00960236">
        <w:rPr>
          <w:iCs/>
        </w:rPr>
        <w:t xml:space="preserve"> </w:t>
      </w:r>
      <w:r w:rsidRPr="00960236">
        <w:rPr>
          <w:iCs/>
        </w:rPr>
        <w:t>does not apply to the English text.</w:t>
      </w:r>
    </w:p>
    <w:p w14:paraId="490A953F" w14:textId="26B39FA5" w:rsidR="00A4005F" w:rsidRPr="00960236" w:rsidRDefault="00A4005F" w:rsidP="00A4005F">
      <w:pPr>
        <w:pStyle w:val="SingleTxtG"/>
        <w:rPr>
          <w:rStyle w:val="SingleTxtGZchnZchn"/>
        </w:rPr>
      </w:pPr>
      <w:r w:rsidRPr="00960236">
        <w:rPr>
          <w:rStyle w:val="SingleTxtGZchnZchn"/>
        </w:rPr>
        <w:t xml:space="preserve">Special provision 392 </w:t>
      </w:r>
      <w:r w:rsidRPr="00960236">
        <w:rPr>
          <w:rStyle w:val="SingleTxtGZchnZchn"/>
        </w:rPr>
        <w:tab/>
        <w:t xml:space="preserve">The </w:t>
      </w:r>
      <w:r w:rsidR="004E2C14">
        <w:rPr>
          <w:iCs/>
        </w:rPr>
        <w:t>modification</w:t>
      </w:r>
      <w:r w:rsidR="004E2C14" w:rsidRPr="00960236">
        <w:rPr>
          <w:iCs/>
        </w:rPr>
        <w:t xml:space="preserve"> </w:t>
      </w:r>
      <w:r w:rsidR="00200BFC">
        <w:rPr>
          <w:rStyle w:val="SingleTxtGZchnZchn"/>
        </w:rPr>
        <w:t>of</w:t>
      </w:r>
      <w:r w:rsidRPr="00960236">
        <w:rPr>
          <w:rStyle w:val="SingleTxtGZchnZchn"/>
        </w:rPr>
        <w:t xml:space="preserve"> the first sentence to does not apply to the English text.</w:t>
      </w:r>
    </w:p>
    <w:p w14:paraId="61B9FB37" w14:textId="77777777" w:rsidR="00362E4C" w:rsidRPr="00960236" w:rsidRDefault="00362E4C" w:rsidP="00362E4C">
      <w:pPr>
        <w:pStyle w:val="SingleTxtG"/>
        <w:rPr>
          <w:rStyle w:val="H1GChar"/>
          <w:b w:val="0"/>
          <w:sz w:val="20"/>
        </w:rPr>
      </w:pPr>
      <w:r w:rsidRPr="00960236">
        <w:rPr>
          <w:rStyle w:val="H1GChar"/>
          <w:b w:val="0"/>
          <w:sz w:val="20"/>
        </w:rPr>
        <w:t>Special provision 392 (f)</w:t>
      </w:r>
      <w:r w:rsidRPr="00960236">
        <w:rPr>
          <w:rStyle w:val="H1GChar"/>
          <w:b w:val="0"/>
          <w:sz w:val="20"/>
        </w:rPr>
        <w:tab/>
        <w:t xml:space="preserve">Delete “(f) </w:t>
      </w:r>
      <w:r w:rsidRPr="00960236">
        <w:rPr>
          <w:rStyle w:val="H1GChar"/>
          <w:b w:val="0"/>
          <w:i/>
          <w:iCs/>
          <w:sz w:val="20"/>
        </w:rPr>
        <w:t>(Reserved)</w:t>
      </w:r>
      <w:r w:rsidRPr="00960236">
        <w:rPr>
          <w:rStyle w:val="H1GChar"/>
          <w:b w:val="0"/>
          <w:sz w:val="20"/>
        </w:rPr>
        <w:t>”.</w:t>
      </w:r>
    </w:p>
    <w:p w14:paraId="36E76265" w14:textId="3A058213" w:rsidR="00362E4C" w:rsidRPr="00960236" w:rsidRDefault="00362E4C" w:rsidP="00362E4C">
      <w:pPr>
        <w:pStyle w:val="SingleTxtG"/>
        <w:rPr>
          <w:rStyle w:val="H1GChar"/>
          <w:b w:val="0"/>
          <w:sz w:val="20"/>
        </w:rPr>
      </w:pPr>
      <w:r w:rsidRPr="00960236">
        <w:rPr>
          <w:rStyle w:val="H1GChar"/>
          <w:b w:val="0"/>
          <w:sz w:val="20"/>
        </w:rPr>
        <w:t xml:space="preserve">Special provision 392, in the table for </w:t>
      </w:r>
      <w:r w:rsidRPr="00960236">
        <w:t xml:space="preserve">ISO 11439:2013, the </w:t>
      </w:r>
      <w:r w:rsidR="004E2C14">
        <w:rPr>
          <w:iCs/>
        </w:rPr>
        <w:t>modification</w:t>
      </w:r>
      <w:r w:rsidR="004E2C14" w:rsidRPr="00960236">
        <w:rPr>
          <w:iCs/>
        </w:rPr>
        <w:t xml:space="preserve"> </w:t>
      </w:r>
      <w:r w:rsidRPr="00960236">
        <w:t>does not apply to the English text.</w:t>
      </w:r>
    </w:p>
    <w:p w14:paraId="65B6885E" w14:textId="6249B5B1" w:rsidR="00362E4C" w:rsidRPr="00960236" w:rsidRDefault="00362E4C" w:rsidP="00362E4C">
      <w:pPr>
        <w:pStyle w:val="SingleTxtG"/>
        <w:rPr>
          <w:rStyle w:val="H1GChar"/>
          <w:b w:val="0"/>
          <w:sz w:val="20"/>
        </w:rPr>
      </w:pPr>
      <w:r w:rsidRPr="00960236">
        <w:rPr>
          <w:rStyle w:val="H1GChar"/>
          <w:b w:val="0"/>
          <w:sz w:val="20"/>
        </w:rPr>
        <w:t xml:space="preserve">Special provision 392, in the table, for </w:t>
      </w:r>
      <w:r w:rsidRPr="00960236">
        <w:t xml:space="preserve">ISO/TS 15869:2009, the </w:t>
      </w:r>
      <w:r w:rsidR="004E2C14">
        <w:rPr>
          <w:iCs/>
        </w:rPr>
        <w:t>modification</w:t>
      </w:r>
      <w:r w:rsidR="004E2C14" w:rsidRPr="00960236">
        <w:rPr>
          <w:iCs/>
        </w:rPr>
        <w:t xml:space="preserve"> </w:t>
      </w:r>
      <w:r w:rsidRPr="00960236">
        <w:t>does not apply to the English text.</w:t>
      </w:r>
    </w:p>
    <w:p w14:paraId="0CCEF853" w14:textId="77777777" w:rsidR="00915BA8" w:rsidRPr="00960236" w:rsidRDefault="00915BA8" w:rsidP="00010A60">
      <w:pPr>
        <w:pStyle w:val="SingleTxtG"/>
        <w:rPr>
          <w:rStyle w:val="SingleTxtGZchnZchn"/>
        </w:rPr>
      </w:pPr>
      <w:r w:rsidRPr="00960236">
        <w:rPr>
          <w:rStyle w:val="SingleTxtGZchnZchn"/>
        </w:rPr>
        <w:t>Special provision 660</w:t>
      </w:r>
      <w:r w:rsidRPr="00960236">
        <w:rPr>
          <w:rStyle w:val="SingleTxtGZchnZchn"/>
        </w:rPr>
        <w:tab/>
        <w:t>Delete the amendment.</w:t>
      </w:r>
    </w:p>
    <w:p w14:paraId="7B1935EE" w14:textId="77777777" w:rsidR="00915BA8" w:rsidRPr="00960236" w:rsidRDefault="00915BA8" w:rsidP="00010A60">
      <w:pPr>
        <w:pStyle w:val="SingleTxtG"/>
        <w:rPr>
          <w:rStyle w:val="H1GChar"/>
          <w:b w:val="0"/>
          <w:sz w:val="20"/>
        </w:rPr>
      </w:pPr>
      <w:r w:rsidRPr="00960236">
        <w:rPr>
          <w:rStyle w:val="H1GChar"/>
          <w:b w:val="0"/>
          <w:sz w:val="20"/>
        </w:rPr>
        <w:t>Special provision 666</w:t>
      </w:r>
      <w:r w:rsidRPr="00960236">
        <w:rPr>
          <w:rStyle w:val="H1GChar"/>
          <w:b w:val="0"/>
          <w:sz w:val="20"/>
        </w:rPr>
        <w:tab/>
        <w:t>Delete the amendment.</w:t>
      </w:r>
    </w:p>
    <w:p w14:paraId="1136EAFE" w14:textId="77777777" w:rsidR="00915BA8" w:rsidRPr="00960236" w:rsidRDefault="00915BA8" w:rsidP="00010A60">
      <w:pPr>
        <w:pStyle w:val="SingleTxtG"/>
        <w:rPr>
          <w:rStyle w:val="H1GChar"/>
          <w:b w:val="0"/>
          <w:sz w:val="20"/>
        </w:rPr>
      </w:pPr>
      <w:r w:rsidRPr="00960236">
        <w:rPr>
          <w:rStyle w:val="H1GChar"/>
          <w:b w:val="0"/>
          <w:sz w:val="20"/>
        </w:rPr>
        <w:t>Special provision 671</w:t>
      </w:r>
      <w:r w:rsidRPr="00960236">
        <w:rPr>
          <w:rStyle w:val="H1GChar"/>
          <w:b w:val="0"/>
          <w:sz w:val="20"/>
        </w:rPr>
        <w:tab/>
        <w:t>Amend to read as follows:</w:t>
      </w:r>
    </w:p>
    <w:p w14:paraId="02E1CBBF" w14:textId="7503DA2A" w:rsidR="00915BA8" w:rsidRPr="00960236" w:rsidRDefault="00915BA8" w:rsidP="00915BA8">
      <w:pPr>
        <w:pStyle w:val="SingleTxtG"/>
      </w:pPr>
      <w:r w:rsidRPr="00960236">
        <w:rPr>
          <w:rStyle w:val="H1GChar"/>
        </w:rPr>
        <w:t>“</w:t>
      </w:r>
      <w:r w:rsidRPr="00960236">
        <w:t>671</w:t>
      </w:r>
      <w:r w:rsidRPr="00960236">
        <w:tab/>
        <w:t>For the purposes of the total maximum permissible quantity per wagon or large container/exemption related to quantities carried per transport unit (see 1.1.3.6), the transpor</w:t>
      </w:r>
      <w:r w:rsidR="00D064B9">
        <w:t xml:space="preserve">t category shall be determined </w:t>
      </w:r>
      <w:r w:rsidRPr="00960236">
        <w:t>in relation to the packing group (see paragraph 3 of special provision 251):</w:t>
      </w:r>
    </w:p>
    <w:p w14:paraId="2B521E14" w14:textId="77777777" w:rsidR="00915BA8" w:rsidRPr="00960236" w:rsidRDefault="00915BA8" w:rsidP="00915BA8">
      <w:pPr>
        <w:pStyle w:val="SingleTxtG"/>
      </w:pPr>
      <w:r w:rsidRPr="00960236">
        <w:lastRenderedPageBreak/>
        <w:t xml:space="preserve">- </w:t>
      </w:r>
      <w:r w:rsidRPr="00960236">
        <w:tab/>
        <w:t>Transport category 3 for kits assigned to packing group III;</w:t>
      </w:r>
    </w:p>
    <w:p w14:paraId="0858A7E2" w14:textId="77777777" w:rsidR="00915BA8" w:rsidRPr="00960236" w:rsidRDefault="00915BA8" w:rsidP="00915BA8">
      <w:pPr>
        <w:pStyle w:val="SingleTxtG"/>
      </w:pPr>
      <w:r w:rsidRPr="00960236">
        <w:t>-</w:t>
      </w:r>
      <w:r w:rsidRPr="00960236">
        <w:tab/>
        <w:t>Transport category 2 for kits assigned to packing group II;</w:t>
      </w:r>
    </w:p>
    <w:p w14:paraId="4C2D3F93" w14:textId="77777777" w:rsidR="00915BA8" w:rsidRPr="00960236" w:rsidRDefault="00915BA8" w:rsidP="00915BA8">
      <w:pPr>
        <w:pStyle w:val="SingleTxtG"/>
        <w:rPr>
          <w:rStyle w:val="H1GChar"/>
          <w:b w:val="0"/>
        </w:rPr>
      </w:pPr>
      <w:r w:rsidRPr="00960236">
        <w:t>-</w:t>
      </w:r>
      <w:r w:rsidRPr="00960236">
        <w:tab/>
        <w:t>Transport category 1 for kits assigned to packing group I.”.</w:t>
      </w:r>
    </w:p>
    <w:p w14:paraId="7EECC643" w14:textId="77777777" w:rsidR="00915BA8" w:rsidRPr="00960236" w:rsidRDefault="00915BA8" w:rsidP="00520A98">
      <w:pPr>
        <w:pStyle w:val="SingleTxtG"/>
        <w:rPr>
          <w:rStyle w:val="H1GChar"/>
          <w:b w:val="0"/>
          <w:i/>
          <w:iCs/>
          <w:sz w:val="20"/>
        </w:rPr>
      </w:pPr>
      <w:r w:rsidRPr="00960236">
        <w:rPr>
          <w:rStyle w:val="H1GChar"/>
          <w:b w:val="0"/>
          <w:i/>
          <w:iCs/>
          <w:sz w:val="20"/>
        </w:rPr>
        <w:t xml:space="preserve"> (Reference document: informal document INF.50)</w:t>
      </w:r>
    </w:p>
    <w:p w14:paraId="5C7EECB4" w14:textId="77777777" w:rsidR="002E2862" w:rsidRPr="004E407B" w:rsidRDefault="00915BA8" w:rsidP="004E407B">
      <w:pPr>
        <w:pStyle w:val="H23G"/>
      </w:pPr>
      <w:r w:rsidRPr="004E407B">
        <w:rPr>
          <w:b w:val="0"/>
        </w:rPr>
        <w:tab/>
      </w:r>
      <w:r w:rsidRPr="004E407B">
        <w:tab/>
      </w:r>
      <w:r w:rsidR="002E2862" w:rsidRPr="004E407B">
        <w:t>Chapter 4.1</w:t>
      </w:r>
    </w:p>
    <w:p w14:paraId="0C4B92AE" w14:textId="3D53CF1A" w:rsidR="002E2862" w:rsidRPr="00960236" w:rsidRDefault="002E2862" w:rsidP="002E2862">
      <w:pPr>
        <w:pStyle w:val="SingleTxtG"/>
      </w:pPr>
      <w:r w:rsidRPr="00960236">
        <w:t>4.1.4.1, P520</w:t>
      </w:r>
      <w:r w:rsidRPr="00960236">
        <w:tab/>
      </w:r>
      <w:r w:rsidR="00A67AA9" w:rsidRPr="00960236">
        <w:tab/>
      </w:r>
      <w:r w:rsidR="00A67AA9" w:rsidRPr="00960236">
        <w:rPr>
          <w:iCs/>
        </w:rPr>
        <w:t xml:space="preserve">The </w:t>
      </w:r>
      <w:r w:rsidR="004E2C14">
        <w:rPr>
          <w:iCs/>
        </w:rPr>
        <w:t>modification</w:t>
      </w:r>
      <w:r w:rsidR="004E2C14" w:rsidRPr="00960236">
        <w:rPr>
          <w:iCs/>
        </w:rPr>
        <w:t xml:space="preserve"> </w:t>
      </w:r>
      <w:r w:rsidR="00A67AA9" w:rsidRPr="00960236">
        <w:rPr>
          <w:iCs/>
        </w:rPr>
        <w:t>does not apply to the English text.</w:t>
      </w:r>
      <w:r w:rsidRPr="00960236">
        <w:tab/>
      </w:r>
    </w:p>
    <w:p w14:paraId="4A46D628" w14:textId="28F4A718" w:rsidR="00A67AA9" w:rsidRPr="00960236" w:rsidRDefault="002E2862" w:rsidP="00A67AA9">
      <w:pPr>
        <w:pStyle w:val="SingleTxtG"/>
      </w:pPr>
      <w:r w:rsidRPr="00960236">
        <w:t>4.1.4.1, P907</w:t>
      </w:r>
      <w:r w:rsidRPr="00960236">
        <w:tab/>
      </w:r>
      <w:r w:rsidR="00A67AA9" w:rsidRPr="00960236">
        <w:tab/>
      </w:r>
      <w:r w:rsidR="00A67AA9" w:rsidRPr="00960236">
        <w:rPr>
          <w:iCs/>
        </w:rPr>
        <w:t xml:space="preserve">The </w:t>
      </w:r>
      <w:r w:rsidR="004E2C14">
        <w:rPr>
          <w:iCs/>
        </w:rPr>
        <w:t>modification</w:t>
      </w:r>
      <w:r w:rsidR="004E2C14" w:rsidRPr="00960236">
        <w:rPr>
          <w:iCs/>
        </w:rPr>
        <w:t xml:space="preserve"> </w:t>
      </w:r>
      <w:r w:rsidR="00A67AA9" w:rsidRPr="00960236">
        <w:rPr>
          <w:iCs/>
        </w:rPr>
        <w:t>does not apply to the English text.</w:t>
      </w:r>
      <w:r w:rsidRPr="00960236">
        <w:tab/>
      </w:r>
    </w:p>
    <w:p w14:paraId="1A92982C" w14:textId="6BEB136B" w:rsidR="002E2862" w:rsidRPr="00960236" w:rsidRDefault="002E2862" w:rsidP="00A67AA9">
      <w:pPr>
        <w:pStyle w:val="SingleTxtG"/>
      </w:pPr>
      <w:r w:rsidRPr="00960236">
        <w:t>4.1.4.3, LP03</w:t>
      </w:r>
      <w:r w:rsidR="00A67AA9" w:rsidRPr="00960236">
        <w:tab/>
      </w:r>
      <w:r w:rsidR="00A67AA9" w:rsidRPr="00960236">
        <w:tab/>
      </w:r>
      <w:r w:rsidR="00A67AA9" w:rsidRPr="00960236">
        <w:rPr>
          <w:iCs/>
        </w:rPr>
        <w:t xml:space="preserve">The </w:t>
      </w:r>
      <w:r w:rsidR="004E2C14">
        <w:rPr>
          <w:iCs/>
        </w:rPr>
        <w:t>modification</w:t>
      </w:r>
      <w:r w:rsidR="004E2C14" w:rsidRPr="00960236">
        <w:rPr>
          <w:iCs/>
        </w:rPr>
        <w:t xml:space="preserve"> </w:t>
      </w:r>
      <w:r w:rsidR="00A67AA9" w:rsidRPr="00960236">
        <w:rPr>
          <w:iCs/>
        </w:rPr>
        <w:t>does not apply to the English text.</w:t>
      </w:r>
      <w:r w:rsidRPr="00960236">
        <w:tab/>
      </w:r>
      <w:r w:rsidRPr="00960236">
        <w:tab/>
      </w:r>
    </w:p>
    <w:p w14:paraId="04E48915" w14:textId="7053926C" w:rsidR="00A67AA9" w:rsidRPr="00960236" w:rsidRDefault="002E2862" w:rsidP="00A67AA9">
      <w:pPr>
        <w:pStyle w:val="SingleTxtG"/>
      </w:pPr>
      <w:r w:rsidRPr="00960236">
        <w:t>4.1.4.3, LP905</w:t>
      </w:r>
      <w:r w:rsidR="00A67AA9" w:rsidRPr="00960236">
        <w:tab/>
      </w:r>
      <w:r w:rsidR="00A67AA9" w:rsidRPr="00960236">
        <w:rPr>
          <w:iCs/>
        </w:rPr>
        <w:t xml:space="preserve">The </w:t>
      </w:r>
      <w:r w:rsidR="004E2C14">
        <w:rPr>
          <w:iCs/>
        </w:rPr>
        <w:t>modification</w:t>
      </w:r>
      <w:r w:rsidR="004E2C14" w:rsidRPr="00960236">
        <w:rPr>
          <w:iCs/>
        </w:rPr>
        <w:t xml:space="preserve"> </w:t>
      </w:r>
      <w:r w:rsidR="00A67AA9" w:rsidRPr="00960236">
        <w:rPr>
          <w:iCs/>
        </w:rPr>
        <w:t>does not apply to the English text.</w:t>
      </w:r>
      <w:r w:rsidRPr="00960236">
        <w:tab/>
      </w:r>
    </w:p>
    <w:p w14:paraId="4E6BADD7" w14:textId="174F8586" w:rsidR="002E2862" w:rsidRPr="00960236" w:rsidRDefault="002E2862" w:rsidP="00A67AA9">
      <w:pPr>
        <w:pStyle w:val="SingleTxtG"/>
      </w:pPr>
      <w:r w:rsidRPr="00960236">
        <w:t>4.1.4.3, LP906</w:t>
      </w:r>
      <w:r w:rsidR="00A67AA9" w:rsidRPr="00960236">
        <w:tab/>
      </w:r>
      <w:r w:rsidR="00A67AA9" w:rsidRPr="00960236">
        <w:rPr>
          <w:iCs/>
        </w:rPr>
        <w:t xml:space="preserve">The </w:t>
      </w:r>
      <w:r w:rsidR="004E2C14">
        <w:rPr>
          <w:iCs/>
        </w:rPr>
        <w:t>modification</w:t>
      </w:r>
      <w:r w:rsidR="004E2C14" w:rsidRPr="00960236">
        <w:rPr>
          <w:iCs/>
        </w:rPr>
        <w:t xml:space="preserve"> </w:t>
      </w:r>
      <w:r w:rsidR="00A67AA9" w:rsidRPr="00960236">
        <w:rPr>
          <w:iCs/>
        </w:rPr>
        <w:t>does not apply to the English text.</w:t>
      </w:r>
      <w:r w:rsidRPr="00960236">
        <w:tab/>
      </w:r>
    </w:p>
    <w:p w14:paraId="13F8E853" w14:textId="77777777" w:rsidR="00915BA8" w:rsidRPr="004E407B" w:rsidRDefault="002E2862" w:rsidP="004E407B">
      <w:pPr>
        <w:pStyle w:val="H23G"/>
      </w:pPr>
      <w:r w:rsidRPr="004E407B">
        <w:tab/>
      </w:r>
      <w:r w:rsidRPr="004E407B">
        <w:tab/>
      </w:r>
      <w:r w:rsidR="00915BA8" w:rsidRPr="004E407B">
        <w:t>Chapter 5.2</w:t>
      </w:r>
    </w:p>
    <w:p w14:paraId="4EF57C1D" w14:textId="09838B2F" w:rsidR="00BE0DA6" w:rsidRPr="00960236" w:rsidRDefault="00BE0DA6" w:rsidP="00010A60">
      <w:pPr>
        <w:pStyle w:val="SingleTxtG"/>
        <w:rPr>
          <w:rStyle w:val="H1GChar"/>
          <w:b w:val="0"/>
          <w:bCs/>
          <w:sz w:val="20"/>
        </w:rPr>
      </w:pPr>
      <w:r w:rsidRPr="00960236">
        <w:rPr>
          <w:rStyle w:val="H1GChar"/>
          <w:b w:val="0"/>
          <w:bCs/>
          <w:sz w:val="20"/>
        </w:rPr>
        <w:t>5.2.1, Note 2</w:t>
      </w:r>
      <w:r w:rsidRPr="00960236">
        <w:rPr>
          <w:rStyle w:val="H1GChar"/>
          <w:b w:val="0"/>
          <w:bCs/>
          <w:sz w:val="20"/>
        </w:rPr>
        <w:tab/>
      </w:r>
      <w:r w:rsidRPr="00960236">
        <w:rPr>
          <w:rStyle w:val="H1GChar"/>
          <w:b w:val="0"/>
          <w:bCs/>
          <w:sz w:val="20"/>
        </w:rPr>
        <w:tab/>
      </w:r>
      <w:r w:rsidRPr="00960236">
        <w:rPr>
          <w:iCs/>
        </w:rPr>
        <w:t xml:space="preserve">The </w:t>
      </w:r>
      <w:r w:rsidR="00200BFC">
        <w:rPr>
          <w:iCs/>
        </w:rPr>
        <w:t>modification</w:t>
      </w:r>
      <w:r w:rsidR="00200BFC" w:rsidRPr="00960236">
        <w:rPr>
          <w:iCs/>
        </w:rPr>
        <w:t xml:space="preserve"> </w:t>
      </w:r>
      <w:r w:rsidRPr="00960236">
        <w:rPr>
          <w:iCs/>
        </w:rPr>
        <w:t>does not apply to the English text.</w:t>
      </w:r>
    </w:p>
    <w:p w14:paraId="3AA734B6" w14:textId="77777777" w:rsidR="00915BA8" w:rsidRPr="00960236" w:rsidRDefault="00915BA8" w:rsidP="00010A60">
      <w:pPr>
        <w:pStyle w:val="SingleTxtG"/>
      </w:pPr>
      <w:r w:rsidRPr="00960236">
        <w:rPr>
          <w:rStyle w:val="H1GChar"/>
          <w:b w:val="0"/>
          <w:bCs/>
          <w:sz w:val="20"/>
        </w:rPr>
        <w:t>5.2.2.1.12.1</w:t>
      </w:r>
      <w:r w:rsidRPr="00960236">
        <w:rPr>
          <w:rStyle w:val="H1GChar"/>
          <w:b w:val="0"/>
          <w:bCs/>
          <w:sz w:val="20"/>
        </w:rPr>
        <w:tab/>
      </w:r>
      <w:r w:rsidR="00010A60" w:rsidRPr="00960236">
        <w:rPr>
          <w:rStyle w:val="H1GChar"/>
          <w:b w:val="0"/>
          <w:bCs/>
          <w:sz w:val="20"/>
        </w:rPr>
        <w:tab/>
      </w:r>
      <w:r w:rsidRPr="00960236">
        <w:rPr>
          <w:rStyle w:val="H1GChar"/>
          <w:b w:val="0"/>
          <w:bCs/>
          <w:sz w:val="20"/>
        </w:rPr>
        <w:t>Amend</w:t>
      </w:r>
      <w:r w:rsidRPr="00960236">
        <w:rPr>
          <w:rStyle w:val="H1GChar"/>
          <w:sz w:val="20"/>
        </w:rPr>
        <w:t xml:space="preserve"> </w:t>
      </w:r>
      <w:r w:rsidRPr="00960236">
        <w:t>to read as follows:</w:t>
      </w:r>
    </w:p>
    <w:p w14:paraId="3B9DEB3B" w14:textId="77777777" w:rsidR="00915BA8" w:rsidRPr="00960236" w:rsidRDefault="00915BA8" w:rsidP="00010A60">
      <w:pPr>
        <w:pStyle w:val="SingleTxtG"/>
        <w:rPr>
          <w:rFonts w:eastAsia="SimSun"/>
        </w:rPr>
      </w:pPr>
      <w:r w:rsidRPr="00960236">
        <w:rPr>
          <w:rFonts w:eastAsia="SimSun"/>
        </w:rPr>
        <w:t>“5.2.2.1.12.1</w:t>
      </w:r>
      <w:r w:rsidRPr="00960236">
        <w:rPr>
          <w:rFonts w:eastAsia="SimSun"/>
        </w:rPr>
        <w:tab/>
      </w:r>
      <w:r w:rsidR="00010A60" w:rsidRPr="00960236">
        <w:rPr>
          <w:rFonts w:eastAsia="SimSun"/>
        </w:rPr>
        <w:tab/>
      </w:r>
      <w:r w:rsidRPr="00960236">
        <w:rPr>
          <w:rFonts w:eastAsia="SimSun"/>
        </w:rPr>
        <w:t xml:space="preserve">Packages </w:t>
      </w:r>
      <w:r w:rsidRPr="00960236">
        <w:rPr>
          <w:rStyle w:val="H1GChar"/>
          <w:b w:val="0"/>
          <w:sz w:val="20"/>
        </w:rPr>
        <w:t>containing articles or articles carried unpackaged</w:t>
      </w:r>
      <w:r w:rsidRPr="00960236">
        <w:rPr>
          <w:rFonts w:eastAsia="SimSun"/>
        </w:rPr>
        <w:t xml:space="preserve"> shall bear labels according to 5.2.2.1 reflecting the hazards established according to 2.1.5, except that for articles that in addition contain lithium batteries, a lithium battery mark or a label conforming to model No. 9A is not required.”.</w:t>
      </w:r>
    </w:p>
    <w:p w14:paraId="34560A5B" w14:textId="77777777" w:rsidR="00915BA8" w:rsidRPr="00960236" w:rsidRDefault="00915BA8" w:rsidP="00915BA8">
      <w:pPr>
        <w:pStyle w:val="SingleTxtG"/>
        <w:rPr>
          <w:rFonts w:eastAsia="SimSun"/>
          <w:i/>
          <w:iCs/>
        </w:rPr>
      </w:pPr>
      <w:r w:rsidRPr="00960236">
        <w:rPr>
          <w:rFonts w:eastAsia="SimSun"/>
          <w:i/>
          <w:iCs/>
        </w:rPr>
        <w:t>(Reference document: ECE/TRANS/WP.15/AC.1/2017/39, as amended)</w:t>
      </w:r>
    </w:p>
    <w:p w14:paraId="63D80951" w14:textId="4B7D9FD9" w:rsidR="00915BA8" w:rsidRPr="00960236" w:rsidRDefault="00915BA8" w:rsidP="00915BA8">
      <w:pPr>
        <w:pStyle w:val="SingleTxtG"/>
      </w:pPr>
      <w:r w:rsidRPr="00960236">
        <w:t>5.2.2.2.2</w:t>
      </w:r>
      <w:r w:rsidRPr="00960236">
        <w:tab/>
        <w:t xml:space="preserve">In the table, in the sub-headings, add “hazard” after “Class 1”, “Class 2”, “Class 3”, “Class 4.1”, “Class 4.2”, “Class 4.3”, “Class 5.1”, “Class 5.2”, “Class 6.1”, “Class 6.2”, “Class 7”, “Class 8” and “Class 9”. For Class 7, in the second column, replace “Category I”, “Category II” and “Category III” by “Category I – </w:t>
      </w:r>
      <w:r w:rsidR="00D064B9">
        <w:t>WHITE</w:t>
      </w:r>
      <w:r w:rsidRPr="00960236">
        <w:t xml:space="preserve">”, “Category II – </w:t>
      </w:r>
      <w:r w:rsidR="00D064B9" w:rsidRPr="00960236">
        <w:t>YELLOW</w:t>
      </w:r>
      <w:r w:rsidRPr="00960236">
        <w:t xml:space="preserve">” and “Category III – </w:t>
      </w:r>
      <w:r w:rsidR="00D064B9" w:rsidRPr="00960236">
        <w:t>YELLOW</w:t>
      </w:r>
      <w:r w:rsidRPr="00960236">
        <w:t>” respectively.</w:t>
      </w:r>
    </w:p>
    <w:p w14:paraId="71EA5478" w14:textId="0344027F" w:rsidR="00346574" w:rsidRPr="004E407B" w:rsidRDefault="004E407B" w:rsidP="004E407B">
      <w:pPr>
        <w:pStyle w:val="H23G"/>
      </w:pPr>
      <w:r>
        <w:tab/>
      </w:r>
      <w:r>
        <w:tab/>
      </w:r>
      <w:r w:rsidR="00346574" w:rsidRPr="004E407B">
        <w:t>Chapter 5.3</w:t>
      </w:r>
    </w:p>
    <w:p w14:paraId="45B77CF3" w14:textId="3848D701" w:rsidR="00346574" w:rsidRPr="00960236" w:rsidRDefault="00346574" w:rsidP="00346574">
      <w:pPr>
        <w:pStyle w:val="SingleTxtG"/>
      </w:pPr>
      <w:r w:rsidRPr="00960236">
        <w:rPr>
          <w:rStyle w:val="H1GChar"/>
          <w:b w:val="0"/>
          <w:sz w:val="20"/>
        </w:rPr>
        <w:t>Note 2</w:t>
      </w:r>
      <w:r w:rsidRPr="00960236">
        <w:rPr>
          <w:rStyle w:val="H1GChar"/>
          <w:b w:val="0"/>
          <w:sz w:val="20"/>
        </w:rPr>
        <w:tab/>
      </w:r>
      <w:r w:rsidRPr="00960236">
        <w:rPr>
          <w:rStyle w:val="H1GChar"/>
          <w:b w:val="0"/>
          <w:sz w:val="20"/>
        </w:rPr>
        <w:tab/>
        <w:t xml:space="preserve">The </w:t>
      </w:r>
      <w:r w:rsidR="00200BFC">
        <w:rPr>
          <w:iCs/>
        </w:rPr>
        <w:t>modification</w:t>
      </w:r>
      <w:r w:rsidR="00200BFC" w:rsidRPr="00960236">
        <w:rPr>
          <w:iCs/>
        </w:rPr>
        <w:t xml:space="preserve"> </w:t>
      </w:r>
      <w:r w:rsidRPr="00960236">
        <w:rPr>
          <w:rStyle w:val="H1GChar"/>
          <w:b w:val="0"/>
          <w:sz w:val="20"/>
        </w:rPr>
        <w:t>does not apply to the English text.</w:t>
      </w:r>
    </w:p>
    <w:p w14:paraId="2B414BC6" w14:textId="158E2B34" w:rsidR="00915BA8" w:rsidRPr="004E407B" w:rsidRDefault="004E407B" w:rsidP="004E407B">
      <w:pPr>
        <w:pStyle w:val="H23G"/>
      </w:pPr>
      <w:r>
        <w:tab/>
      </w:r>
      <w:r>
        <w:tab/>
      </w:r>
      <w:r w:rsidR="00915BA8" w:rsidRPr="004E407B">
        <w:t>Chapter 7.1</w:t>
      </w:r>
    </w:p>
    <w:p w14:paraId="0304A813" w14:textId="00CCE1B8" w:rsidR="00A50604" w:rsidRPr="00960236" w:rsidRDefault="00A50604" w:rsidP="00915BA8">
      <w:pPr>
        <w:pStyle w:val="SingleTxtG"/>
        <w:rPr>
          <w:rFonts w:eastAsia="SimSun"/>
          <w:lang w:eastAsia="zh-CN"/>
        </w:rPr>
      </w:pPr>
      <w:r w:rsidRPr="00960236">
        <w:t>7.1.7.3.2 (b) (i)</w:t>
      </w:r>
      <w:r w:rsidRPr="00960236">
        <w:tab/>
      </w:r>
      <w:r w:rsidRPr="00960236">
        <w:rPr>
          <w:iCs/>
        </w:rPr>
        <w:t xml:space="preserve">The </w:t>
      </w:r>
      <w:r w:rsidR="00200BFC">
        <w:rPr>
          <w:iCs/>
        </w:rPr>
        <w:t>modification</w:t>
      </w:r>
      <w:r w:rsidR="00200BFC" w:rsidRPr="00960236">
        <w:rPr>
          <w:iCs/>
        </w:rPr>
        <w:t xml:space="preserve"> </w:t>
      </w:r>
      <w:r w:rsidRPr="00960236">
        <w:rPr>
          <w:iCs/>
        </w:rPr>
        <w:t>does not apply to the English text.</w:t>
      </w:r>
      <w:r w:rsidRPr="00960236">
        <w:tab/>
      </w:r>
    </w:p>
    <w:p w14:paraId="64B09CC5" w14:textId="77777777" w:rsidR="00915BA8" w:rsidRPr="00960236" w:rsidRDefault="00915BA8" w:rsidP="00915BA8">
      <w:pPr>
        <w:pStyle w:val="SingleTxtG"/>
        <w:rPr>
          <w:rFonts w:eastAsia="SimSun"/>
          <w:lang w:eastAsia="zh-CN"/>
        </w:rPr>
      </w:pPr>
      <w:r w:rsidRPr="00960236">
        <w:rPr>
          <w:rFonts w:eastAsia="SimSun"/>
          <w:lang w:eastAsia="zh-CN"/>
        </w:rPr>
        <w:t>7.1.7.3.5</w:t>
      </w:r>
      <w:r w:rsidRPr="00960236">
        <w:rPr>
          <w:rFonts w:eastAsia="SimSun"/>
          <w:lang w:eastAsia="zh-CN"/>
        </w:rPr>
        <w:tab/>
      </w:r>
      <w:r w:rsidR="001C3B73" w:rsidRPr="00960236">
        <w:rPr>
          <w:rFonts w:eastAsia="SimSun"/>
          <w:lang w:eastAsia="zh-CN"/>
        </w:rPr>
        <w:tab/>
      </w:r>
      <w:r w:rsidRPr="00960236">
        <w:rPr>
          <w:rFonts w:eastAsia="SimSun"/>
          <w:lang w:eastAsia="zh-CN"/>
        </w:rPr>
        <w:t>In the table, in the last line, in the second column, replace “</w:t>
      </w:r>
      <w:r w:rsidRPr="00960236">
        <w:t>&lt; 50 °C</w:t>
      </w:r>
      <w:r w:rsidRPr="00960236">
        <w:rPr>
          <w:rFonts w:eastAsia="SimSun"/>
          <w:lang w:eastAsia="zh-CN"/>
        </w:rPr>
        <w:t>” by “</w:t>
      </w:r>
      <w:r w:rsidRPr="00960236">
        <w:t>≤ 45 °C</w:t>
      </w:r>
      <w:r w:rsidRPr="00960236">
        <w:rPr>
          <w:rFonts w:eastAsia="SimSun"/>
          <w:lang w:eastAsia="zh-CN"/>
        </w:rPr>
        <w:t>”.</w:t>
      </w:r>
    </w:p>
    <w:p w14:paraId="667B106D" w14:textId="4371DD71" w:rsidR="001C3B73" w:rsidRPr="00960236" w:rsidRDefault="001C3B73" w:rsidP="00915BA8">
      <w:pPr>
        <w:pStyle w:val="SingleTxtG"/>
        <w:rPr>
          <w:rFonts w:eastAsia="SimSun"/>
          <w:lang w:eastAsia="zh-CN"/>
        </w:rPr>
      </w:pPr>
      <w:r w:rsidRPr="00960236">
        <w:rPr>
          <w:rFonts w:eastAsia="SimSun"/>
          <w:lang w:eastAsia="zh-CN"/>
        </w:rPr>
        <w:t>7.1.7.4.8</w:t>
      </w:r>
      <w:r w:rsidRPr="00960236">
        <w:rPr>
          <w:rFonts w:eastAsia="SimSun"/>
          <w:lang w:eastAsia="zh-CN"/>
        </w:rPr>
        <w:tab/>
      </w:r>
      <w:r w:rsidRPr="00960236">
        <w:rPr>
          <w:rFonts w:eastAsia="SimSun"/>
          <w:lang w:eastAsia="zh-CN"/>
        </w:rPr>
        <w:tab/>
      </w:r>
      <w:r w:rsidRPr="00960236">
        <w:rPr>
          <w:iCs/>
        </w:rPr>
        <w:t xml:space="preserve">The </w:t>
      </w:r>
      <w:r w:rsidR="00200BFC">
        <w:rPr>
          <w:iCs/>
        </w:rPr>
        <w:t>modification</w:t>
      </w:r>
      <w:r w:rsidR="00200BFC" w:rsidRPr="00960236">
        <w:rPr>
          <w:iCs/>
        </w:rPr>
        <w:t xml:space="preserve"> </w:t>
      </w:r>
      <w:r w:rsidRPr="00960236">
        <w:rPr>
          <w:iCs/>
        </w:rPr>
        <w:t>does not apply to the English text.</w:t>
      </w:r>
    </w:p>
    <w:p w14:paraId="1A3214CB" w14:textId="4C29507D" w:rsidR="00915BA8" w:rsidRPr="00960236" w:rsidRDefault="004E407B" w:rsidP="004E407B">
      <w:pPr>
        <w:pStyle w:val="H23G"/>
      </w:pPr>
      <w:r>
        <w:tab/>
      </w:r>
      <w:r>
        <w:tab/>
      </w:r>
      <w:r w:rsidR="00915BA8" w:rsidRPr="00960236">
        <w:t>Chapter 7.2</w:t>
      </w:r>
    </w:p>
    <w:p w14:paraId="0E547881" w14:textId="7B627C4A" w:rsidR="00915BA8" w:rsidRPr="00960236" w:rsidRDefault="00AB47E0" w:rsidP="001B369E">
      <w:pPr>
        <w:pStyle w:val="SingleTxtG"/>
        <w:rPr>
          <w:iCs/>
        </w:rPr>
      </w:pPr>
      <w:r w:rsidRPr="00960236">
        <w:rPr>
          <w:iCs/>
        </w:rPr>
        <w:t>7.2.4, V8</w:t>
      </w:r>
      <w:r w:rsidRPr="00960236">
        <w:rPr>
          <w:iCs/>
        </w:rPr>
        <w:tab/>
      </w:r>
      <w:r w:rsidR="00200BFC" w:rsidRPr="00960236">
        <w:rPr>
          <w:iCs/>
        </w:rPr>
        <w:t xml:space="preserve">In the Note, in the second sentence, delete “latter”. The </w:t>
      </w:r>
      <w:r w:rsidR="00200BFC">
        <w:rPr>
          <w:iCs/>
        </w:rPr>
        <w:t>modification</w:t>
      </w:r>
      <w:r w:rsidR="00200BFC" w:rsidRPr="00960236">
        <w:rPr>
          <w:iCs/>
        </w:rPr>
        <w:t xml:space="preserve"> </w:t>
      </w:r>
      <w:r w:rsidR="00200BFC">
        <w:rPr>
          <w:iCs/>
        </w:rPr>
        <w:t>of</w:t>
      </w:r>
      <w:r w:rsidR="00200BFC" w:rsidRPr="00960236">
        <w:rPr>
          <w:iCs/>
        </w:rPr>
        <w:t xml:space="preserve"> the first sentence does not apply to the English text.</w:t>
      </w:r>
    </w:p>
    <w:p w14:paraId="599FAEA6" w14:textId="017C7E0E" w:rsidR="00915BA8" w:rsidRPr="00960236" w:rsidRDefault="004E407B" w:rsidP="004E407B">
      <w:pPr>
        <w:pStyle w:val="H23G"/>
      </w:pPr>
      <w:r>
        <w:tab/>
      </w:r>
      <w:r>
        <w:tab/>
      </w:r>
      <w:r w:rsidR="00915BA8" w:rsidRPr="00960236">
        <w:t>Chapter 8.5</w:t>
      </w:r>
    </w:p>
    <w:p w14:paraId="5DFC0293" w14:textId="286A200E" w:rsidR="00915BA8" w:rsidRDefault="00915BA8" w:rsidP="00915BA8">
      <w:pPr>
        <w:pStyle w:val="SingleTxtG"/>
        <w:rPr>
          <w:iCs/>
        </w:rPr>
      </w:pPr>
      <w:r w:rsidRPr="00960236">
        <w:rPr>
          <w:iCs/>
        </w:rPr>
        <w:t>S4</w:t>
      </w:r>
      <w:r w:rsidRPr="00960236">
        <w:rPr>
          <w:iCs/>
        </w:rPr>
        <w:tab/>
        <w:t>In the Note, in the second sentence, delete “latter”.</w:t>
      </w:r>
      <w:r w:rsidR="00922CC9" w:rsidRPr="00960236">
        <w:rPr>
          <w:iCs/>
        </w:rPr>
        <w:t xml:space="preserve"> The </w:t>
      </w:r>
      <w:r w:rsidR="00200BFC">
        <w:rPr>
          <w:iCs/>
        </w:rPr>
        <w:t>modification</w:t>
      </w:r>
      <w:r w:rsidR="00200BFC" w:rsidRPr="00960236">
        <w:rPr>
          <w:iCs/>
        </w:rPr>
        <w:t xml:space="preserve"> </w:t>
      </w:r>
      <w:r w:rsidR="00200BFC">
        <w:rPr>
          <w:iCs/>
        </w:rPr>
        <w:t>of</w:t>
      </w:r>
      <w:r w:rsidR="00922CC9" w:rsidRPr="00960236">
        <w:rPr>
          <w:iCs/>
        </w:rPr>
        <w:t xml:space="preserve"> the first sentence does not apply to the English text.</w:t>
      </w:r>
    </w:p>
    <w:p w14:paraId="11A742FD" w14:textId="6DBD5CB2" w:rsidR="00607400" w:rsidRPr="00960236" w:rsidRDefault="004E407B" w:rsidP="004E407B">
      <w:pPr>
        <w:pStyle w:val="H23G"/>
      </w:pPr>
      <w:r>
        <w:lastRenderedPageBreak/>
        <w:tab/>
      </w:r>
      <w:r>
        <w:tab/>
      </w:r>
      <w:r w:rsidR="00607400">
        <w:t>Annex</w:t>
      </w:r>
    </w:p>
    <w:p w14:paraId="30883885" w14:textId="77777777" w:rsidR="00607400" w:rsidRPr="00607400" w:rsidRDefault="00607400" w:rsidP="00607400">
      <w:pPr>
        <w:pStyle w:val="SingleTxtG"/>
      </w:pPr>
      <w:r w:rsidRPr="00607400">
        <w:t>The amendment to 2.2.51.1.3 should read:</w:t>
      </w:r>
    </w:p>
    <w:p w14:paraId="74ED1A75" w14:textId="77777777" w:rsidR="00607400" w:rsidRPr="00607400" w:rsidRDefault="00607400" w:rsidP="00607400">
      <w:pPr>
        <w:pStyle w:val="SingleTxtG"/>
      </w:pPr>
      <w:r w:rsidRPr="00607400">
        <w:t>2.2.51.1.3</w:t>
      </w:r>
      <w:r w:rsidRPr="00607400">
        <w:tab/>
        <w:t>At the end of the second sentence, add “or, for solid ammonium nitrate based fertilizers, Section 39 subject to the restrictions of 2.2.51.2.2, thirteenth indent”.</w:t>
      </w:r>
    </w:p>
    <w:p w14:paraId="471CFA08" w14:textId="77777777" w:rsidR="00607400" w:rsidRPr="00607400" w:rsidRDefault="00607400" w:rsidP="00607400">
      <w:pPr>
        <w:pStyle w:val="SingleTxtG"/>
      </w:pPr>
      <w:r w:rsidRPr="00607400">
        <w:t>The amendment to 2.1.3.7 should read:</w:t>
      </w:r>
    </w:p>
    <w:p w14:paraId="3DB0E4BD" w14:textId="77777777" w:rsidR="00607400" w:rsidRPr="00607400" w:rsidRDefault="00607400" w:rsidP="00607400">
      <w:pPr>
        <w:pStyle w:val="SingleTxtG"/>
      </w:pPr>
      <w:r w:rsidRPr="00607400">
        <w:t>2.1.3.7</w:t>
      </w:r>
      <w:r w:rsidRPr="00607400">
        <w:tab/>
      </w:r>
      <w:r w:rsidRPr="00607400">
        <w:tab/>
        <w:t>At the end, add: “For solid ammonium nitrate based fertilizers, see also 2.2.51.2.2, thirteenth and fourteenth indent and Manual of Tests and Criteria, Part III, Section 39.”.</w:t>
      </w:r>
    </w:p>
    <w:p w14:paraId="10468404" w14:textId="6870BCCA" w:rsidR="00200BFC" w:rsidRPr="00960236" w:rsidRDefault="00200BFC" w:rsidP="004E407B">
      <w:pPr>
        <w:spacing w:before="240"/>
        <w:ind w:left="1134" w:right="1134"/>
        <w:jc w:val="center"/>
        <w:rPr>
          <w:iCs/>
        </w:rPr>
      </w:pPr>
      <w:r w:rsidRPr="00A074FC">
        <w:rPr>
          <w:i/>
          <w:iCs/>
          <w:u w:val="single"/>
          <w:lang w:val="fr-FR"/>
        </w:rPr>
        <w:tab/>
      </w:r>
      <w:r w:rsidRPr="00A074FC">
        <w:rPr>
          <w:i/>
          <w:iCs/>
          <w:u w:val="single"/>
          <w:lang w:val="fr-FR"/>
        </w:rPr>
        <w:tab/>
      </w:r>
      <w:r w:rsidRPr="00A074FC">
        <w:rPr>
          <w:i/>
          <w:iCs/>
          <w:u w:val="single"/>
          <w:lang w:val="fr-FR"/>
        </w:rPr>
        <w:tab/>
      </w:r>
    </w:p>
    <w:sectPr w:rsidR="00200BFC" w:rsidRPr="00960236" w:rsidSect="00F8640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C34D" w14:textId="77777777" w:rsidR="005C79F5" w:rsidRDefault="005C79F5"/>
  </w:endnote>
  <w:endnote w:type="continuationSeparator" w:id="0">
    <w:p w14:paraId="2BA4E6B7" w14:textId="77777777" w:rsidR="005C79F5" w:rsidRDefault="005C79F5"/>
  </w:endnote>
  <w:endnote w:type="continuationNotice" w:id="1">
    <w:p w14:paraId="0FCF7AAE" w14:textId="77777777" w:rsidR="005C79F5" w:rsidRDefault="005C7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2731" w14:textId="66805515" w:rsidR="005C79F5" w:rsidRPr="00F86404" w:rsidRDefault="005C79F5" w:rsidP="00F86404">
    <w:pPr>
      <w:pStyle w:val="Footer"/>
      <w:tabs>
        <w:tab w:val="right" w:pos="9638"/>
      </w:tabs>
      <w:rPr>
        <w:sz w:val="18"/>
      </w:rPr>
    </w:pPr>
    <w:r w:rsidRPr="00F86404">
      <w:rPr>
        <w:b/>
        <w:sz w:val="18"/>
      </w:rPr>
      <w:fldChar w:fldCharType="begin"/>
    </w:r>
    <w:r w:rsidRPr="00F86404">
      <w:rPr>
        <w:b/>
        <w:sz w:val="18"/>
      </w:rPr>
      <w:instrText xml:space="preserve"> PAGE  \* MERGEFORMAT </w:instrText>
    </w:r>
    <w:r w:rsidRPr="00F86404">
      <w:rPr>
        <w:b/>
        <w:sz w:val="18"/>
      </w:rPr>
      <w:fldChar w:fldCharType="separate"/>
    </w:r>
    <w:r w:rsidR="00BD06C9">
      <w:rPr>
        <w:b/>
        <w:noProof/>
        <w:sz w:val="18"/>
      </w:rPr>
      <w:t>4</w:t>
    </w:r>
    <w:r w:rsidRPr="00F864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EB4D" w14:textId="62DBC0B0" w:rsidR="005C79F5" w:rsidRPr="00F86404" w:rsidRDefault="005C79F5" w:rsidP="00F86404">
    <w:pPr>
      <w:pStyle w:val="Footer"/>
      <w:tabs>
        <w:tab w:val="right" w:pos="9638"/>
      </w:tabs>
      <w:rPr>
        <w:b/>
        <w:sz w:val="18"/>
      </w:rPr>
    </w:pPr>
    <w:r>
      <w:tab/>
    </w:r>
    <w:r w:rsidRPr="00F86404">
      <w:rPr>
        <w:b/>
        <w:sz w:val="18"/>
      </w:rPr>
      <w:fldChar w:fldCharType="begin"/>
    </w:r>
    <w:r w:rsidRPr="00F86404">
      <w:rPr>
        <w:b/>
        <w:sz w:val="18"/>
      </w:rPr>
      <w:instrText xml:space="preserve"> PAGE  \* MERGEFORMAT </w:instrText>
    </w:r>
    <w:r w:rsidRPr="00F86404">
      <w:rPr>
        <w:b/>
        <w:sz w:val="18"/>
      </w:rPr>
      <w:fldChar w:fldCharType="separate"/>
    </w:r>
    <w:r w:rsidR="00BD06C9">
      <w:rPr>
        <w:b/>
        <w:noProof/>
        <w:sz w:val="18"/>
      </w:rPr>
      <w:t>3</w:t>
    </w:r>
    <w:r w:rsidRPr="00F864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1E6C" w14:textId="77777777" w:rsidR="00BD06C9" w:rsidRDefault="00BD0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5E4E" w14:textId="77777777" w:rsidR="005C79F5" w:rsidRPr="000B175B" w:rsidRDefault="005C79F5" w:rsidP="000B175B">
      <w:pPr>
        <w:tabs>
          <w:tab w:val="right" w:pos="2155"/>
        </w:tabs>
        <w:spacing w:after="80"/>
        <w:ind w:left="680"/>
        <w:rPr>
          <w:u w:val="single"/>
        </w:rPr>
      </w:pPr>
      <w:r>
        <w:rPr>
          <w:u w:val="single"/>
        </w:rPr>
        <w:tab/>
      </w:r>
    </w:p>
  </w:footnote>
  <w:footnote w:type="continuationSeparator" w:id="0">
    <w:p w14:paraId="3E4576C9" w14:textId="77777777" w:rsidR="005C79F5" w:rsidRPr="00FC68B7" w:rsidRDefault="005C79F5" w:rsidP="00FC68B7">
      <w:pPr>
        <w:tabs>
          <w:tab w:val="left" w:pos="2155"/>
        </w:tabs>
        <w:spacing w:after="80"/>
        <w:ind w:left="680"/>
        <w:rPr>
          <w:u w:val="single"/>
        </w:rPr>
      </w:pPr>
      <w:r>
        <w:rPr>
          <w:u w:val="single"/>
        </w:rPr>
        <w:tab/>
      </w:r>
    </w:p>
  </w:footnote>
  <w:footnote w:type="continuationNotice" w:id="1">
    <w:p w14:paraId="0E02CCF9" w14:textId="77777777" w:rsidR="005C79F5" w:rsidRDefault="005C79F5"/>
  </w:footnote>
  <w:footnote w:id="2">
    <w:p w14:paraId="453EB934" w14:textId="6DEBA6F4" w:rsidR="005C79F5" w:rsidRPr="00A87742" w:rsidRDefault="005C79F5" w:rsidP="00A87742">
      <w:pPr>
        <w:pStyle w:val="FootnoteText"/>
        <w:tabs>
          <w:tab w:val="clear" w:pos="1021"/>
        </w:tabs>
        <w:rPr>
          <w:sz w:val="20"/>
          <w:lang w:val="fr-CH"/>
        </w:rPr>
      </w:pPr>
      <w:r>
        <w:rPr>
          <w:sz w:val="20"/>
        </w:rPr>
        <w:tab/>
      </w:r>
      <w:r w:rsidRPr="00A87742">
        <w:rPr>
          <w:rStyle w:val="FootnoteReference"/>
          <w:sz w:val="20"/>
        </w:rPr>
        <w:t>*</w:t>
      </w:r>
      <w:r>
        <w:rPr>
          <w:sz w:val="20"/>
        </w:rPr>
        <w:tab/>
      </w:r>
      <w:r w:rsidRPr="00607400">
        <w:t xml:space="preserve">Circulated by the Intergovernmental Organization for International Carriage by Rail (OTIF) </w:t>
      </w:r>
      <w:r w:rsidR="00EB31C8">
        <w:tab/>
      </w:r>
      <w:r>
        <w:tab/>
      </w:r>
      <w:r w:rsidRPr="00607400">
        <w:t xml:space="preserve">under the symbol OTIF/RID/RC/2017-B. Unless otherwise indicated, the other documents </w:t>
      </w:r>
      <w:r w:rsidR="00EB31C8">
        <w:tab/>
      </w:r>
      <w:r>
        <w:tab/>
      </w:r>
      <w:r w:rsidRPr="00607400">
        <w:t xml:space="preserve">referred to in this report under the symbol ECE/TRANS/WP.15/AC.1/ followed by the year </w:t>
      </w:r>
      <w:r w:rsidR="00EB31C8">
        <w:tab/>
      </w:r>
      <w:r>
        <w:tab/>
      </w:r>
      <w:r w:rsidRPr="00607400">
        <w:t xml:space="preserve">and a serial number were circulated by OTIF under the symbol OTIF/RID/RC/ followed by </w:t>
      </w:r>
      <w:r>
        <w:tab/>
      </w:r>
      <w:r w:rsidR="00EB31C8">
        <w:tab/>
      </w:r>
      <w:r w:rsidRPr="00607400">
        <w:t>the year and the same serial number.</w:t>
      </w:r>
    </w:p>
  </w:footnote>
  <w:footnote w:id="3">
    <w:p w14:paraId="29594076" w14:textId="57AB25F8" w:rsidR="005C79F5" w:rsidRPr="00A87742" w:rsidRDefault="005C79F5" w:rsidP="00A87742">
      <w:pPr>
        <w:pStyle w:val="FootnoteText"/>
        <w:tabs>
          <w:tab w:val="clear" w:pos="1021"/>
        </w:tabs>
        <w:rPr>
          <w:sz w:val="20"/>
          <w:lang w:val="fr-CH"/>
        </w:rPr>
      </w:pPr>
      <w:r w:rsidRPr="00A87742">
        <w:rPr>
          <w:rStyle w:val="FootnoteReference"/>
          <w:sz w:val="20"/>
        </w:rPr>
        <w:tab/>
        <w:t>**</w:t>
      </w:r>
      <w:r w:rsidRPr="00A87742">
        <w:rPr>
          <w:sz w:val="20"/>
        </w:rPr>
        <w:tab/>
      </w:r>
      <w:r w:rsidRPr="00607400">
        <w:t xml:space="preserve">Circulated by the Intergovernmental Organisation for International Carriage by Rail (OTIF) </w:t>
      </w:r>
      <w:r w:rsidR="00EB31C8">
        <w:tab/>
      </w:r>
      <w:r>
        <w:tab/>
      </w:r>
      <w:r w:rsidRPr="00607400">
        <w:t>under the symbol OTIF/RID/RC/2017-B/Add.1.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E893" w14:textId="78A4702D" w:rsidR="005C79F5" w:rsidRPr="00F86404" w:rsidRDefault="005C79F5" w:rsidP="00182555">
    <w:pPr>
      <w:pStyle w:val="Header"/>
    </w:pPr>
    <w:r>
      <w:t>ECE</w:t>
    </w:r>
    <w:r w:rsidR="00BD06C9">
      <w:t>/TRANS/WP.15/AC.1/</w:t>
    </w:r>
    <w:r>
      <w:t>148/Add.1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B8A8" w14:textId="2A2A5216" w:rsidR="005C79F5" w:rsidRPr="00F86404" w:rsidRDefault="00BD06C9" w:rsidP="0062562D">
    <w:pPr>
      <w:pStyle w:val="Header"/>
      <w:jc w:val="right"/>
    </w:pPr>
    <w:r>
      <w:t>ECE/TRANS/WP.15/AC.1/</w:t>
    </w:r>
    <w:bookmarkStart w:id="0" w:name="_GoBack"/>
    <w:bookmarkEnd w:id="0"/>
    <w:r w:rsidR="005C79F5">
      <w:t>148/Add.1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4686" w14:textId="77777777" w:rsidR="00BD06C9" w:rsidRDefault="00BD0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04"/>
    <w:rsid w:val="00002FF0"/>
    <w:rsid w:val="00010A60"/>
    <w:rsid w:val="000119BD"/>
    <w:rsid w:val="000161AE"/>
    <w:rsid w:val="00035CCD"/>
    <w:rsid w:val="00046B1F"/>
    <w:rsid w:val="0005022A"/>
    <w:rsid w:val="00050F6B"/>
    <w:rsid w:val="0005590B"/>
    <w:rsid w:val="00057E97"/>
    <w:rsid w:val="000646F4"/>
    <w:rsid w:val="00064F47"/>
    <w:rsid w:val="00072C8C"/>
    <w:rsid w:val="000733B5"/>
    <w:rsid w:val="00081815"/>
    <w:rsid w:val="000931C0"/>
    <w:rsid w:val="000B0595"/>
    <w:rsid w:val="000B175B"/>
    <w:rsid w:val="000B3A0F"/>
    <w:rsid w:val="000B4EF7"/>
    <w:rsid w:val="000C2C03"/>
    <w:rsid w:val="000C2D2E"/>
    <w:rsid w:val="000C3A13"/>
    <w:rsid w:val="000D4245"/>
    <w:rsid w:val="000E0415"/>
    <w:rsid w:val="000F06F2"/>
    <w:rsid w:val="000F5AB6"/>
    <w:rsid w:val="001103AA"/>
    <w:rsid w:val="0011666B"/>
    <w:rsid w:val="00117E60"/>
    <w:rsid w:val="00165F3A"/>
    <w:rsid w:val="001704F4"/>
    <w:rsid w:val="001761A3"/>
    <w:rsid w:val="00182555"/>
    <w:rsid w:val="001B369E"/>
    <w:rsid w:val="001B4B04"/>
    <w:rsid w:val="001C3B73"/>
    <w:rsid w:val="001C6663"/>
    <w:rsid w:val="001C7895"/>
    <w:rsid w:val="001D0C8C"/>
    <w:rsid w:val="001D1419"/>
    <w:rsid w:val="001D26DF"/>
    <w:rsid w:val="001D3A03"/>
    <w:rsid w:val="001E266F"/>
    <w:rsid w:val="001E7B67"/>
    <w:rsid w:val="00200BFC"/>
    <w:rsid w:val="00202DA8"/>
    <w:rsid w:val="00211E0B"/>
    <w:rsid w:val="00237E67"/>
    <w:rsid w:val="00240E76"/>
    <w:rsid w:val="0024772E"/>
    <w:rsid w:val="002478B4"/>
    <w:rsid w:val="00267F5F"/>
    <w:rsid w:val="0027457D"/>
    <w:rsid w:val="00286B4D"/>
    <w:rsid w:val="002951D4"/>
    <w:rsid w:val="002C2714"/>
    <w:rsid w:val="002D4643"/>
    <w:rsid w:val="002E2862"/>
    <w:rsid w:val="002F175C"/>
    <w:rsid w:val="00302E18"/>
    <w:rsid w:val="003229D8"/>
    <w:rsid w:val="00346574"/>
    <w:rsid w:val="00350A59"/>
    <w:rsid w:val="00352709"/>
    <w:rsid w:val="003619B5"/>
    <w:rsid w:val="00362E4C"/>
    <w:rsid w:val="00365763"/>
    <w:rsid w:val="0036635D"/>
    <w:rsid w:val="00371178"/>
    <w:rsid w:val="00375A94"/>
    <w:rsid w:val="00392E47"/>
    <w:rsid w:val="00397809"/>
    <w:rsid w:val="003A19CA"/>
    <w:rsid w:val="003A6810"/>
    <w:rsid w:val="003C2CC4"/>
    <w:rsid w:val="003D1847"/>
    <w:rsid w:val="003D3198"/>
    <w:rsid w:val="003D4B23"/>
    <w:rsid w:val="003E130E"/>
    <w:rsid w:val="003F29CC"/>
    <w:rsid w:val="003F3BC2"/>
    <w:rsid w:val="00410C89"/>
    <w:rsid w:val="00422E03"/>
    <w:rsid w:val="00426B9B"/>
    <w:rsid w:val="004325CB"/>
    <w:rsid w:val="00442A83"/>
    <w:rsid w:val="0045495B"/>
    <w:rsid w:val="004561E5"/>
    <w:rsid w:val="0048397A"/>
    <w:rsid w:val="00485CBB"/>
    <w:rsid w:val="004866B7"/>
    <w:rsid w:val="004B14D6"/>
    <w:rsid w:val="004C2461"/>
    <w:rsid w:val="004C7462"/>
    <w:rsid w:val="004E1EBC"/>
    <w:rsid w:val="004E2C14"/>
    <w:rsid w:val="004E407B"/>
    <w:rsid w:val="004E77B2"/>
    <w:rsid w:val="00504B2D"/>
    <w:rsid w:val="00520A98"/>
    <w:rsid w:val="0052136D"/>
    <w:rsid w:val="0052775E"/>
    <w:rsid w:val="005420F2"/>
    <w:rsid w:val="005628B6"/>
    <w:rsid w:val="005941EC"/>
    <w:rsid w:val="0059724D"/>
    <w:rsid w:val="005B235D"/>
    <w:rsid w:val="005B3DB3"/>
    <w:rsid w:val="005B4312"/>
    <w:rsid w:val="005B4E13"/>
    <w:rsid w:val="005C342F"/>
    <w:rsid w:val="005C79F5"/>
    <w:rsid w:val="005F7B75"/>
    <w:rsid w:val="006001EE"/>
    <w:rsid w:val="00605042"/>
    <w:rsid w:val="00607400"/>
    <w:rsid w:val="00611FC4"/>
    <w:rsid w:val="00613019"/>
    <w:rsid w:val="006176FB"/>
    <w:rsid w:val="0062562D"/>
    <w:rsid w:val="00627EA2"/>
    <w:rsid w:val="00640B26"/>
    <w:rsid w:val="00652D0A"/>
    <w:rsid w:val="00662BB6"/>
    <w:rsid w:val="00676606"/>
    <w:rsid w:val="00684C21"/>
    <w:rsid w:val="006A2530"/>
    <w:rsid w:val="006A44C1"/>
    <w:rsid w:val="006C2042"/>
    <w:rsid w:val="006C3589"/>
    <w:rsid w:val="006D37AF"/>
    <w:rsid w:val="006D51D0"/>
    <w:rsid w:val="006D5FB9"/>
    <w:rsid w:val="006E564B"/>
    <w:rsid w:val="006E7191"/>
    <w:rsid w:val="006F58A0"/>
    <w:rsid w:val="00703577"/>
    <w:rsid w:val="00705894"/>
    <w:rsid w:val="0072632A"/>
    <w:rsid w:val="007327D5"/>
    <w:rsid w:val="00734DBD"/>
    <w:rsid w:val="0074319C"/>
    <w:rsid w:val="007629C8"/>
    <w:rsid w:val="0077047D"/>
    <w:rsid w:val="007B6BA5"/>
    <w:rsid w:val="007C3390"/>
    <w:rsid w:val="007C4F4B"/>
    <w:rsid w:val="007E01E9"/>
    <w:rsid w:val="007E4870"/>
    <w:rsid w:val="007E63F3"/>
    <w:rsid w:val="007F6611"/>
    <w:rsid w:val="007F7755"/>
    <w:rsid w:val="00811920"/>
    <w:rsid w:val="00815AD0"/>
    <w:rsid w:val="008242D7"/>
    <w:rsid w:val="008257B1"/>
    <w:rsid w:val="00832334"/>
    <w:rsid w:val="00843767"/>
    <w:rsid w:val="008679D9"/>
    <w:rsid w:val="008878DE"/>
    <w:rsid w:val="0089767C"/>
    <w:rsid w:val="008979B1"/>
    <w:rsid w:val="008A6B25"/>
    <w:rsid w:val="008A6C4F"/>
    <w:rsid w:val="008B2335"/>
    <w:rsid w:val="008C73E8"/>
    <w:rsid w:val="008E0678"/>
    <w:rsid w:val="008F31D2"/>
    <w:rsid w:val="0090795F"/>
    <w:rsid w:val="00915707"/>
    <w:rsid w:val="00915BA8"/>
    <w:rsid w:val="009177CD"/>
    <w:rsid w:val="00917FDE"/>
    <w:rsid w:val="009223CA"/>
    <w:rsid w:val="00922CC9"/>
    <w:rsid w:val="00940F93"/>
    <w:rsid w:val="00960236"/>
    <w:rsid w:val="0097046E"/>
    <w:rsid w:val="009760F3"/>
    <w:rsid w:val="00976CFB"/>
    <w:rsid w:val="009911AC"/>
    <w:rsid w:val="009A0830"/>
    <w:rsid w:val="009A0E8D"/>
    <w:rsid w:val="009B26E7"/>
    <w:rsid w:val="009D1388"/>
    <w:rsid w:val="009F113C"/>
    <w:rsid w:val="009F15A7"/>
    <w:rsid w:val="009F27C3"/>
    <w:rsid w:val="00A00697"/>
    <w:rsid w:val="00A00A3F"/>
    <w:rsid w:val="00A01489"/>
    <w:rsid w:val="00A03AE8"/>
    <w:rsid w:val="00A03CA7"/>
    <w:rsid w:val="00A3026E"/>
    <w:rsid w:val="00A338F1"/>
    <w:rsid w:val="00A35BE0"/>
    <w:rsid w:val="00A4005F"/>
    <w:rsid w:val="00A42156"/>
    <w:rsid w:val="00A46CD5"/>
    <w:rsid w:val="00A50604"/>
    <w:rsid w:val="00A51E50"/>
    <w:rsid w:val="00A6129C"/>
    <w:rsid w:val="00A67AA9"/>
    <w:rsid w:val="00A72F22"/>
    <w:rsid w:val="00A7360F"/>
    <w:rsid w:val="00A73CC1"/>
    <w:rsid w:val="00A748A6"/>
    <w:rsid w:val="00A769F4"/>
    <w:rsid w:val="00A776B4"/>
    <w:rsid w:val="00A863EE"/>
    <w:rsid w:val="00A87742"/>
    <w:rsid w:val="00A94361"/>
    <w:rsid w:val="00AA293C"/>
    <w:rsid w:val="00AB2D33"/>
    <w:rsid w:val="00AB47E0"/>
    <w:rsid w:val="00AC745C"/>
    <w:rsid w:val="00B13ED9"/>
    <w:rsid w:val="00B16603"/>
    <w:rsid w:val="00B267D9"/>
    <w:rsid w:val="00B30179"/>
    <w:rsid w:val="00B421C1"/>
    <w:rsid w:val="00B55C71"/>
    <w:rsid w:val="00B56E4A"/>
    <w:rsid w:val="00B56E9C"/>
    <w:rsid w:val="00B641F1"/>
    <w:rsid w:val="00B64B1F"/>
    <w:rsid w:val="00B6553F"/>
    <w:rsid w:val="00B73D47"/>
    <w:rsid w:val="00B77D05"/>
    <w:rsid w:val="00B81206"/>
    <w:rsid w:val="00B81E12"/>
    <w:rsid w:val="00BC3FA0"/>
    <w:rsid w:val="00BC74E9"/>
    <w:rsid w:val="00BD06C9"/>
    <w:rsid w:val="00BE0DA6"/>
    <w:rsid w:val="00BF68A8"/>
    <w:rsid w:val="00C11A03"/>
    <w:rsid w:val="00C22C0C"/>
    <w:rsid w:val="00C33AA4"/>
    <w:rsid w:val="00C4527F"/>
    <w:rsid w:val="00C463DD"/>
    <w:rsid w:val="00C4724C"/>
    <w:rsid w:val="00C629A0"/>
    <w:rsid w:val="00C64629"/>
    <w:rsid w:val="00C745C3"/>
    <w:rsid w:val="00C96DF2"/>
    <w:rsid w:val="00CB3E03"/>
    <w:rsid w:val="00CB6500"/>
    <w:rsid w:val="00CD4AA6"/>
    <w:rsid w:val="00CE4A8F"/>
    <w:rsid w:val="00D064B9"/>
    <w:rsid w:val="00D2031B"/>
    <w:rsid w:val="00D248B6"/>
    <w:rsid w:val="00D25FE2"/>
    <w:rsid w:val="00D34035"/>
    <w:rsid w:val="00D43252"/>
    <w:rsid w:val="00D47EEA"/>
    <w:rsid w:val="00D72758"/>
    <w:rsid w:val="00D773DF"/>
    <w:rsid w:val="00D95303"/>
    <w:rsid w:val="00D978C6"/>
    <w:rsid w:val="00DA3C1C"/>
    <w:rsid w:val="00DC08BB"/>
    <w:rsid w:val="00DD1117"/>
    <w:rsid w:val="00DE445A"/>
    <w:rsid w:val="00E046DF"/>
    <w:rsid w:val="00E07FB5"/>
    <w:rsid w:val="00E16609"/>
    <w:rsid w:val="00E27346"/>
    <w:rsid w:val="00E405F2"/>
    <w:rsid w:val="00E475C0"/>
    <w:rsid w:val="00E553C5"/>
    <w:rsid w:val="00E71755"/>
    <w:rsid w:val="00E71BC8"/>
    <w:rsid w:val="00E71FF3"/>
    <w:rsid w:val="00E7260F"/>
    <w:rsid w:val="00E73F5D"/>
    <w:rsid w:val="00E77E4E"/>
    <w:rsid w:val="00E91655"/>
    <w:rsid w:val="00E96630"/>
    <w:rsid w:val="00EA7B08"/>
    <w:rsid w:val="00EB31C8"/>
    <w:rsid w:val="00EB4AEE"/>
    <w:rsid w:val="00ED0E66"/>
    <w:rsid w:val="00ED7A2A"/>
    <w:rsid w:val="00EF1D7F"/>
    <w:rsid w:val="00EF3E9C"/>
    <w:rsid w:val="00F207A5"/>
    <w:rsid w:val="00F24A19"/>
    <w:rsid w:val="00F31E5F"/>
    <w:rsid w:val="00F330F5"/>
    <w:rsid w:val="00F53DC5"/>
    <w:rsid w:val="00F55307"/>
    <w:rsid w:val="00F6100A"/>
    <w:rsid w:val="00F66F00"/>
    <w:rsid w:val="00F86404"/>
    <w:rsid w:val="00F93781"/>
    <w:rsid w:val="00FA7D6D"/>
    <w:rsid w:val="00FB2D54"/>
    <w:rsid w:val="00FB613B"/>
    <w:rsid w:val="00FC68B7"/>
    <w:rsid w:val="00FD3F98"/>
    <w:rsid w:val="00FD67D2"/>
    <w:rsid w:val="00FE106A"/>
    <w:rsid w:val="00FE254D"/>
    <w:rsid w:val="00FF145D"/>
    <w:rsid w:val="00FF500E"/>
    <w:rsid w:val="00FF6912"/>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3"/>
    <o:shapelayout v:ext="edit">
      <o:idmap v:ext="edit" data="1"/>
    </o:shapelayout>
  </w:shapeDefaults>
  <w:decimalSymbol w:val="."/>
  <w:listSeparator w:val=","/>
  <w14:docId w14:val="43313913"/>
  <w15:docId w15:val="{6ADF1CF8-8F0B-4549-945A-B3CB1B18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4F4"/>
    <w:pPr>
      <w:suppressAutoHyphens/>
      <w:spacing w:line="240" w:lineRule="atLeast"/>
    </w:pPr>
    <w:rPr>
      <w:lang w:eastAsia="en-US"/>
    </w:rPr>
  </w:style>
  <w:style w:type="paragraph" w:styleId="Heading1">
    <w:name w:val="heading 1"/>
    <w:aliases w:val="Table_G"/>
    <w:basedOn w:val="SingleTxtG"/>
    <w:next w:val="SingleTxtG"/>
    <w:qFormat/>
    <w:rsid w:val="001704F4"/>
    <w:pPr>
      <w:spacing w:after="0" w:line="240" w:lineRule="auto"/>
      <w:ind w:right="0"/>
      <w:jc w:val="left"/>
      <w:outlineLvl w:val="0"/>
    </w:pPr>
  </w:style>
  <w:style w:type="paragraph" w:styleId="Heading2">
    <w:name w:val="heading 2"/>
    <w:basedOn w:val="Normal"/>
    <w:next w:val="Normal"/>
    <w:qFormat/>
    <w:rsid w:val="001704F4"/>
    <w:pPr>
      <w:spacing w:line="240" w:lineRule="auto"/>
      <w:outlineLvl w:val="1"/>
    </w:pPr>
  </w:style>
  <w:style w:type="paragraph" w:styleId="Heading3">
    <w:name w:val="heading 3"/>
    <w:basedOn w:val="Normal"/>
    <w:next w:val="Normal"/>
    <w:qFormat/>
    <w:rsid w:val="001704F4"/>
    <w:pPr>
      <w:spacing w:line="240" w:lineRule="auto"/>
      <w:outlineLvl w:val="2"/>
    </w:pPr>
  </w:style>
  <w:style w:type="paragraph" w:styleId="Heading4">
    <w:name w:val="heading 4"/>
    <w:basedOn w:val="Normal"/>
    <w:next w:val="Normal"/>
    <w:qFormat/>
    <w:rsid w:val="001704F4"/>
    <w:pPr>
      <w:spacing w:line="240" w:lineRule="auto"/>
      <w:outlineLvl w:val="3"/>
    </w:pPr>
  </w:style>
  <w:style w:type="paragraph" w:styleId="Heading5">
    <w:name w:val="heading 5"/>
    <w:basedOn w:val="Normal"/>
    <w:next w:val="Normal"/>
    <w:qFormat/>
    <w:rsid w:val="001704F4"/>
    <w:pPr>
      <w:spacing w:line="240" w:lineRule="auto"/>
      <w:outlineLvl w:val="4"/>
    </w:pPr>
  </w:style>
  <w:style w:type="paragraph" w:styleId="Heading6">
    <w:name w:val="heading 6"/>
    <w:basedOn w:val="Normal"/>
    <w:next w:val="Normal"/>
    <w:qFormat/>
    <w:rsid w:val="001704F4"/>
    <w:pPr>
      <w:spacing w:line="240" w:lineRule="auto"/>
      <w:outlineLvl w:val="5"/>
    </w:pPr>
  </w:style>
  <w:style w:type="paragraph" w:styleId="Heading7">
    <w:name w:val="heading 7"/>
    <w:basedOn w:val="Normal"/>
    <w:next w:val="Normal"/>
    <w:qFormat/>
    <w:rsid w:val="001704F4"/>
    <w:pPr>
      <w:spacing w:line="240" w:lineRule="auto"/>
      <w:outlineLvl w:val="6"/>
    </w:pPr>
  </w:style>
  <w:style w:type="paragraph" w:styleId="Heading8">
    <w:name w:val="heading 8"/>
    <w:basedOn w:val="Normal"/>
    <w:next w:val="Normal"/>
    <w:qFormat/>
    <w:rsid w:val="001704F4"/>
    <w:pPr>
      <w:spacing w:line="240" w:lineRule="auto"/>
      <w:outlineLvl w:val="7"/>
    </w:pPr>
  </w:style>
  <w:style w:type="paragraph" w:styleId="Heading9">
    <w:name w:val="heading 9"/>
    <w:basedOn w:val="Normal"/>
    <w:next w:val="Normal"/>
    <w:qFormat/>
    <w:rsid w:val="001704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qFormat/>
    <w:rsid w:val="001704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1704F4"/>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1704F4"/>
    <w:rPr>
      <w:b/>
      <w:bCs/>
    </w:rPr>
  </w:style>
  <w:style w:type="paragraph" w:styleId="Subtitle">
    <w:name w:val="Subtitle"/>
    <w:basedOn w:val="Normal"/>
    <w:qFormat/>
    <w:rsid w:val="001704F4"/>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704F4"/>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uiPriority w:val="99"/>
    <w:qFormat/>
    <w:locked/>
    <w:rsid w:val="001704F4"/>
    <w:rPr>
      <w:lang w:eastAsia="en-US"/>
    </w:rPr>
  </w:style>
  <w:style w:type="character" w:customStyle="1" w:styleId="FootnoteTextChar">
    <w:name w:val="Footnote Text Char"/>
    <w:aliases w:val="5_G Char,5_GR Char"/>
    <w:link w:val="FootnoteText"/>
    <w:uiPriority w:val="99"/>
    <w:qFormat/>
    <w:locked/>
    <w:rsid w:val="00F86404"/>
    <w:rPr>
      <w:sz w:val="18"/>
      <w:lang w:eastAsia="en-US"/>
    </w:rPr>
  </w:style>
  <w:style w:type="character" w:customStyle="1" w:styleId="H23GChar">
    <w:name w:val="_ H_2/3_G Char"/>
    <w:link w:val="H23G"/>
    <w:rsid w:val="00F86404"/>
    <w:rPr>
      <w:b/>
      <w:lang w:eastAsia="en-US"/>
    </w:rPr>
  </w:style>
  <w:style w:type="character" w:customStyle="1" w:styleId="HChGChar">
    <w:name w:val="_ H _Ch_G Char"/>
    <w:link w:val="HChG"/>
    <w:rsid w:val="00F86404"/>
    <w:rPr>
      <w:b/>
      <w:sz w:val="28"/>
      <w:lang w:eastAsia="en-US"/>
    </w:rPr>
  </w:style>
  <w:style w:type="character" w:customStyle="1" w:styleId="H1GChar">
    <w:name w:val="_ H_1_G Char"/>
    <w:link w:val="H1G"/>
    <w:rsid w:val="00915BA8"/>
    <w:rPr>
      <w:b/>
      <w:sz w:val="24"/>
      <w:lang w:eastAsia="en-US"/>
    </w:rPr>
  </w:style>
  <w:style w:type="character" w:customStyle="1" w:styleId="SingleTxtGZchnZchn">
    <w:name w:val="_ Single Txt_G Zchn Zchn"/>
    <w:rsid w:val="00915BA8"/>
    <w:rPr>
      <w:lang w:eastAsia="en-US"/>
    </w:rPr>
  </w:style>
  <w:style w:type="character" w:customStyle="1" w:styleId="SingleTxtGCar">
    <w:name w:val="_ Single Txt_G Car"/>
    <w:rsid w:val="002E2862"/>
    <w:rPr>
      <w:lang w:val="fr-CH" w:eastAsia="en-US"/>
    </w:rPr>
  </w:style>
  <w:style w:type="paragraph" w:styleId="CommentSubject">
    <w:name w:val="annotation subject"/>
    <w:basedOn w:val="CommentText"/>
    <w:next w:val="CommentText"/>
    <w:link w:val="CommentSubjectChar"/>
    <w:semiHidden/>
    <w:unhideWhenUsed/>
    <w:rsid w:val="00F24A19"/>
    <w:pPr>
      <w:spacing w:line="240" w:lineRule="auto"/>
    </w:pPr>
    <w:rPr>
      <w:b/>
      <w:bCs/>
    </w:rPr>
  </w:style>
  <w:style w:type="character" w:customStyle="1" w:styleId="CommentTextChar">
    <w:name w:val="Comment Text Char"/>
    <w:basedOn w:val="DefaultParagraphFont"/>
    <w:link w:val="CommentText"/>
    <w:semiHidden/>
    <w:rsid w:val="00F24A19"/>
    <w:rPr>
      <w:lang w:eastAsia="en-US"/>
    </w:rPr>
  </w:style>
  <w:style w:type="character" w:customStyle="1" w:styleId="CommentSubjectChar">
    <w:name w:val="Comment Subject Char"/>
    <w:basedOn w:val="CommentTextChar"/>
    <w:link w:val="CommentSubject"/>
    <w:semiHidden/>
    <w:rsid w:val="00F24A19"/>
    <w:rPr>
      <w:b/>
      <w:bCs/>
      <w:lang w:eastAsia="en-US"/>
    </w:rPr>
  </w:style>
  <w:style w:type="paragraph" w:styleId="Revision">
    <w:name w:val="Revision"/>
    <w:hidden/>
    <w:uiPriority w:val="99"/>
    <w:semiHidden/>
    <w:rsid w:val="00F24A19"/>
    <w:rPr>
      <w:lang w:eastAsia="en-US"/>
    </w:rPr>
  </w:style>
  <w:style w:type="paragraph" w:styleId="BalloonText">
    <w:name w:val="Balloon Text"/>
    <w:basedOn w:val="Normal"/>
    <w:link w:val="BalloonTextChar"/>
    <w:rsid w:val="00F24A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4A19"/>
    <w:rPr>
      <w:rFonts w:ascii="Tahoma" w:hAnsi="Tahoma" w:cs="Tahoma"/>
      <w:sz w:val="16"/>
      <w:szCs w:val="16"/>
      <w:lang w:eastAsia="en-US"/>
    </w:rPr>
  </w:style>
  <w:style w:type="paragraph" w:customStyle="1" w:styleId="Tabletext9">
    <w:name w:val="Table text (9)"/>
    <w:basedOn w:val="Normal"/>
    <w:uiPriority w:val="99"/>
    <w:rsid w:val="005C79F5"/>
    <w:pPr>
      <w:suppressAutoHyphens w:val="0"/>
      <w:spacing w:before="60" w:after="60" w:line="210" w:lineRule="atLeast"/>
      <w:jc w:val="both"/>
    </w:pPr>
    <w:rPr>
      <w:rFonts w:ascii="Arial" w:eastAsia="MS Mincho" w:hAnsi="Arial"/>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9681-513D-4F0E-A826-38539BF9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135</TotalTime>
  <Pages>18</Pages>
  <Words>5638</Words>
  <Characters>32137</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Modifs Ariane</dc:creator>
  <cp:keywords/>
  <dc:description/>
  <cp:lastModifiedBy>Christine Barrio-Champeau</cp:lastModifiedBy>
  <cp:revision>16</cp:revision>
  <cp:lastPrinted>2017-10-20T14:01:00Z</cp:lastPrinted>
  <dcterms:created xsi:type="dcterms:W3CDTF">2017-10-11T07:58:00Z</dcterms:created>
  <dcterms:modified xsi:type="dcterms:W3CDTF">2018-01-31T15:28:00Z</dcterms:modified>
</cp:coreProperties>
</file>