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14:paraId="23288D3D" w14:textId="77777777" w:rsidTr="00D369DB">
        <w:trPr>
          <w:trHeight w:hRule="exact" w:val="851"/>
        </w:trPr>
        <w:tc>
          <w:tcPr>
            <w:tcW w:w="1276" w:type="dxa"/>
            <w:tcBorders>
              <w:bottom w:val="single" w:sz="4" w:space="0" w:color="auto"/>
            </w:tcBorders>
          </w:tcPr>
          <w:p w14:paraId="5630B83B" w14:textId="77777777" w:rsidR="003D1DF3" w:rsidRPr="00072032" w:rsidRDefault="003D1DF3" w:rsidP="00F01516">
            <w:pPr>
              <w:rPr>
                <w:lang w:val="fr-FR"/>
              </w:rPr>
            </w:pPr>
          </w:p>
        </w:tc>
        <w:tc>
          <w:tcPr>
            <w:tcW w:w="2268" w:type="dxa"/>
            <w:tcBorders>
              <w:bottom w:val="single" w:sz="4" w:space="0" w:color="auto"/>
            </w:tcBorders>
            <w:vAlign w:val="bottom"/>
          </w:tcPr>
          <w:p w14:paraId="26189EEE" w14:textId="77777777"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14:paraId="1995CEBB" w14:textId="77777777" w:rsidR="003D1DF3" w:rsidRPr="00072032" w:rsidRDefault="00D369DB" w:rsidP="00D369DB">
            <w:pPr>
              <w:jc w:val="right"/>
              <w:rPr>
                <w:lang w:val="fr-FR"/>
              </w:rPr>
            </w:pPr>
            <w:r w:rsidRPr="00D369DB">
              <w:rPr>
                <w:sz w:val="40"/>
                <w:lang w:val="fr-FR"/>
              </w:rPr>
              <w:t>ECE</w:t>
            </w:r>
            <w:r>
              <w:rPr>
                <w:lang w:val="fr-FR"/>
              </w:rPr>
              <w:t>/TRANS/WP.15/AC.1/146</w:t>
            </w:r>
          </w:p>
        </w:tc>
      </w:tr>
      <w:tr w:rsidR="003D1DF3" w:rsidRPr="00072032" w14:paraId="36D17B58" w14:textId="77777777" w:rsidTr="00F01516">
        <w:trPr>
          <w:trHeight w:hRule="exact" w:val="2835"/>
        </w:trPr>
        <w:tc>
          <w:tcPr>
            <w:tcW w:w="1276" w:type="dxa"/>
            <w:tcBorders>
              <w:top w:val="single" w:sz="4" w:space="0" w:color="auto"/>
              <w:bottom w:val="single" w:sz="12" w:space="0" w:color="auto"/>
            </w:tcBorders>
          </w:tcPr>
          <w:p w14:paraId="65BF2491" w14:textId="77777777" w:rsidR="003D1DF3" w:rsidRPr="00072032" w:rsidRDefault="00072032" w:rsidP="00F01516">
            <w:pPr>
              <w:spacing w:before="120"/>
              <w:jc w:val="center"/>
              <w:rPr>
                <w:lang w:val="fr-FR"/>
              </w:rPr>
            </w:pPr>
            <w:r>
              <w:rPr>
                <w:noProof/>
                <w:lang w:val="en-US"/>
              </w:rPr>
              <w:drawing>
                <wp:inline distT="0" distB="0" distL="0" distR="0" wp14:anchorId="513239CE" wp14:editId="0EE0647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EAAC7C" w14:textId="77777777"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14:paraId="75E7FAC5" w14:textId="77777777" w:rsidR="003D1DF3" w:rsidRDefault="00D369DB" w:rsidP="00D369DB">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14:paraId="5F8C3CCB" w14:textId="05DA1337" w:rsidR="00D369DB" w:rsidRDefault="009752F3" w:rsidP="00D369DB">
            <w:pPr>
              <w:spacing w:line="240" w:lineRule="exact"/>
              <w:rPr>
                <w:lang w:val="fr-FR"/>
              </w:rPr>
            </w:pPr>
            <w:r>
              <w:rPr>
                <w:lang w:val="fr-FR"/>
              </w:rPr>
              <w:t>7</w:t>
            </w:r>
            <w:r w:rsidR="00D369DB">
              <w:rPr>
                <w:lang w:val="fr-FR"/>
              </w:rPr>
              <w:t xml:space="preserve"> avril 2017</w:t>
            </w:r>
          </w:p>
          <w:p w14:paraId="7F28BCA2" w14:textId="77777777" w:rsidR="008F2397" w:rsidRDefault="008F2397" w:rsidP="008F2397">
            <w:pPr>
              <w:spacing w:line="240" w:lineRule="exact"/>
              <w:rPr>
                <w:lang w:val="fr-FR"/>
              </w:rPr>
            </w:pPr>
            <w:r>
              <w:rPr>
                <w:lang w:val="fr-FR"/>
              </w:rPr>
              <w:t>Français</w:t>
            </w:r>
          </w:p>
          <w:p w14:paraId="39CADEC8" w14:textId="67D4C18E" w:rsidR="00D369DB" w:rsidRPr="00072032" w:rsidRDefault="008F2397" w:rsidP="00B90DC3">
            <w:pPr>
              <w:spacing w:line="240" w:lineRule="exact"/>
              <w:rPr>
                <w:lang w:val="fr-FR"/>
              </w:rPr>
            </w:pPr>
            <w:r>
              <w:rPr>
                <w:lang w:val="fr-FR"/>
              </w:rPr>
              <w:t xml:space="preserve">Original: </w:t>
            </w:r>
            <w:r w:rsidR="00B90DC3">
              <w:rPr>
                <w:lang w:val="fr-FR"/>
              </w:rPr>
              <w:t xml:space="preserve"> anglais et français </w:t>
            </w:r>
            <w:r>
              <w:rPr>
                <w:lang w:val="fr-FR"/>
              </w:rPr>
              <w:t xml:space="preserve"> </w:t>
            </w:r>
          </w:p>
        </w:tc>
      </w:tr>
    </w:tbl>
    <w:p w14:paraId="1D75ACE6" w14:textId="77777777" w:rsidR="00D369DB" w:rsidRPr="00565000" w:rsidRDefault="00D369DB" w:rsidP="00D369DB">
      <w:pPr>
        <w:spacing w:before="120"/>
        <w:rPr>
          <w:b/>
          <w:sz w:val="28"/>
          <w:szCs w:val="28"/>
          <w:lang w:val="fr-FR"/>
        </w:rPr>
      </w:pPr>
      <w:r w:rsidRPr="00565000">
        <w:rPr>
          <w:b/>
          <w:sz w:val="28"/>
          <w:szCs w:val="28"/>
          <w:lang w:val="fr-FR"/>
        </w:rPr>
        <w:t>Commission économique pour l’Europe</w:t>
      </w:r>
    </w:p>
    <w:p w14:paraId="4676A36F" w14:textId="77777777" w:rsidR="00D369DB" w:rsidRPr="00565000" w:rsidRDefault="00D369DB" w:rsidP="00D369DB">
      <w:pPr>
        <w:spacing w:before="120"/>
        <w:rPr>
          <w:sz w:val="28"/>
          <w:szCs w:val="28"/>
          <w:lang w:val="fr-FR"/>
        </w:rPr>
      </w:pPr>
      <w:r w:rsidRPr="00565000">
        <w:rPr>
          <w:sz w:val="28"/>
          <w:szCs w:val="28"/>
          <w:lang w:val="fr-FR"/>
        </w:rPr>
        <w:t>Comité des transports intérieurs</w:t>
      </w:r>
    </w:p>
    <w:p w14:paraId="5068B5C9" w14:textId="77777777" w:rsidR="00D369DB" w:rsidRPr="00565000" w:rsidRDefault="00D369DB" w:rsidP="00D369DB">
      <w:pPr>
        <w:spacing w:before="120"/>
        <w:rPr>
          <w:b/>
          <w:sz w:val="24"/>
          <w:szCs w:val="24"/>
          <w:lang w:val="fr-FR"/>
        </w:rPr>
      </w:pPr>
      <w:r w:rsidRPr="00565000">
        <w:rPr>
          <w:b/>
          <w:sz w:val="24"/>
          <w:szCs w:val="24"/>
          <w:lang w:val="fr-FR"/>
        </w:rPr>
        <w:t>Groupe de travail des transports de marchandises dangereuses</w:t>
      </w:r>
    </w:p>
    <w:p w14:paraId="5C12BF67" w14:textId="77777777" w:rsidR="00D369DB" w:rsidRPr="00565000" w:rsidRDefault="00D369DB" w:rsidP="00D369DB">
      <w:pPr>
        <w:spacing w:before="120"/>
        <w:rPr>
          <w:b/>
          <w:lang w:val="fr-FR"/>
        </w:rPr>
      </w:pPr>
      <w:r w:rsidRPr="00565000">
        <w:rPr>
          <w:b/>
          <w:lang w:val="fr-FR"/>
        </w:rPr>
        <w:t>Réunion commune de la Commission d’experts</w:t>
      </w:r>
      <w:r w:rsidRPr="00565000">
        <w:rPr>
          <w:b/>
          <w:lang w:val="fr-FR"/>
        </w:rPr>
        <w:br/>
        <w:t>du RID et du Groupe de travail des transports</w:t>
      </w:r>
      <w:r w:rsidRPr="00565000">
        <w:rPr>
          <w:b/>
          <w:lang w:val="fr-FR"/>
        </w:rPr>
        <w:br/>
        <w:t>de marchandises dangereuses</w:t>
      </w:r>
    </w:p>
    <w:p w14:paraId="5645B506" w14:textId="60505B23" w:rsidR="00D369DB" w:rsidRPr="00565000" w:rsidRDefault="00D369DB" w:rsidP="00D369DB">
      <w:pPr>
        <w:pStyle w:val="HChG"/>
        <w:spacing w:after="120"/>
        <w:rPr>
          <w:b w:val="0"/>
        </w:rPr>
      </w:pPr>
      <w:r w:rsidRPr="00565000">
        <w:rPr>
          <w:bCs/>
        </w:rPr>
        <w:tab/>
      </w:r>
      <w:r w:rsidRPr="00565000">
        <w:rPr>
          <w:bCs/>
        </w:rPr>
        <w:tab/>
        <w:t xml:space="preserve">Rapport de la </w:t>
      </w:r>
      <w:proofErr w:type="spellStart"/>
      <w:r w:rsidRPr="00565000">
        <w:rPr>
          <w:bCs/>
        </w:rPr>
        <w:t>Réunion</w:t>
      </w:r>
      <w:proofErr w:type="spellEnd"/>
      <w:r w:rsidRPr="00565000">
        <w:rPr>
          <w:bCs/>
        </w:rPr>
        <w:t xml:space="preserve"> commune de la Commission </w:t>
      </w:r>
      <w:proofErr w:type="spellStart"/>
      <w:r w:rsidRPr="00565000">
        <w:rPr>
          <w:bCs/>
        </w:rPr>
        <w:t>d'experts</w:t>
      </w:r>
      <w:proofErr w:type="spellEnd"/>
      <w:r w:rsidRPr="00565000">
        <w:rPr>
          <w:bCs/>
        </w:rPr>
        <w:t xml:space="preserve"> du RID </w:t>
      </w:r>
      <w:proofErr w:type="gramStart"/>
      <w:r w:rsidRPr="00565000">
        <w:rPr>
          <w:bCs/>
        </w:rPr>
        <w:t>et</w:t>
      </w:r>
      <w:proofErr w:type="gramEnd"/>
      <w:r w:rsidRPr="00565000">
        <w:rPr>
          <w:bCs/>
        </w:rPr>
        <w:t xml:space="preserve"> du </w:t>
      </w:r>
      <w:proofErr w:type="spellStart"/>
      <w:r w:rsidRPr="00565000">
        <w:rPr>
          <w:bCs/>
        </w:rPr>
        <w:t>Groupe</w:t>
      </w:r>
      <w:proofErr w:type="spellEnd"/>
      <w:r w:rsidRPr="00565000">
        <w:rPr>
          <w:bCs/>
        </w:rPr>
        <w:t xml:space="preserve"> de travail des transports de </w:t>
      </w:r>
      <w:proofErr w:type="spellStart"/>
      <w:r w:rsidRPr="00565000">
        <w:rPr>
          <w:bCs/>
        </w:rPr>
        <w:t>marchandises</w:t>
      </w:r>
      <w:proofErr w:type="spellEnd"/>
      <w:r w:rsidRPr="00565000">
        <w:rPr>
          <w:bCs/>
        </w:rPr>
        <w:t xml:space="preserve"> </w:t>
      </w:r>
      <w:proofErr w:type="spellStart"/>
      <w:r w:rsidRPr="00565000">
        <w:rPr>
          <w:bCs/>
        </w:rPr>
        <w:t>dangereuses</w:t>
      </w:r>
      <w:proofErr w:type="spellEnd"/>
      <w:r w:rsidRPr="00565000">
        <w:rPr>
          <w:bCs/>
        </w:rPr>
        <w:t xml:space="preserve"> sur </w:t>
      </w:r>
      <w:proofErr w:type="spellStart"/>
      <w:r w:rsidRPr="00565000">
        <w:rPr>
          <w:bCs/>
        </w:rPr>
        <w:t>sa</w:t>
      </w:r>
      <w:proofErr w:type="spellEnd"/>
      <w:r w:rsidRPr="00565000">
        <w:rPr>
          <w:bCs/>
        </w:rPr>
        <w:t xml:space="preserve"> session de </w:t>
      </w:r>
      <w:proofErr w:type="spellStart"/>
      <w:r w:rsidRPr="00565000">
        <w:rPr>
          <w:bCs/>
        </w:rPr>
        <w:t>printemps</w:t>
      </w:r>
      <w:proofErr w:type="spellEnd"/>
      <w:r w:rsidRPr="00565000">
        <w:rPr>
          <w:bCs/>
        </w:rPr>
        <w:t xml:space="preserve"> </w:t>
      </w:r>
      <w:r w:rsidR="00820E84" w:rsidRPr="00565000">
        <w:rPr>
          <w:bCs/>
        </w:rPr>
        <w:t>201</w:t>
      </w:r>
      <w:r w:rsidR="00820E84">
        <w:rPr>
          <w:bCs/>
        </w:rPr>
        <w:t>7</w:t>
      </w:r>
      <w:r w:rsidR="0077384E" w:rsidRPr="0077384E">
        <w:rPr>
          <w:rStyle w:val="FootnoteReference"/>
          <w:bCs/>
          <w:sz w:val="20"/>
        </w:rPr>
        <w:footnoteReference w:customMarkFollows="1" w:id="2"/>
        <w:t>*</w:t>
      </w:r>
    </w:p>
    <w:p w14:paraId="4B3E8284" w14:textId="77777777" w:rsidR="00D369DB" w:rsidRPr="00565000" w:rsidRDefault="00D369DB" w:rsidP="00D369DB">
      <w:pPr>
        <w:pStyle w:val="H56G"/>
      </w:pPr>
      <w:r w:rsidRPr="00565000">
        <w:tab/>
      </w:r>
      <w:r w:rsidRPr="00565000">
        <w:tab/>
      </w:r>
      <w:proofErr w:type="gramStart"/>
      <w:r w:rsidRPr="00565000">
        <w:t>tenue</w:t>
      </w:r>
      <w:proofErr w:type="gramEnd"/>
      <w:r w:rsidRPr="00565000">
        <w:t xml:space="preserve"> à Berne du 1</w:t>
      </w:r>
      <w:r>
        <w:t>3</w:t>
      </w:r>
      <w:r w:rsidRPr="00565000">
        <w:t xml:space="preserve"> au 1</w:t>
      </w:r>
      <w:r>
        <w:t>7</w:t>
      </w:r>
      <w:r w:rsidRPr="00565000">
        <w:t xml:space="preserve"> mars 201</w:t>
      </w:r>
      <w:r>
        <w:t>7</w:t>
      </w:r>
    </w:p>
    <w:p w14:paraId="0863D09E" w14:textId="77777777" w:rsidR="00D369DB" w:rsidRPr="00565000" w:rsidRDefault="00D369DB" w:rsidP="00D369DB">
      <w:pPr>
        <w:spacing w:line="120" w:lineRule="atLeast"/>
        <w:outlineLvl w:val="0"/>
        <w:rPr>
          <w:sz w:val="28"/>
        </w:rPr>
      </w:pPr>
      <w:r w:rsidRPr="00565000">
        <w:rPr>
          <w:sz w:val="28"/>
        </w:rPr>
        <w:t>Table des matières</w:t>
      </w:r>
    </w:p>
    <w:p w14:paraId="7846ECC0" w14:textId="77777777" w:rsidR="00D369DB" w:rsidRPr="00565000" w:rsidRDefault="00D369DB" w:rsidP="00D369DB">
      <w:pPr>
        <w:tabs>
          <w:tab w:val="right" w:pos="8929"/>
          <w:tab w:val="right" w:pos="9638"/>
        </w:tabs>
        <w:spacing w:after="120"/>
        <w:ind w:left="284"/>
      </w:pPr>
      <w:r w:rsidRPr="00565000">
        <w:rPr>
          <w:i/>
          <w:sz w:val="18"/>
        </w:rPr>
        <w:tab/>
        <w:t>Paragraphes</w:t>
      </w:r>
      <w:r w:rsidRPr="00565000">
        <w:rPr>
          <w:i/>
          <w:sz w:val="18"/>
        </w:rPr>
        <w:tab/>
        <w:t>Page</w:t>
      </w:r>
    </w:p>
    <w:p w14:paraId="5976FEBC" w14:textId="3451C7F3" w:rsidR="00225E9C" w:rsidRPr="00D3604F" w:rsidRDefault="00225E9C" w:rsidP="00225E9C">
      <w:pPr>
        <w:tabs>
          <w:tab w:val="right" w:pos="850"/>
          <w:tab w:val="left" w:pos="1134"/>
          <w:tab w:val="left" w:pos="1559"/>
          <w:tab w:val="left" w:pos="1984"/>
          <w:tab w:val="left" w:leader="dot" w:pos="7654"/>
          <w:tab w:val="right" w:pos="8929"/>
          <w:tab w:val="right" w:pos="9638"/>
        </w:tabs>
        <w:spacing w:after="120"/>
      </w:pPr>
      <w:r w:rsidRPr="00D3604F">
        <w:tab/>
        <w:t>I.</w:t>
      </w:r>
      <w:r w:rsidRPr="00D3604F">
        <w:tab/>
      </w:r>
      <w:r w:rsidRPr="007729C1">
        <w:t>P</w:t>
      </w:r>
      <w:r>
        <w:t>articipation</w:t>
      </w:r>
      <w:r w:rsidRPr="00D3604F">
        <w:tab/>
      </w:r>
      <w:r w:rsidRPr="00D3604F">
        <w:tab/>
        <w:t>1-3</w:t>
      </w:r>
      <w:r w:rsidRPr="00D3604F">
        <w:tab/>
        <w:t>4</w:t>
      </w:r>
    </w:p>
    <w:p w14:paraId="45174DA2" w14:textId="19867EAB" w:rsidR="00225E9C" w:rsidRPr="00D3604F" w:rsidRDefault="00225E9C" w:rsidP="00225E9C">
      <w:pPr>
        <w:tabs>
          <w:tab w:val="right" w:pos="850"/>
          <w:tab w:val="left" w:pos="1134"/>
          <w:tab w:val="left" w:pos="1559"/>
          <w:tab w:val="left" w:pos="1984"/>
          <w:tab w:val="left" w:leader="dot" w:pos="7654"/>
          <w:tab w:val="right" w:pos="8929"/>
          <w:tab w:val="right" w:pos="9638"/>
        </w:tabs>
        <w:spacing w:after="120"/>
      </w:pPr>
      <w:r w:rsidRPr="00D3604F">
        <w:tab/>
        <w:t>II.</w:t>
      </w:r>
      <w:r w:rsidRPr="00D3604F">
        <w:tab/>
      </w:r>
      <w:r>
        <w:rPr>
          <w:lang w:val="fr-FR"/>
        </w:rPr>
        <w:t>A</w:t>
      </w:r>
      <w:r w:rsidRPr="001F7089">
        <w:rPr>
          <w:lang w:val="fr-FR"/>
        </w:rPr>
        <w:t xml:space="preserve">doption de l'ordre du jour </w:t>
      </w:r>
      <w:r w:rsidRPr="00C35A40">
        <w:rPr>
          <w:lang w:val="fr-FR"/>
        </w:rPr>
        <w:t>(point 1 de l’ordre du jour)</w:t>
      </w:r>
      <w:r>
        <w:tab/>
      </w:r>
      <w:r>
        <w:tab/>
      </w:r>
      <w:r w:rsidRPr="00D3604F">
        <w:t>4</w:t>
      </w:r>
      <w:r w:rsidRPr="00D3604F">
        <w:tab/>
        <w:t>4</w:t>
      </w:r>
    </w:p>
    <w:p w14:paraId="2A0A29CD" w14:textId="70CBC3B2" w:rsidR="00225E9C"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III.</w:t>
      </w:r>
      <w:r w:rsidRPr="00D3604F">
        <w:tab/>
      </w:r>
      <w:r w:rsidRPr="00D3604F">
        <w:tab/>
      </w:r>
      <w:r>
        <w:t>Citernes (point 2 de l’ordre du jour)</w:t>
      </w:r>
      <w:r>
        <w:tab/>
      </w:r>
      <w:r>
        <w:tab/>
      </w:r>
      <w:r w:rsidRPr="00D3604F">
        <w:t>5-</w:t>
      </w:r>
      <w:r>
        <w:t>10</w:t>
      </w:r>
      <w:r w:rsidRPr="00D3604F">
        <w:tab/>
      </w:r>
      <w:r w:rsidR="00EF75FC">
        <w:t>4</w:t>
      </w:r>
    </w:p>
    <w:p w14:paraId="7556649E" w14:textId="25A0F3FC"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Pr>
          <w:color w:val="000000" w:themeColor="text1"/>
        </w:rPr>
        <w:tab/>
      </w:r>
      <w:r>
        <w:rPr>
          <w:color w:val="000000" w:themeColor="text1"/>
        </w:rPr>
        <w:tab/>
      </w:r>
      <w:r w:rsidRPr="00C56D6A">
        <w:rPr>
          <w:color w:val="000000" w:themeColor="text1"/>
        </w:rPr>
        <w:t>Rapport du Groupe de travail sur les citernes</w:t>
      </w:r>
      <w:r>
        <w:rPr>
          <w:color w:val="000000" w:themeColor="text1"/>
        </w:rPr>
        <w:tab/>
      </w:r>
      <w:r>
        <w:rPr>
          <w:color w:val="000000" w:themeColor="text1"/>
        </w:rPr>
        <w:tab/>
        <w:t>6-10</w:t>
      </w:r>
      <w:r>
        <w:rPr>
          <w:color w:val="000000" w:themeColor="text1"/>
        </w:rPr>
        <w:tab/>
        <w:t>5</w:t>
      </w:r>
    </w:p>
    <w:p w14:paraId="62F2712A" w14:textId="7A25D885" w:rsidR="00225E9C"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ab/>
        <w:t>IV.</w:t>
      </w:r>
      <w:r w:rsidRPr="00D3604F">
        <w:tab/>
      </w:r>
      <w:r w:rsidRPr="00EE1A7A">
        <w:t>Normes (point 3 de l’ordre du jour)</w:t>
      </w:r>
      <w:r w:rsidRPr="00D3604F">
        <w:tab/>
      </w:r>
      <w:r w:rsidRPr="00D3604F">
        <w:tab/>
      </w:r>
      <w:r>
        <w:t>11</w:t>
      </w:r>
      <w:r w:rsidRPr="00D3604F">
        <w:t>-1</w:t>
      </w:r>
      <w:r>
        <w:t>4</w:t>
      </w:r>
      <w:r w:rsidRPr="00D3604F">
        <w:tab/>
        <w:t>6</w:t>
      </w:r>
    </w:p>
    <w:p w14:paraId="09EC5458" w14:textId="003CD156"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tab/>
      </w:r>
      <w:r>
        <w:tab/>
      </w:r>
      <w:r w:rsidR="002B253F">
        <w:t>Rapport du Groupe de travail sur les normes</w:t>
      </w:r>
      <w:r>
        <w:tab/>
      </w:r>
      <w:r>
        <w:tab/>
        <w:t>12-14</w:t>
      </w:r>
      <w:r>
        <w:tab/>
        <w:t>6</w:t>
      </w:r>
    </w:p>
    <w:p w14:paraId="4A6C5FA7" w14:textId="52B6C931" w:rsidR="00225E9C" w:rsidRPr="00D3604F" w:rsidRDefault="00225E9C" w:rsidP="00225E9C">
      <w:pPr>
        <w:tabs>
          <w:tab w:val="left" w:pos="1134"/>
          <w:tab w:val="left" w:pos="1570"/>
          <w:tab w:val="left" w:pos="1984"/>
          <w:tab w:val="left" w:leader="dot" w:pos="7654"/>
          <w:tab w:val="right" w:pos="8929"/>
          <w:tab w:val="right" w:pos="9638"/>
        </w:tabs>
        <w:spacing w:after="120"/>
        <w:ind w:left="1570" w:hanging="970"/>
      </w:pPr>
      <w:r w:rsidRPr="00D3604F">
        <w:t>V.</w:t>
      </w:r>
      <w:r w:rsidRPr="00D3604F">
        <w:tab/>
      </w:r>
      <w:r w:rsidRPr="00EF2407">
        <w:t>Interprétation du RID/ADR/ADN (point 4 de l’ordre du jour)</w:t>
      </w:r>
      <w:r w:rsidRPr="00D3604F">
        <w:tab/>
      </w:r>
      <w:r w:rsidRPr="00D3604F">
        <w:tab/>
        <w:t>1</w:t>
      </w:r>
      <w:r>
        <w:t>5-23</w:t>
      </w:r>
      <w:r w:rsidRPr="00D3604F">
        <w:tab/>
        <w:t>6</w:t>
      </w:r>
    </w:p>
    <w:p w14:paraId="3A9E5F89" w14:textId="7C09BCD2" w:rsidR="00225E9C" w:rsidRPr="00D779B7"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A.</w:t>
      </w:r>
      <w:r w:rsidRPr="00D779B7">
        <w:tab/>
      </w:r>
      <w:r>
        <w:t>Interprétation du marquage des cadres de bouteille</w:t>
      </w:r>
      <w:r w:rsidRPr="00D779B7">
        <w:tab/>
      </w:r>
      <w:r w:rsidRPr="00D779B7">
        <w:tab/>
        <w:t>15-16</w:t>
      </w:r>
      <w:r w:rsidRPr="00D779B7">
        <w:tab/>
        <w:t>6</w:t>
      </w:r>
    </w:p>
    <w:p w14:paraId="68C3EAC0" w14:textId="11325D30" w:rsidR="00225E9C"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B.</w:t>
      </w:r>
      <w:r w:rsidRPr="00D779B7">
        <w:tab/>
      </w:r>
      <w:r>
        <w:t>Implication du 1.8.1 pour les autorités compétentes</w:t>
      </w:r>
      <w:r w:rsidRPr="00D779B7">
        <w:tab/>
      </w:r>
      <w:r w:rsidRPr="00D779B7">
        <w:tab/>
      </w:r>
      <w:r>
        <w:t>17-20</w:t>
      </w:r>
      <w:r w:rsidRPr="00D779B7">
        <w:tab/>
      </w:r>
      <w:r>
        <w:t>7</w:t>
      </w:r>
    </w:p>
    <w:p w14:paraId="3F11BBBD" w14:textId="7C3039AB" w:rsidR="00225E9C" w:rsidRPr="00AC0DFA"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tab/>
      </w:r>
      <w:r>
        <w:tab/>
      </w:r>
      <w:r w:rsidRPr="00AC0DFA">
        <w:t>C.</w:t>
      </w:r>
      <w:r w:rsidRPr="00AC0DFA">
        <w:tab/>
      </w:r>
      <w:r>
        <w:rPr>
          <w:lang w:val="fr-FR"/>
        </w:rPr>
        <w:t xml:space="preserve">Interprétation du paragraphe 1.8.3.15: acceptation </w:t>
      </w:r>
      <w:r>
        <w:rPr>
          <w:lang w:val="fr-FR"/>
        </w:rPr>
        <w:br/>
        <w:t>des certificats de conseiller à la sécurité</w:t>
      </w:r>
      <w:r>
        <w:tab/>
      </w:r>
      <w:r>
        <w:tab/>
        <w:t>21-23</w:t>
      </w:r>
      <w:r>
        <w:tab/>
        <w:t>7</w:t>
      </w:r>
    </w:p>
    <w:p w14:paraId="265C2265" w14:textId="2A63048A" w:rsidR="00225E9C" w:rsidRDefault="00225E9C" w:rsidP="009752F3">
      <w:pPr>
        <w:tabs>
          <w:tab w:val="left" w:pos="1570"/>
          <w:tab w:val="left" w:pos="1984"/>
          <w:tab w:val="left" w:leader="dot" w:pos="7654"/>
          <w:tab w:val="right" w:pos="8929"/>
          <w:tab w:val="right" w:pos="9638"/>
        </w:tabs>
        <w:spacing w:after="120"/>
        <w:ind w:left="1570" w:hanging="970"/>
      </w:pPr>
      <w:r w:rsidRPr="00D3604F">
        <w:lastRenderedPageBreak/>
        <w:t>VI.</w:t>
      </w:r>
      <w:r w:rsidRPr="00D3604F">
        <w:tab/>
      </w:r>
      <w:r w:rsidRPr="00A01122">
        <w:rPr>
          <w:color w:val="000000" w:themeColor="text1"/>
        </w:rPr>
        <w:t xml:space="preserve">Propositions d’amendements au RID/ADR/ADN </w:t>
      </w:r>
      <w:r>
        <w:rPr>
          <w:color w:val="000000" w:themeColor="text1"/>
        </w:rPr>
        <w:br/>
        <w:t>(point 5 de l’ordre du jour)</w:t>
      </w:r>
      <w:r w:rsidRPr="00D3604F">
        <w:tab/>
      </w:r>
      <w:r w:rsidRPr="00D3604F">
        <w:tab/>
      </w:r>
      <w:r>
        <w:t>24</w:t>
      </w:r>
      <w:r w:rsidRPr="00D3604F">
        <w:t>-</w:t>
      </w:r>
      <w:r>
        <w:t>41</w:t>
      </w:r>
      <w:r w:rsidRPr="00D3604F">
        <w:tab/>
      </w:r>
      <w:r>
        <w:t>8</w:t>
      </w:r>
    </w:p>
    <w:p w14:paraId="37A04346" w14:textId="6CB5A750" w:rsidR="00225E9C" w:rsidRPr="00D779B7"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A.</w:t>
      </w:r>
      <w:r w:rsidRPr="00D779B7">
        <w:tab/>
      </w:r>
      <w:r>
        <w:rPr>
          <w:color w:val="000000" w:themeColor="text1"/>
        </w:rPr>
        <w:t>Questions en suspens</w:t>
      </w:r>
      <w:r w:rsidRPr="00D779B7">
        <w:tab/>
      </w:r>
      <w:r w:rsidRPr="00D779B7">
        <w:tab/>
      </w:r>
      <w:r>
        <w:t>24-28</w:t>
      </w:r>
      <w:r w:rsidRPr="00D779B7">
        <w:tab/>
      </w:r>
      <w:r>
        <w:t>8</w:t>
      </w:r>
    </w:p>
    <w:p w14:paraId="1A41B251" w14:textId="6662BC4B"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r>
      <w:r w:rsidRPr="007650F3">
        <w:t>1.</w:t>
      </w:r>
      <w:r w:rsidRPr="007650F3">
        <w:tab/>
      </w:r>
      <w:r>
        <w:rPr>
          <w:color w:val="000000" w:themeColor="text1"/>
          <w:lang w:val="fr-FR"/>
        </w:rPr>
        <w:t>Transport de lampes TL basse pression</w:t>
      </w:r>
      <w:r>
        <w:tab/>
      </w:r>
      <w:r>
        <w:tab/>
        <w:t>24-26</w:t>
      </w:r>
      <w:r>
        <w:tab/>
        <w:t>8</w:t>
      </w:r>
    </w:p>
    <w:p w14:paraId="656297C1" w14:textId="25575DE6" w:rsidR="00225E9C" w:rsidRPr="007650F3" w:rsidRDefault="00225E9C" w:rsidP="00225E9C">
      <w:pPr>
        <w:tabs>
          <w:tab w:val="left" w:pos="1134"/>
          <w:tab w:val="left" w:pos="1570"/>
          <w:tab w:val="left" w:pos="1984"/>
          <w:tab w:val="left" w:leader="dot" w:pos="7654"/>
          <w:tab w:val="right" w:pos="8929"/>
          <w:tab w:val="right" w:pos="9638"/>
        </w:tabs>
        <w:spacing w:after="120"/>
        <w:ind w:left="1980" w:hanging="1380"/>
      </w:pPr>
      <w:r>
        <w:tab/>
      </w:r>
      <w:r>
        <w:tab/>
      </w:r>
      <w:r w:rsidRPr="007650F3">
        <w:t>2.</w:t>
      </w:r>
      <w:r w:rsidRPr="007650F3">
        <w:tab/>
      </w:r>
      <w:r>
        <w:rPr>
          <w:color w:val="000000" w:themeColor="text1"/>
          <w:lang w:val="fr-FR"/>
        </w:rPr>
        <w:t xml:space="preserve">Utilisation des GRV métalliques (11A) pour le transport </w:t>
      </w:r>
      <w:r>
        <w:rPr>
          <w:color w:val="000000" w:themeColor="text1"/>
          <w:lang w:val="fr-FR"/>
        </w:rPr>
        <w:br/>
        <w:t>des déchets emballés en tant que marchandises dangereuses</w:t>
      </w:r>
      <w:r>
        <w:tab/>
      </w:r>
      <w:r>
        <w:tab/>
        <w:t>27-28</w:t>
      </w:r>
      <w:r>
        <w:tab/>
        <w:t>8</w:t>
      </w:r>
    </w:p>
    <w:p w14:paraId="1264A826" w14:textId="1E24B29A" w:rsidR="00225E9C"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r>
      <w:r>
        <w:t>B</w:t>
      </w:r>
      <w:r w:rsidRPr="00D779B7">
        <w:t>.</w:t>
      </w:r>
      <w:r w:rsidRPr="00D779B7">
        <w:tab/>
      </w:r>
      <w:r>
        <w:t>Nouvelles propositions</w:t>
      </w:r>
      <w:r w:rsidRPr="00D779B7">
        <w:tab/>
      </w:r>
      <w:r w:rsidRPr="00D779B7">
        <w:tab/>
      </w:r>
      <w:r>
        <w:t>29-41</w:t>
      </w:r>
      <w:r w:rsidRPr="00D779B7">
        <w:tab/>
      </w:r>
      <w:r w:rsidR="00EF75FC">
        <w:t>9</w:t>
      </w:r>
    </w:p>
    <w:p w14:paraId="3A9375E6" w14:textId="362C9111"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r>
      <w:r w:rsidRPr="007650F3">
        <w:t>1.</w:t>
      </w:r>
      <w:r w:rsidRPr="007650F3">
        <w:tab/>
      </w:r>
      <w:r w:rsidRPr="000355FF">
        <w:t>Disposition spéciale 386</w:t>
      </w:r>
      <w:r>
        <w:tab/>
      </w:r>
      <w:r>
        <w:tab/>
        <w:t>29</w:t>
      </w:r>
      <w:r>
        <w:tab/>
      </w:r>
      <w:r w:rsidR="003B3317">
        <w:t>9</w:t>
      </w:r>
    </w:p>
    <w:p w14:paraId="461EC5F5" w14:textId="2098B277" w:rsidR="00225E9C" w:rsidRDefault="00225E9C" w:rsidP="00225E9C">
      <w:pPr>
        <w:tabs>
          <w:tab w:val="left" w:pos="1134"/>
          <w:tab w:val="left" w:pos="1570"/>
          <w:tab w:val="left" w:pos="1984"/>
          <w:tab w:val="left" w:leader="dot" w:pos="7654"/>
          <w:tab w:val="right" w:pos="8929"/>
          <w:tab w:val="right" w:pos="9638"/>
        </w:tabs>
        <w:spacing w:after="120"/>
        <w:ind w:left="1980" w:hanging="1380"/>
      </w:pPr>
      <w:r>
        <w:tab/>
      </w:r>
      <w:r>
        <w:tab/>
      </w:r>
      <w:r w:rsidRPr="00E218D7">
        <w:t>2.</w:t>
      </w:r>
      <w:r w:rsidRPr="00E218D7">
        <w:tab/>
      </w:r>
      <w:r w:rsidR="00EF75FC">
        <w:t>Section 3.2.1</w:t>
      </w:r>
      <w:r w:rsidRPr="000355FF">
        <w:t xml:space="preserve">: Modification de la note explicative </w:t>
      </w:r>
      <w:r>
        <w:br/>
      </w:r>
      <w:r w:rsidRPr="000355FF">
        <w:t>pour la colonne (9a)</w:t>
      </w:r>
      <w:r>
        <w:tab/>
      </w:r>
      <w:r>
        <w:tab/>
        <w:t>30</w:t>
      </w:r>
      <w:r>
        <w:tab/>
        <w:t>9</w:t>
      </w:r>
    </w:p>
    <w:p w14:paraId="259D13D5" w14:textId="110C5181"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r>
      <w:r w:rsidRPr="00E218D7">
        <w:t>3.</w:t>
      </w:r>
      <w:r w:rsidRPr="00E218D7">
        <w:tab/>
      </w:r>
      <w:r w:rsidRPr="000355FF">
        <w:t>Amendement au 6.6.3.1 c)</w:t>
      </w:r>
      <w:r>
        <w:tab/>
      </w:r>
      <w:r>
        <w:tab/>
        <w:t>31</w:t>
      </w:r>
      <w:r>
        <w:tab/>
        <w:t>9</w:t>
      </w:r>
    </w:p>
    <w:p w14:paraId="160EA554" w14:textId="58273B09"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r>
      <w:r w:rsidRPr="00AC0DFA">
        <w:t>4.</w:t>
      </w:r>
      <w:r w:rsidRPr="00AC0DFA">
        <w:tab/>
      </w:r>
      <w:r w:rsidRPr="0019298E">
        <w:rPr>
          <w:lang w:val="fr-FR"/>
        </w:rPr>
        <w:t>Affecta</w:t>
      </w:r>
      <w:r>
        <w:rPr>
          <w:lang w:val="fr-FR"/>
        </w:rPr>
        <w:t>t</w:t>
      </w:r>
      <w:r w:rsidRPr="0019298E">
        <w:rPr>
          <w:lang w:val="fr-FR"/>
        </w:rPr>
        <w:t>ion de la disposition spéciale MP24 au numéro ONU 0509</w:t>
      </w:r>
      <w:r>
        <w:tab/>
      </w:r>
      <w:r>
        <w:tab/>
        <w:t>32</w:t>
      </w:r>
      <w:r>
        <w:tab/>
        <w:t>9</w:t>
      </w:r>
    </w:p>
    <w:p w14:paraId="4AE93DEA" w14:textId="5FC8D809" w:rsidR="00225E9C" w:rsidRDefault="00225E9C" w:rsidP="00225E9C">
      <w:pPr>
        <w:tabs>
          <w:tab w:val="left" w:pos="1134"/>
          <w:tab w:val="left" w:pos="1570"/>
          <w:tab w:val="left" w:pos="1984"/>
          <w:tab w:val="left" w:leader="dot" w:pos="7654"/>
          <w:tab w:val="right" w:pos="8929"/>
          <w:tab w:val="right" w:pos="9638"/>
        </w:tabs>
        <w:spacing w:after="120"/>
        <w:ind w:left="1980" w:hanging="1380"/>
      </w:pPr>
      <w:r>
        <w:tab/>
      </w:r>
      <w:r>
        <w:tab/>
      </w:r>
      <w:r w:rsidRPr="00AC0DFA">
        <w:t>5.</w:t>
      </w:r>
      <w:r w:rsidRPr="00AC0DFA">
        <w:tab/>
      </w:r>
      <w:r>
        <w:rPr>
          <w:lang w:val="fr-FR"/>
        </w:rPr>
        <w:t xml:space="preserve">Concept de «danger» et de «risque» </w:t>
      </w:r>
      <w:r>
        <w:rPr>
          <w:lang w:val="fr-FR"/>
        </w:rPr>
        <w:br/>
        <w:t>(en anglais «danger», «</w:t>
      </w:r>
      <w:proofErr w:type="spellStart"/>
      <w:r>
        <w:rPr>
          <w:lang w:val="fr-FR"/>
        </w:rPr>
        <w:t>hazard</w:t>
      </w:r>
      <w:proofErr w:type="spellEnd"/>
      <w:r>
        <w:rPr>
          <w:lang w:val="fr-FR"/>
        </w:rPr>
        <w:t>» et «</w:t>
      </w:r>
      <w:proofErr w:type="spellStart"/>
      <w:r>
        <w:rPr>
          <w:lang w:val="fr-FR"/>
        </w:rPr>
        <w:t>risk</w:t>
      </w:r>
      <w:proofErr w:type="spellEnd"/>
      <w:r>
        <w:rPr>
          <w:lang w:val="fr-FR"/>
        </w:rPr>
        <w:t>»</w:t>
      </w:r>
      <w:r w:rsidRPr="00811159">
        <w:rPr>
          <w:lang w:val="fr-FR"/>
        </w:rPr>
        <w:t>)</w:t>
      </w:r>
      <w:r>
        <w:rPr>
          <w:lang w:val="fr-FR"/>
        </w:rPr>
        <w:t xml:space="preserve"> dans le RID/ADR/ADN</w:t>
      </w:r>
      <w:r>
        <w:tab/>
      </w:r>
      <w:r>
        <w:tab/>
        <w:t>33-34</w:t>
      </w:r>
      <w:r>
        <w:tab/>
        <w:t>9</w:t>
      </w:r>
    </w:p>
    <w:p w14:paraId="70F90EE6" w14:textId="5D447EB8"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r>
      <w:r w:rsidRPr="00AC0DFA">
        <w:t>6.</w:t>
      </w:r>
      <w:r w:rsidRPr="00AC0DFA">
        <w:tab/>
      </w:r>
      <w:r>
        <w:rPr>
          <w:lang w:val="fr-FR"/>
        </w:rPr>
        <w:t>Disposition spéciale 250 du chapitre 3.3</w:t>
      </w:r>
      <w:r>
        <w:tab/>
      </w:r>
      <w:r>
        <w:tab/>
        <w:t>35-36</w:t>
      </w:r>
      <w:r>
        <w:tab/>
      </w:r>
      <w:r w:rsidR="00EF75FC">
        <w:t>10</w:t>
      </w:r>
    </w:p>
    <w:p w14:paraId="1DBD860B" w14:textId="1AD76937"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r>
      <w:r w:rsidRPr="00AC0DFA">
        <w:t>7.</w:t>
      </w:r>
      <w:r w:rsidRPr="00AC0DFA">
        <w:tab/>
      </w:r>
      <w:r>
        <w:rPr>
          <w:lang w:val="fr-FR"/>
        </w:rPr>
        <w:t>Diverses corrections aux parties 1, 2, 4, 5 et 6</w:t>
      </w:r>
      <w:r>
        <w:tab/>
      </w:r>
      <w:r>
        <w:tab/>
        <w:t>37</w:t>
      </w:r>
      <w:r>
        <w:tab/>
        <w:t>10</w:t>
      </w:r>
    </w:p>
    <w:p w14:paraId="0ACC0A79" w14:textId="1DB4BFD7"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t>8.</w:t>
      </w:r>
      <w:r>
        <w:tab/>
      </w:r>
      <w:r>
        <w:rPr>
          <w:color w:val="000000" w:themeColor="text1"/>
          <w:lang w:val="fr-FR"/>
        </w:rPr>
        <w:t>Paragraphe 1.8.3.16.2</w:t>
      </w:r>
      <w:r>
        <w:tab/>
      </w:r>
      <w:r>
        <w:tab/>
        <w:t>38</w:t>
      </w:r>
      <w:r>
        <w:tab/>
        <w:t>10</w:t>
      </w:r>
    </w:p>
    <w:p w14:paraId="50BA7975" w14:textId="280C0852" w:rsidR="00225E9C" w:rsidRDefault="00225E9C" w:rsidP="00225E9C">
      <w:pPr>
        <w:tabs>
          <w:tab w:val="left" w:pos="1134"/>
          <w:tab w:val="left" w:pos="1570"/>
          <w:tab w:val="left" w:pos="1984"/>
          <w:tab w:val="left" w:leader="dot" w:pos="7654"/>
          <w:tab w:val="right" w:pos="8929"/>
          <w:tab w:val="right" w:pos="9638"/>
        </w:tabs>
        <w:spacing w:after="120"/>
        <w:ind w:left="1570" w:hanging="970"/>
      </w:pPr>
      <w:r>
        <w:tab/>
      </w:r>
      <w:r>
        <w:tab/>
        <w:t>9.</w:t>
      </w:r>
      <w:r>
        <w:tab/>
      </w:r>
      <w:r w:rsidRPr="00EF75FC">
        <w:rPr>
          <w:color w:val="000000" w:themeColor="text1"/>
          <w:lang w:val="fr-FR"/>
        </w:rPr>
        <w:t>Modifications de la section 1.8.3</w:t>
      </w:r>
      <w:r>
        <w:tab/>
      </w:r>
      <w:r>
        <w:tab/>
        <w:t>39-40</w:t>
      </w:r>
      <w:r>
        <w:tab/>
        <w:t>10</w:t>
      </w:r>
    </w:p>
    <w:p w14:paraId="1CD24B82" w14:textId="7EE66218" w:rsidR="00225E9C" w:rsidRPr="00E218D7" w:rsidRDefault="00225E9C" w:rsidP="00EF75FC">
      <w:pPr>
        <w:tabs>
          <w:tab w:val="left" w:pos="1134"/>
          <w:tab w:val="left" w:pos="1570"/>
          <w:tab w:val="left" w:pos="1984"/>
          <w:tab w:val="left" w:leader="dot" w:pos="7654"/>
          <w:tab w:val="right" w:pos="8929"/>
          <w:tab w:val="right" w:pos="9638"/>
        </w:tabs>
        <w:spacing w:after="120"/>
        <w:ind w:left="1980" w:hanging="1380"/>
      </w:pPr>
      <w:r>
        <w:tab/>
      </w:r>
      <w:r>
        <w:tab/>
        <w:t>10</w:t>
      </w:r>
      <w:r w:rsidR="00B90DC3">
        <w:t>.</w:t>
      </w:r>
      <w:r>
        <w:tab/>
      </w:r>
      <w:r w:rsidR="00EF75FC">
        <w:rPr>
          <w:color w:val="000000" w:themeColor="text1"/>
          <w:lang w:val="fr-FR"/>
        </w:rPr>
        <w:t xml:space="preserve">Extension des dispositions du chapitre 5.2 sur </w:t>
      </w:r>
      <w:r w:rsidR="00EF75FC">
        <w:rPr>
          <w:color w:val="000000" w:themeColor="text1"/>
          <w:lang w:val="fr-FR"/>
        </w:rPr>
        <w:br/>
        <w:t xml:space="preserve">la résistance aux intempéries aux plaques-étiquettes, </w:t>
      </w:r>
      <w:r w:rsidR="00EF75FC">
        <w:rPr>
          <w:color w:val="000000" w:themeColor="text1"/>
          <w:lang w:val="fr-FR"/>
        </w:rPr>
        <w:br/>
        <w:t>aux panneaux orange et aux marques</w:t>
      </w:r>
      <w:r>
        <w:tab/>
      </w:r>
      <w:r>
        <w:tab/>
        <w:t>41</w:t>
      </w:r>
      <w:r>
        <w:tab/>
        <w:t>1</w:t>
      </w:r>
      <w:r w:rsidR="00EF75FC">
        <w:t>1</w:t>
      </w:r>
    </w:p>
    <w:p w14:paraId="4AA77113" w14:textId="44E8ECD6"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VII.</w:t>
      </w:r>
      <w:r w:rsidRPr="00D3604F">
        <w:tab/>
      </w:r>
      <w:r w:rsidR="00EF75FC">
        <w:rPr>
          <w:color w:val="000000" w:themeColor="text1"/>
        </w:rPr>
        <w:t>Rapports des groupes de travail informels</w:t>
      </w:r>
      <w:r w:rsidR="00EF75FC" w:rsidRPr="00A01122">
        <w:rPr>
          <w:color w:val="000000" w:themeColor="text1"/>
        </w:rPr>
        <w:t xml:space="preserve"> </w:t>
      </w:r>
      <w:r w:rsidR="00EF75FC">
        <w:rPr>
          <w:color w:val="000000" w:themeColor="text1"/>
        </w:rPr>
        <w:t>(point 6 de l’ordre du jour)</w:t>
      </w:r>
      <w:r w:rsidRPr="00D3604F">
        <w:tab/>
      </w:r>
      <w:r w:rsidRPr="00D3604F">
        <w:tab/>
      </w:r>
      <w:r>
        <w:t>42-47</w:t>
      </w:r>
      <w:r w:rsidRPr="00D3604F">
        <w:tab/>
        <w:t>1</w:t>
      </w:r>
      <w:r w:rsidR="00EF75FC">
        <w:t>1</w:t>
      </w:r>
    </w:p>
    <w:p w14:paraId="14A9BE3F" w14:textId="34094CB8"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A.</w:t>
      </w:r>
      <w:r w:rsidRPr="00D3604F">
        <w:tab/>
      </w:r>
      <w:r w:rsidR="00EF75FC">
        <w:rPr>
          <w:color w:val="000000" w:themeColor="text1"/>
        </w:rPr>
        <w:t xml:space="preserve">Groupe de travail informel sur les méthodes alternatives </w:t>
      </w:r>
      <w:r w:rsidR="00EF75FC">
        <w:rPr>
          <w:color w:val="000000" w:themeColor="text1"/>
        </w:rPr>
        <w:br/>
        <w:t>pour les contrôles périodiques</w:t>
      </w:r>
      <w:r w:rsidRPr="00D3604F">
        <w:tab/>
      </w:r>
      <w:r w:rsidRPr="00D3604F">
        <w:tab/>
      </w:r>
      <w:r>
        <w:t>42</w:t>
      </w:r>
      <w:r w:rsidRPr="00D3604F">
        <w:tab/>
        <w:t>1</w:t>
      </w:r>
      <w:r w:rsidR="00EF75FC">
        <w:t>1</w:t>
      </w:r>
    </w:p>
    <w:p w14:paraId="4EF43048" w14:textId="04694A2D"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B.</w:t>
      </w:r>
      <w:r w:rsidRPr="00D3604F">
        <w:tab/>
      </w:r>
      <w:r w:rsidR="00EF75FC">
        <w:rPr>
          <w:color w:val="000000" w:themeColor="text1"/>
        </w:rPr>
        <w:t xml:space="preserve">Groupe de travail informel sur la réduction du risque de BLEVE </w:t>
      </w:r>
      <w:r w:rsidR="00EF75FC">
        <w:rPr>
          <w:color w:val="000000" w:themeColor="text1"/>
        </w:rPr>
        <w:br/>
        <w:t>pendant le transport de marchandises dangereuses</w:t>
      </w:r>
      <w:r w:rsidRPr="00D3604F">
        <w:tab/>
      </w:r>
      <w:r w:rsidRPr="00D3604F">
        <w:tab/>
      </w:r>
      <w:r>
        <w:t>43-47</w:t>
      </w:r>
      <w:r w:rsidRPr="00D3604F">
        <w:tab/>
        <w:t>1</w:t>
      </w:r>
      <w:r w:rsidR="00597084">
        <w:t>2</w:t>
      </w:r>
    </w:p>
    <w:p w14:paraId="08ED193E" w14:textId="5AFFE307"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VIII.</w:t>
      </w:r>
      <w:r w:rsidRPr="00D3604F">
        <w:tab/>
      </w:r>
      <w:r w:rsidR="00EF75FC">
        <w:rPr>
          <w:color w:val="000000" w:themeColor="text1"/>
        </w:rPr>
        <w:t>Accidents et management de risque</w:t>
      </w:r>
      <w:r w:rsidR="00EF75FC" w:rsidRPr="00A01122">
        <w:rPr>
          <w:color w:val="000000" w:themeColor="text1"/>
        </w:rPr>
        <w:t xml:space="preserve"> </w:t>
      </w:r>
      <w:r w:rsidR="00EF75FC">
        <w:rPr>
          <w:color w:val="000000" w:themeColor="text1"/>
        </w:rPr>
        <w:t>(point 7 de l’ordre du jour)</w:t>
      </w:r>
      <w:r w:rsidRPr="00D3604F">
        <w:tab/>
      </w:r>
      <w:r w:rsidRPr="00D3604F">
        <w:tab/>
      </w:r>
      <w:r>
        <w:t>48-51</w:t>
      </w:r>
      <w:r w:rsidRPr="00D3604F">
        <w:tab/>
        <w:t>1</w:t>
      </w:r>
      <w:r>
        <w:t>2</w:t>
      </w:r>
    </w:p>
    <w:p w14:paraId="0AEE2642" w14:textId="0192230A"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ab/>
        <w:t>IX.</w:t>
      </w:r>
      <w:r w:rsidRPr="00D3604F">
        <w:tab/>
      </w:r>
      <w:r w:rsidR="00EF75FC">
        <w:t>Travaux futurs (point 8 de l’ordre du jour)</w:t>
      </w:r>
      <w:r w:rsidRPr="00D3604F">
        <w:tab/>
      </w:r>
      <w:r w:rsidRPr="00D3604F">
        <w:tab/>
        <w:t>5</w:t>
      </w:r>
      <w:r>
        <w:t>2</w:t>
      </w:r>
      <w:r w:rsidRPr="00D3604F">
        <w:tab/>
        <w:t>1</w:t>
      </w:r>
      <w:r w:rsidR="00597084">
        <w:t>3</w:t>
      </w:r>
    </w:p>
    <w:p w14:paraId="6D3E776F" w14:textId="4ADA00B8"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X.</w:t>
      </w:r>
      <w:r w:rsidRPr="00D3604F">
        <w:tab/>
      </w:r>
      <w:r w:rsidRPr="00D3604F">
        <w:tab/>
      </w:r>
      <w:r w:rsidR="00EF75FC">
        <w:t>Questions diverses (point 9 de l’ordre du jour)</w:t>
      </w:r>
      <w:r w:rsidRPr="00D3604F">
        <w:tab/>
      </w:r>
      <w:r w:rsidRPr="00D3604F">
        <w:tab/>
      </w:r>
      <w:r>
        <w:t>53-60</w:t>
      </w:r>
      <w:r w:rsidRPr="00D3604F">
        <w:tab/>
        <w:t>1</w:t>
      </w:r>
      <w:r w:rsidR="00597084">
        <w:t>3</w:t>
      </w:r>
    </w:p>
    <w:p w14:paraId="1078C5C7" w14:textId="6BD8F7FA"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A.</w:t>
      </w:r>
      <w:r w:rsidRPr="00D3604F">
        <w:tab/>
      </w:r>
      <w:r w:rsidR="00EF75FC">
        <w:t xml:space="preserve">Transport de récipients à pression agréés par le Département </w:t>
      </w:r>
      <w:r w:rsidR="00EF75FC">
        <w:br/>
        <w:t>des transports des Etats-Unis d’Amérique (DOT)</w:t>
      </w:r>
      <w:r w:rsidRPr="00D3604F">
        <w:tab/>
      </w:r>
      <w:r w:rsidRPr="00D3604F">
        <w:tab/>
      </w:r>
      <w:r>
        <w:t>53</w:t>
      </w:r>
      <w:r w:rsidRPr="00D3604F">
        <w:tab/>
        <w:t>1</w:t>
      </w:r>
      <w:r w:rsidR="00597084">
        <w:t>3</w:t>
      </w:r>
    </w:p>
    <w:p w14:paraId="04481EDD" w14:textId="7B0D2B32" w:rsidR="00225E9C"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B.</w:t>
      </w:r>
      <w:r w:rsidRPr="00D3604F">
        <w:tab/>
      </w:r>
      <w:r w:rsidR="00EF75FC" w:rsidRPr="006D446C">
        <w:rPr>
          <w:szCs w:val="24"/>
          <w:lang w:val="fr-FR"/>
        </w:rPr>
        <w:t xml:space="preserve">Demande de statut consultatif du Council on </w:t>
      </w:r>
      <w:r w:rsidR="00EF75FC">
        <w:rPr>
          <w:szCs w:val="24"/>
          <w:lang w:val="fr-FR"/>
        </w:rPr>
        <w:br/>
      </w:r>
      <w:proofErr w:type="spellStart"/>
      <w:r w:rsidR="00EF75FC" w:rsidRPr="006D446C">
        <w:rPr>
          <w:szCs w:val="24"/>
          <w:lang w:val="fr-FR"/>
        </w:rPr>
        <w:t>Safe</w:t>
      </w:r>
      <w:proofErr w:type="spellEnd"/>
      <w:r w:rsidR="00EF75FC" w:rsidRPr="006D446C">
        <w:rPr>
          <w:szCs w:val="24"/>
          <w:lang w:val="fr-FR"/>
        </w:rPr>
        <w:t xml:space="preserve"> Transportation of </w:t>
      </w:r>
      <w:proofErr w:type="spellStart"/>
      <w:r w:rsidR="00EF75FC" w:rsidRPr="006D446C">
        <w:rPr>
          <w:szCs w:val="24"/>
          <w:lang w:val="fr-FR"/>
        </w:rPr>
        <w:t>Hazardous</w:t>
      </w:r>
      <w:proofErr w:type="spellEnd"/>
      <w:r w:rsidR="00EF75FC" w:rsidRPr="006D446C">
        <w:rPr>
          <w:szCs w:val="24"/>
          <w:lang w:val="fr-FR"/>
        </w:rPr>
        <w:t xml:space="preserve"> Articles (COSTHA)</w:t>
      </w:r>
      <w:r w:rsidRPr="00D3604F">
        <w:tab/>
      </w:r>
      <w:r w:rsidRPr="00D3604F">
        <w:tab/>
      </w:r>
      <w:r>
        <w:t>54</w:t>
      </w:r>
      <w:r w:rsidRPr="00D3604F">
        <w:tab/>
        <w:t>1</w:t>
      </w:r>
      <w:r>
        <w:t>3</w:t>
      </w:r>
    </w:p>
    <w:p w14:paraId="5DD4C745" w14:textId="0C68784C" w:rsidR="00225E9C"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tab/>
      </w:r>
      <w:r>
        <w:tab/>
      </w:r>
      <w:r w:rsidRPr="005C638A">
        <w:t>C.</w:t>
      </w:r>
      <w:r w:rsidRPr="005C638A">
        <w:tab/>
      </w:r>
      <w:r w:rsidR="00EF75FC">
        <w:rPr>
          <w:color w:val="000000" w:themeColor="text1"/>
        </w:rPr>
        <w:t xml:space="preserve">Entrée en vigueur d’une loi polonaise exigeant la mention </w:t>
      </w:r>
      <w:r w:rsidR="00EF75FC">
        <w:rPr>
          <w:color w:val="000000" w:themeColor="text1"/>
        </w:rPr>
        <w:br/>
        <w:t xml:space="preserve">du propriétaire de la marchandise dangereuse dans le document </w:t>
      </w:r>
      <w:r w:rsidR="00EF75FC">
        <w:rPr>
          <w:color w:val="000000" w:themeColor="text1"/>
        </w:rPr>
        <w:br/>
        <w:t>de transport conformément au chapitre 5.4</w:t>
      </w:r>
      <w:r>
        <w:tab/>
      </w:r>
      <w:r>
        <w:tab/>
        <w:t>55</w:t>
      </w:r>
      <w:r>
        <w:tab/>
        <w:t>1</w:t>
      </w:r>
      <w:r w:rsidR="0077384E">
        <w:t>4</w:t>
      </w:r>
    </w:p>
    <w:p w14:paraId="46ED8ABE" w14:textId="7544C7C7" w:rsidR="00225E9C"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tab/>
      </w:r>
      <w:r>
        <w:tab/>
      </w:r>
      <w:r w:rsidRPr="005C638A">
        <w:t>D.</w:t>
      </w:r>
      <w:r w:rsidRPr="005C638A">
        <w:tab/>
      </w:r>
      <w:r w:rsidR="00EF75FC">
        <w:rPr>
          <w:color w:val="000000" w:themeColor="text1"/>
          <w:szCs w:val="24"/>
          <w:lang w:val="fr-FR"/>
        </w:rPr>
        <w:t>Non-adoption des amendements 2017 à l’annexe 2 du SMGS</w:t>
      </w:r>
      <w:r>
        <w:tab/>
      </w:r>
      <w:r>
        <w:tab/>
        <w:t>56-59</w:t>
      </w:r>
      <w:r>
        <w:tab/>
      </w:r>
      <w:r w:rsidR="00597084">
        <w:t>14</w:t>
      </w:r>
    </w:p>
    <w:p w14:paraId="21F06B59" w14:textId="24A23F26" w:rsidR="00225E9C" w:rsidRPr="00D3604F" w:rsidRDefault="00225E9C" w:rsidP="00225E9C">
      <w:pPr>
        <w:tabs>
          <w:tab w:val="right" w:pos="850"/>
          <w:tab w:val="left" w:pos="1134"/>
          <w:tab w:val="left" w:pos="1570"/>
          <w:tab w:val="left" w:pos="1984"/>
          <w:tab w:val="left" w:leader="dot" w:pos="7654"/>
          <w:tab w:val="right" w:pos="8929"/>
          <w:tab w:val="right" w:pos="9638"/>
        </w:tabs>
        <w:spacing w:after="120"/>
        <w:ind w:left="1570" w:hanging="970"/>
      </w:pPr>
      <w:r>
        <w:tab/>
      </w:r>
      <w:r>
        <w:tab/>
      </w:r>
      <w:r w:rsidRPr="001674D6">
        <w:t>E.</w:t>
      </w:r>
      <w:r w:rsidRPr="001674D6">
        <w:tab/>
      </w:r>
      <w:r w:rsidR="00EF75FC">
        <w:rPr>
          <w:color w:val="000000" w:themeColor="text1"/>
        </w:rPr>
        <w:t>Propositions de corrections au RID/ADR/ADN</w:t>
      </w:r>
      <w:r>
        <w:tab/>
      </w:r>
      <w:r>
        <w:tab/>
        <w:t>60</w:t>
      </w:r>
      <w:r>
        <w:tab/>
        <w:t>14</w:t>
      </w:r>
    </w:p>
    <w:p w14:paraId="1F530462" w14:textId="0B834792" w:rsidR="00225E9C" w:rsidRPr="00D3604F" w:rsidRDefault="00225E9C" w:rsidP="00225E9C">
      <w:pPr>
        <w:tabs>
          <w:tab w:val="left" w:pos="1134"/>
          <w:tab w:val="left" w:pos="1570"/>
          <w:tab w:val="left" w:pos="1984"/>
          <w:tab w:val="left" w:leader="dot" w:pos="7654"/>
          <w:tab w:val="right" w:pos="8929"/>
          <w:tab w:val="right" w:pos="9638"/>
        </w:tabs>
        <w:spacing w:after="120"/>
        <w:ind w:left="1571" w:hanging="970"/>
      </w:pPr>
      <w:r w:rsidRPr="00D3604F">
        <w:t>XI.</w:t>
      </w:r>
      <w:r w:rsidRPr="00D3604F">
        <w:tab/>
      </w:r>
      <w:r w:rsidR="00EF75FC">
        <w:rPr>
          <w:color w:val="000000" w:themeColor="text1"/>
        </w:rPr>
        <w:t>Adoption du rapport</w:t>
      </w:r>
      <w:r w:rsidR="00EF75FC" w:rsidRPr="00A01122">
        <w:rPr>
          <w:color w:val="000000" w:themeColor="text1"/>
        </w:rPr>
        <w:t xml:space="preserve"> </w:t>
      </w:r>
      <w:r w:rsidR="00EF75FC">
        <w:rPr>
          <w:color w:val="000000" w:themeColor="text1"/>
        </w:rPr>
        <w:t>(point 10 de l’ordre du jour)</w:t>
      </w:r>
      <w:r w:rsidRPr="00D3604F">
        <w:tab/>
      </w:r>
      <w:r w:rsidRPr="00D3604F">
        <w:tab/>
        <w:t>6</w:t>
      </w:r>
      <w:r>
        <w:t>1</w:t>
      </w:r>
      <w:r w:rsidRPr="00D3604F">
        <w:tab/>
        <w:t>1</w:t>
      </w:r>
      <w:r w:rsidR="00597084">
        <w:t>5</w:t>
      </w:r>
    </w:p>
    <w:p w14:paraId="66E64F5C" w14:textId="77777777" w:rsidR="00C65322" w:rsidRDefault="00C65322">
      <w:pPr>
        <w:suppressAutoHyphens w:val="0"/>
        <w:spacing w:line="240" w:lineRule="auto"/>
      </w:pPr>
      <w:r>
        <w:br w:type="page"/>
      </w:r>
    </w:p>
    <w:p w14:paraId="15678AF2" w14:textId="561E63C5" w:rsidR="00C65322" w:rsidRPr="005B3097" w:rsidRDefault="00C65322" w:rsidP="00C65322">
      <w:pPr>
        <w:spacing w:after="120"/>
        <w:ind w:left="567" w:hanging="567"/>
      </w:pPr>
      <w:r w:rsidRPr="005B3097">
        <w:lastRenderedPageBreak/>
        <w:t xml:space="preserve">Annexes </w:t>
      </w:r>
    </w:p>
    <w:p w14:paraId="404A26F4" w14:textId="69A8BF8D" w:rsidR="00C65322" w:rsidRDefault="00C65322" w:rsidP="00C65322">
      <w:pPr>
        <w:pStyle w:val="SingleTxtG"/>
        <w:tabs>
          <w:tab w:val="right" w:pos="851"/>
          <w:tab w:val="left" w:pos="1134"/>
          <w:tab w:val="left" w:pos="1559"/>
          <w:tab w:val="left" w:pos="1600"/>
          <w:tab w:val="left" w:pos="1985"/>
          <w:tab w:val="left" w:pos="2500"/>
          <w:tab w:val="left" w:leader="dot" w:pos="7655"/>
          <w:tab w:val="right" w:pos="8749"/>
          <w:tab w:val="right" w:pos="9673"/>
        </w:tabs>
        <w:ind w:left="1554" w:hanging="392"/>
        <w:jc w:val="left"/>
      </w:pPr>
      <w:r w:rsidRPr="005B3097">
        <w:rPr>
          <w:lang w:val="fr-FR"/>
        </w:rPr>
        <w:t>I.</w:t>
      </w:r>
      <w:r w:rsidRPr="005B3097">
        <w:rPr>
          <w:lang w:val="fr-FR"/>
        </w:rPr>
        <w:tab/>
        <w:t>Rapport du Groupe de travail sur les citernes</w:t>
      </w:r>
      <w:r w:rsidR="009916F1" w:rsidRPr="009916F1">
        <w:rPr>
          <w:rStyle w:val="FootnoteReference"/>
          <w:sz w:val="20"/>
          <w:lang w:val="fr-FR"/>
        </w:rPr>
        <w:footnoteReference w:customMarkFollows="1" w:id="3"/>
        <w:t>**</w:t>
      </w:r>
      <w:r w:rsidRPr="005B3097">
        <w:rPr>
          <w:lang w:val="fr-FR"/>
        </w:rPr>
        <w:tab/>
      </w:r>
      <w:r w:rsidRPr="005B3097">
        <w:rPr>
          <w:lang w:val="fr-FR"/>
        </w:rPr>
        <w:tab/>
      </w:r>
      <w:r w:rsidRPr="005B3097">
        <w:tab/>
      </w:r>
      <w:r>
        <w:t>16</w:t>
      </w:r>
    </w:p>
    <w:p w14:paraId="6D45CB15" w14:textId="0BEAB441" w:rsidR="00D369DB" w:rsidRDefault="00690117" w:rsidP="00D369DB">
      <w:pPr>
        <w:pStyle w:val="SingleTxtG"/>
        <w:tabs>
          <w:tab w:val="right" w:pos="851"/>
          <w:tab w:val="left" w:pos="1134"/>
          <w:tab w:val="left" w:pos="1559"/>
          <w:tab w:val="left" w:pos="1600"/>
          <w:tab w:val="left" w:pos="1985"/>
          <w:tab w:val="left" w:pos="2500"/>
          <w:tab w:val="left" w:leader="dot" w:pos="7655"/>
          <w:tab w:val="right" w:pos="8749"/>
          <w:tab w:val="right" w:pos="9673"/>
        </w:tabs>
        <w:ind w:left="1554" w:hanging="392"/>
        <w:jc w:val="left"/>
        <w:rPr>
          <w:lang w:val="fr-FR"/>
        </w:rPr>
      </w:pPr>
      <w:r w:rsidRPr="00690117">
        <w:rPr>
          <w:lang w:val="fr-FR"/>
        </w:rPr>
        <w:t>II.</w:t>
      </w:r>
      <w:r w:rsidRPr="00690117">
        <w:rPr>
          <w:lang w:val="fr-FR"/>
        </w:rPr>
        <w:tab/>
      </w:r>
      <w:r w:rsidRPr="00750773">
        <w:rPr>
          <w:lang w:val="fr-FR"/>
        </w:rPr>
        <w:t xml:space="preserve">Projet d’amendements au RID, à l’ADR et à l’ADN pour </w:t>
      </w:r>
      <w:proofErr w:type="spellStart"/>
      <w:r w:rsidRPr="00750773">
        <w:rPr>
          <w:lang w:val="fr-FR"/>
        </w:rPr>
        <w:t>entrée</w:t>
      </w:r>
      <w:proofErr w:type="spellEnd"/>
      <w:r w:rsidRPr="00750773">
        <w:rPr>
          <w:lang w:val="fr-FR"/>
        </w:rPr>
        <w:t xml:space="preserve"> en vigueur le 1</w:t>
      </w:r>
      <w:r w:rsidRPr="00690117">
        <w:rPr>
          <w:lang w:val="fr-FR"/>
        </w:rPr>
        <w:t>er</w:t>
      </w:r>
      <w:r w:rsidRPr="00750773">
        <w:rPr>
          <w:lang w:val="fr-FR"/>
        </w:rPr>
        <w:t xml:space="preserve"> janvier 2019</w:t>
      </w:r>
      <w:r>
        <w:rPr>
          <w:lang w:val="fr-FR"/>
        </w:rPr>
        <w:tab/>
      </w:r>
      <w:r>
        <w:rPr>
          <w:lang w:val="fr-FR"/>
        </w:rPr>
        <w:tab/>
      </w:r>
      <w:r>
        <w:rPr>
          <w:lang w:val="fr-FR"/>
        </w:rPr>
        <w:tab/>
        <w:t>17</w:t>
      </w:r>
    </w:p>
    <w:p w14:paraId="4611E87F" w14:textId="3EE44335" w:rsidR="00690117" w:rsidRPr="00690117" w:rsidRDefault="00690117" w:rsidP="00D369DB">
      <w:pPr>
        <w:pStyle w:val="SingleTxtG"/>
        <w:tabs>
          <w:tab w:val="right" w:pos="851"/>
          <w:tab w:val="left" w:pos="1134"/>
          <w:tab w:val="left" w:pos="1559"/>
          <w:tab w:val="left" w:pos="1600"/>
          <w:tab w:val="left" w:pos="1985"/>
          <w:tab w:val="left" w:pos="2500"/>
          <w:tab w:val="left" w:leader="dot" w:pos="7655"/>
          <w:tab w:val="right" w:pos="8749"/>
          <w:tab w:val="right" w:pos="9673"/>
        </w:tabs>
        <w:ind w:left="1554" w:hanging="392"/>
        <w:jc w:val="left"/>
        <w:rPr>
          <w:lang w:val="fr-FR"/>
        </w:rPr>
      </w:pPr>
      <w:r w:rsidRPr="00690117">
        <w:rPr>
          <w:lang w:val="fr-FR"/>
        </w:rPr>
        <w:t>III.</w:t>
      </w:r>
      <w:r w:rsidRPr="00690117">
        <w:rPr>
          <w:lang w:val="fr-FR"/>
        </w:rPr>
        <w:tab/>
        <w:t>Corrections aux versions 2017 du RID, de l’ADR et de l’</w:t>
      </w:r>
      <w:r>
        <w:rPr>
          <w:lang w:val="fr-FR"/>
        </w:rPr>
        <w:t>ADN</w:t>
      </w:r>
      <w:r w:rsidRPr="00690117">
        <w:rPr>
          <w:lang w:val="fr-FR"/>
        </w:rPr>
        <w:tab/>
      </w:r>
      <w:r w:rsidRPr="00690117">
        <w:rPr>
          <w:lang w:val="fr-FR"/>
        </w:rPr>
        <w:tab/>
      </w:r>
      <w:r w:rsidRPr="00690117">
        <w:rPr>
          <w:lang w:val="fr-FR"/>
        </w:rPr>
        <w:tab/>
      </w:r>
      <w:r w:rsidRPr="00690117">
        <w:rPr>
          <w:lang w:val="fr-FR"/>
        </w:rPr>
        <w:tab/>
        <w:t>24</w:t>
      </w:r>
    </w:p>
    <w:p w14:paraId="298CCE81" w14:textId="77777777" w:rsidR="004963DE" w:rsidRPr="00072032" w:rsidRDefault="004963DE" w:rsidP="008B44C4">
      <w:pPr>
        <w:rPr>
          <w:lang w:val="fr-FR"/>
        </w:rPr>
      </w:pPr>
    </w:p>
    <w:p w14:paraId="19DAF7AB" w14:textId="77777777" w:rsidR="00D369DB" w:rsidRDefault="00D369DB">
      <w:pPr>
        <w:suppressAutoHyphens w:val="0"/>
        <w:spacing w:line="240" w:lineRule="auto"/>
        <w:rPr>
          <w:lang w:val="fr-FR"/>
        </w:rPr>
      </w:pPr>
      <w:r>
        <w:rPr>
          <w:lang w:val="fr-FR"/>
        </w:rPr>
        <w:br w:type="page"/>
      </w:r>
    </w:p>
    <w:p w14:paraId="005C1592" w14:textId="77777777" w:rsidR="00CA1042" w:rsidRDefault="00182157" w:rsidP="00CA1042">
      <w:pPr>
        <w:pStyle w:val="HChG"/>
      </w:pPr>
      <w:r>
        <w:lastRenderedPageBreak/>
        <w:tab/>
      </w:r>
      <w:r>
        <w:tab/>
      </w:r>
      <w:r w:rsidR="00CA1042">
        <w:t xml:space="preserve">Rapport </w:t>
      </w:r>
    </w:p>
    <w:p w14:paraId="67B42939" w14:textId="77777777" w:rsidR="00CA1042" w:rsidRPr="007729C1" w:rsidRDefault="00CA1042" w:rsidP="00CA1042">
      <w:pPr>
        <w:pStyle w:val="HChG"/>
      </w:pPr>
      <w:r>
        <w:tab/>
      </w:r>
      <w:r w:rsidRPr="007729C1">
        <w:t>I.</w:t>
      </w:r>
      <w:r>
        <w:tab/>
      </w:r>
      <w:r w:rsidRPr="007729C1">
        <w:t>P</w:t>
      </w:r>
      <w:r>
        <w:t>articipation</w:t>
      </w:r>
    </w:p>
    <w:p w14:paraId="059E6FD7" w14:textId="77777777" w:rsidR="00CA1042" w:rsidRDefault="00CA1042" w:rsidP="00CA1042">
      <w:pPr>
        <w:pStyle w:val="SingleTxtG"/>
        <w:rPr>
          <w:lang w:val="fr-FR"/>
        </w:rPr>
      </w:pPr>
      <w:r>
        <w:rPr>
          <w:lang w:val="fr-FR"/>
        </w:rPr>
        <w:t>1.</w:t>
      </w:r>
      <w:r>
        <w:rPr>
          <w:lang w:val="fr-FR"/>
        </w:rPr>
        <w:tab/>
      </w:r>
      <w:r w:rsidRPr="007C1E4B">
        <w:rPr>
          <w:lang w:val="fr-FR"/>
        </w:rPr>
        <w:t>La Réunion commune de la Commission d’experts du RID et du Groupe de travail des transports de march</w:t>
      </w:r>
      <w:r>
        <w:rPr>
          <w:lang w:val="fr-FR"/>
        </w:rPr>
        <w:t>andises dangereuses de la CEE-</w:t>
      </w:r>
      <w:r w:rsidRPr="007C1E4B">
        <w:rPr>
          <w:lang w:val="fr-FR"/>
        </w:rPr>
        <w:t xml:space="preserve">ONU s’est tenue </w:t>
      </w:r>
      <w:r>
        <w:rPr>
          <w:lang w:val="fr-FR"/>
        </w:rPr>
        <w:t xml:space="preserve">à Berne </w:t>
      </w:r>
      <w:r w:rsidRPr="007C1E4B">
        <w:rPr>
          <w:lang w:val="fr-FR"/>
        </w:rPr>
        <w:t xml:space="preserve">du </w:t>
      </w:r>
      <w:r>
        <w:rPr>
          <w:lang w:val="fr-FR"/>
        </w:rPr>
        <w:t>13 au 17 mars 2017</w:t>
      </w:r>
      <w:r w:rsidRPr="007C1E4B">
        <w:rPr>
          <w:lang w:val="fr-FR"/>
        </w:rPr>
        <w:t xml:space="preserve"> sous la </w:t>
      </w:r>
      <w:r>
        <w:rPr>
          <w:lang w:val="fr-FR"/>
        </w:rPr>
        <w:t>p</w:t>
      </w:r>
      <w:r w:rsidRPr="007C1E4B">
        <w:rPr>
          <w:lang w:val="fr-FR"/>
        </w:rPr>
        <w:t xml:space="preserve">résidence de M. C. </w:t>
      </w:r>
      <w:proofErr w:type="spellStart"/>
      <w:r w:rsidRPr="007C1E4B">
        <w:rPr>
          <w:lang w:val="fr-FR"/>
        </w:rPr>
        <w:t>Pfauvadel</w:t>
      </w:r>
      <w:proofErr w:type="spellEnd"/>
      <w:r w:rsidRPr="007C1E4B">
        <w:rPr>
          <w:lang w:val="fr-FR"/>
        </w:rPr>
        <w:t xml:space="preserve"> (</w:t>
      </w:r>
      <w:r>
        <w:rPr>
          <w:lang w:val="fr-FR"/>
        </w:rPr>
        <w:t>France) et la vice-présidence de M. H. Rein (Allemagne)</w:t>
      </w:r>
      <w:r w:rsidRPr="007C1E4B">
        <w:rPr>
          <w:lang w:val="fr-FR"/>
        </w:rPr>
        <w:t>.</w:t>
      </w:r>
    </w:p>
    <w:p w14:paraId="2A353DD5" w14:textId="66B07B09" w:rsidR="00CA1042" w:rsidRDefault="00CA1042" w:rsidP="00CA1042">
      <w:pPr>
        <w:spacing w:after="120"/>
        <w:ind w:left="1134" w:right="1134"/>
        <w:jc w:val="both"/>
        <w:rPr>
          <w:lang w:val="fr-FR"/>
        </w:rPr>
      </w:pPr>
      <w:r w:rsidRPr="009E2601">
        <w:rPr>
          <w:lang w:val="fr-FR"/>
        </w:rPr>
        <w:t>2.</w:t>
      </w:r>
      <w:r w:rsidRPr="009E2601">
        <w:rPr>
          <w:lang w:val="fr-FR"/>
        </w:rPr>
        <w:tab/>
        <w:t>Conformément à l’article 1 a) du Règlement intérieur de la Réunion commune, (ECE/TRANS/WP.15/AC.1/112/Add.2), les représentants des pays suivants ont partic</w:t>
      </w:r>
      <w:r>
        <w:rPr>
          <w:lang w:val="fr-FR"/>
        </w:rPr>
        <w:t>ipé de plein droit à la session</w:t>
      </w:r>
      <w:r w:rsidRPr="009E2601">
        <w:rPr>
          <w:lang w:val="fr-FR"/>
        </w:rPr>
        <w:t xml:space="preserve">: </w:t>
      </w:r>
      <w:r w:rsidRPr="00AE5300">
        <w:rPr>
          <w:lang w:val="fr-FR"/>
        </w:rPr>
        <w:t>Allemagne, Autriche, Belgique,</w:t>
      </w:r>
      <w:r>
        <w:rPr>
          <w:lang w:val="fr-FR"/>
        </w:rPr>
        <w:t xml:space="preserve"> Danemark, </w:t>
      </w:r>
      <w:r w:rsidRPr="00AE5300">
        <w:rPr>
          <w:lang w:val="fr-FR"/>
        </w:rPr>
        <w:t xml:space="preserve">Espagne, Fédération de Russie, Finlande, France, </w:t>
      </w:r>
      <w:r>
        <w:rPr>
          <w:lang w:val="fr-FR"/>
        </w:rPr>
        <w:t xml:space="preserve">Italie, </w:t>
      </w:r>
      <w:proofErr w:type="gramStart"/>
      <w:r w:rsidRPr="00AE5300">
        <w:rPr>
          <w:lang w:val="fr-FR"/>
        </w:rPr>
        <w:t xml:space="preserve">Lettonie, </w:t>
      </w:r>
      <w:r>
        <w:rPr>
          <w:lang w:val="fr-FR"/>
        </w:rPr>
        <w:t xml:space="preserve"> Luxembourg</w:t>
      </w:r>
      <w:proofErr w:type="gramEnd"/>
      <w:r>
        <w:rPr>
          <w:lang w:val="fr-FR"/>
        </w:rPr>
        <w:t xml:space="preserve">, </w:t>
      </w:r>
      <w:r w:rsidRPr="00AE5300">
        <w:rPr>
          <w:lang w:val="fr-FR"/>
        </w:rPr>
        <w:t xml:space="preserve">Norvège, Pays-Bas, Pologne, </w:t>
      </w:r>
      <w:r w:rsidR="00DF67FC">
        <w:rPr>
          <w:lang w:val="fr-FR"/>
        </w:rPr>
        <w:t xml:space="preserve">Roumanie, Royaume-Uni, </w:t>
      </w:r>
      <w:r>
        <w:rPr>
          <w:lang w:val="fr-FR"/>
        </w:rPr>
        <w:t xml:space="preserve">Serbie, </w:t>
      </w:r>
      <w:r w:rsidR="00820E84">
        <w:rPr>
          <w:lang w:val="fr-FR"/>
        </w:rPr>
        <w:t xml:space="preserve">Slovaquie, </w:t>
      </w:r>
      <w:r w:rsidRPr="00AE5300">
        <w:rPr>
          <w:lang w:val="fr-FR"/>
        </w:rPr>
        <w:t>Suède</w:t>
      </w:r>
      <w:r w:rsidR="005B6127">
        <w:rPr>
          <w:lang w:val="fr-FR"/>
        </w:rPr>
        <w:t xml:space="preserve">, </w:t>
      </w:r>
      <w:r w:rsidR="00DF67FC">
        <w:rPr>
          <w:lang w:val="fr-FR"/>
        </w:rPr>
        <w:t>Suisse</w:t>
      </w:r>
      <w:r w:rsidR="00820E84">
        <w:rPr>
          <w:lang w:val="fr-FR"/>
        </w:rPr>
        <w:t>, Tchéquie et Turquie</w:t>
      </w:r>
      <w:r w:rsidRPr="009E2601">
        <w:rPr>
          <w:lang w:val="fr-FR"/>
        </w:rPr>
        <w:t xml:space="preserve">. </w:t>
      </w:r>
    </w:p>
    <w:p w14:paraId="5791ED18" w14:textId="77777777" w:rsidR="00CA1042" w:rsidRDefault="00CA1042" w:rsidP="00CA1042">
      <w:pPr>
        <w:spacing w:after="120"/>
        <w:ind w:left="1134" w:right="1134"/>
        <w:jc w:val="both"/>
        <w:rPr>
          <w:lang w:val="fr-FR"/>
        </w:rPr>
      </w:pPr>
      <w:r>
        <w:rPr>
          <w:lang w:val="fr-FR"/>
        </w:rPr>
        <w:t>3</w:t>
      </w:r>
      <w:r w:rsidRPr="009E2601">
        <w:rPr>
          <w:lang w:val="fr-FR"/>
        </w:rPr>
        <w:t>.</w:t>
      </w:r>
      <w:r w:rsidRPr="009E2601">
        <w:rPr>
          <w:lang w:val="fr-FR"/>
        </w:rPr>
        <w:tab/>
        <w:t xml:space="preserve">Conformément à l’article 1, paragraphes </w:t>
      </w:r>
      <w:r>
        <w:rPr>
          <w:lang w:val="fr-FR"/>
        </w:rPr>
        <w:t xml:space="preserve">b), </w:t>
      </w:r>
      <w:r w:rsidRPr="009E2601">
        <w:rPr>
          <w:lang w:val="fr-FR"/>
        </w:rPr>
        <w:t>c) et d) du Règlement intérieur, étaient r</w:t>
      </w:r>
      <w:r>
        <w:rPr>
          <w:lang w:val="fr-FR"/>
        </w:rPr>
        <w:t>eprésentées à titre consultatif</w:t>
      </w:r>
      <w:r w:rsidRPr="009E2601">
        <w:rPr>
          <w:lang w:val="fr-FR"/>
        </w:rPr>
        <w:t>:</w:t>
      </w:r>
    </w:p>
    <w:p w14:paraId="14418DF5" w14:textId="77777777" w:rsidR="00CA1042" w:rsidRPr="009E2601" w:rsidRDefault="00CA1042" w:rsidP="00182157">
      <w:pPr>
        <w:pStyle w:val="SingleTxtG"/>
        <w:ind w:firstLine="555"/>
      </w:pPr>
      <w:r>
        <w:t>a)</w:t>
      </w:r>
      <w:r>
        <w:tab/>
        <w:t xml:space="preserve">La </w:t>
      </w:r>
      <w:proofErr w:type="spellStart"/>
      <w:r>
        <w:t>République</w:t>
      </w:r>
      <w:proofErr w:type="spellEnd"/>
      <w:r>
        <w:t xml:space="preserve"> </w:t>
      </w:r>
      <w:proofErr w:type="spellStart"/>
      <w:r>
        <w:t>démocratique</w:t>
      </w:r>
      <w:proofErr w:type="spellEnd"/>
      <w:r>
        <w:t xml:space="preserve"> du Congo;</w:t>
      </w:r>
    </w:p>
    <w:p w14:paraId="31EFBA7C" w14:textId="77777777" w:rsidR="00CA1042" w:rsidRPr="009E2601" w:rsidRDefault="00CA1042" w:rsidP="00182157">
      <w:pPr>
        <w:pStyle w:val="SingleTxtG"/>
        <w:ind w:firstLine="555"/>
      </w:pPr>
      <w:r>
        <w:t>b)</w:t>
      </w:r>
      <w:r>
        <w:tab/>
      </w:r>
      <w:proofErr w:type="spellStart"/>
      <w:r>
        <w:t>L'Union</w:t>
      </w:r>
      <w:proofErr w:type="spellEnd"/>
      <w:r>
        <w:t xml:space="preserve"> </w:t>
      </w:r>
      <w:proofErr w:type="spellStart"/>
      <w:r>
        <w:t>européenne</w:t>
      </w:r>
      <w:proofErr w:type="spellEnd"/>
      <w:r>
        <w:t xml:space="preserve"> </w:t>
      </w:r>
      <w:r w:rsidR="00820E84">
        <w:t xml:space="preserve">(Commission </w:t>
      </w:r>
      <w:proofErr w:type="spellStart"/>
      <w:r w:rsidR="00820E84">
        <w:t>européenne</w:t>
      </w:r>
      <w:proofErr w:type="spellEnd"/>
      <w:r w:rsidR="00820E84">
        <w:t xml:space="preserve"> </w:t>
      </w:r>
      <w:proofErr w:type="gramStart"/>
      <w:r w:rsidR="00820E84">
        <w:t>et</w:t>
      </w:r>
      <w:proofErr w:type="gramEnd"/>
      <w:r w:rsidR="00820E84">
        <w:t xml:space="preserve"> </w:t>
      </w:r>
      <w:proofErr w:type="spellStart"/>
      <w:r w:rsidR="00820E84">
        <w:t>Agence</w:t>
      </w:r>
      <w:proofErr w:type="spellEnd"/>
      <w:r w:rsidR="00820E84">
        <w:t xml:space="preserve"> de </w:t>
      </w:r>
      <w:proofErr w:type="spellStart"/>
      <w:r w:rsidR="00820E84">
        <w:t>l’Union</w:t>
      </w:r>
      <w:proofErr w:type="spellEnd"/>
      <w:r w:rsidR="00820E84">
        <w:t xml:space="preserve"> </w:t>
      </w:r>
      <w:proofErr w:type="spellStart"/>
      <w:r w:rsidR="00820E84">
        <w:t>européenne</w:t>
      </w:r>
      <w:proofErr w:type="spellEnd"/>
      <w:r w:rsidR="00820E84">
        <w:t xml:space="preserve"> pour les Chemins de </w:t>
      </w:r>
      <w:proofErr w:type="spellStart"/>
      <w:r w:rsidR="00820E84">
        <w:t>fer</w:t>
      </w:r>
      <w:proofErr w:type="spellEnd"/>
      <w:r w:rsidR="00820E84">
        <w:t xml:space="preserve"> (ERA)) </w:t>
      </w:r>
      <w:r>
        <w:t xml:space="preserve">et </w:t>
      </w:r>
      <w:proofErr w:type="spellStart"/>
      <w:r>
        <w:t>l’Organisation</w:t>
      </w:r>
      <w:proofErr w:type="spellEnd"/>
      <w:r>
        <w:t xml:space="preserve"> pour la </w:t>
      </w:r>
      <w:proofErr w:type="spellStart"/>
      <w:r>
        <w:t>Coopération</w:t>
      </w:r>
      <w:proofErr w:type="spellEnd"/>
      <w:r>
        <w:t xml:space="preserve"> des Chemins de </w:t>
      </w:r>
      <w:proofErr w:type="spellStart"/>
      <w:r>
        <w:t>Fer</w:t>
      </w:r>
      <w:proofErr w:type="spellEnd"/>
      <w:r>
        <w:t xml:space="preserve"> (OSJD)</w:t>
      </w:r>
      <w:r w:rsidRPr="009E2601">
        <w:t xml:space="preserve">; </w:t>
      </w:r>
    </w:p>
    <w:p w14:paraId="54D1EFA7" w14:textId="0080A5E4" w:rsidR="00CA1042" w:rsidRPr="003812D8" w:rsidRDefault="00CA1042" w:rsidP="00182157">
      <w:pPr>
        <w:pStyle w:val="SingleTxtG"/>
        <w:ind w:firstLine="555"/>
        <w:rPr>
          <w:rFonts w:eastAsia="Batang"/>
          <w:lang w:val="fr-FR"/>
        </w:rPr>
      </w:pPr>
      <w:r w:rsidRPr="003812D8">
        <w:rPr>
          <w:lang w:val="fr-FR"/>
        </w:rPr>
        <w:tab/>
      </w:r>
      <w:r>
        <w:rPr>
          <w:lang w:val="fr-FR"/>
        </w:rPr>
        <w:t>c</w:t>
      </w:r>
      <w:r w:rsidRPr="003812D8">
        <w:rPr>
          <w:lang w:val="fr-FR"/>
        </w:rPr>
        <w:t>)</w:t>
      </w:r>
      <w:r w:rsidRPr="003812D8">
        <w:rPr>
          <w:lang w:val="fr-FR"/>
        </w:rPr>
        <w:tab/>
        <w:t>Les organisations internationales non-gouvernementales suivantes: l'Association européenne des gaz industriels (EIGA), l’Association européenne des gaz de pétrole liquéfiés (AEGPL),</w:t>
      </w:r>
      <w:r>
        <w:rPr>
          <w:lang w:val="fr-FR"/>
        </w:rPr>
        <w:t xml:space="preserve"> le Comité européen de normalisation (CEN),</w:t>
      </w:r>
      <w:r w:rsidRPr="003812D8">
        <w:rPr>
          <w:lang w:val="fr-FR"/>
        </w:rPr>
        <w:t xml:space="preserve"> </w:t>
      </w:r>
      <w:r>
        <w:rPr>
          <w:lang w:val="fr-FR"/>
        </w:rPr>
        <w:t>le Comité de liaison de l</w:t>
      </w:r>
      <w:r w:rsidR="005B6127">
        <w:rPr>
          <w:lang w:val="fr-FR"/>
        </w:rPr>
        <w:t xml:space="preserve">a construction de </w:t>
      </w:r>
      <w:proofErr w:type="spellStart"/>
      <w:r w:rsidR="005B6127">
        <w:rPr>
          <w:lang w:val="fr-FR"/>
        </w:rPr>
        <w:t>carosseries</w:t>
      </w:r>
      <w:proofErr w:type="spellEnd"/>
      <w:r w:rsidR="005B6127">
        <w:rPr>
          <w:lang w:val="fr-FR"/>
        </w:rPr>
        <w:t xml:space="preserve"> et</w:t>
      </w:r>
      <w:r>
        <w:rPr>
          <w:lang w:val="fr-FR"/>
        </w:rPr>
        <w:t xml:space="preserve"> de remorques (CLCCR), </w:t>
      </w:r>
      <w:r w:rsidRPr="003812D8">
        <w:rPr>
          <w:lang w:val="fr-FR"/>
        </w:rPr>
        <w:t xml:space="preserve">le Conseil européen de l’industrie chimique (CEFIC), </w:t>
      </w:r>
      <w:r>
        <w:rPr>
          <w:lang w:val="fr-FR"/>
        </w:rPr>
        <w:t>la Conférence européenne des négociants en carburant et combustibles</w:t>
      </w:r>
      <w:r w:rsidRPr="003812D8">
        <w:rPr>
          <w:lang w:val="fr-FR"/>
        </w:rPr>
        <w:t xml:space="preserve"> (</w:t>
      </w:r>
      <w:r>
        <w:rPr>
          <w:lang w:val="fr-FR"/>
        </w:rPr>
        <w:t xml:space="preserve">CENCC), Council on </w:t>
      </w:r>
      <w:proofErr w:type="spellStart"/>
      <w:r>
        <w:rPr>
          <w:lang w:val="fr-FR"/>
        </w:rPr>
        <w:t>Safe</w:t>
      </w:r>
      <w:proofErr w:type="spellEnd"/>
      <w:r>
        <w:rPr>
          <w:lang w:val="fr-FR"/>
        </w:rPr>
        <w:t xml:space="preserve"> Transportation of </w:t>
      </w:r>
      <w:proofErr w:type="spellStart"/>
      <w:r>
        <w:rPr>
          <w:lang w:val="fr-FR"/>
        </w:rPr>
        <w:t>Hazardous</w:t>
      </w:r>
      <w:proofErr w:type="spellEnd"/>
      <w:r>
        <w:rPr>
          <w:lang w:val="fr-FR"/>
        </w:rPr>
        <w:t xml:space="preserve"> Articles (COSTHA), </w:t>
      </w:r>
      <w:proofErr w:type="spellStart"/>
      <w:r>
        <w:rPr>
          <w:lang w:val="fr-FR"/>
        </w:rPr>
        <w:t>European</w:t>
      </w:r>
      <w:proofErr w:type="spellEnd"/>
      <w:r>
        <w:rPr>
          <w:lang w:val="fr-FR"/>
        </w:rPr>
        <w:t xml:space="preserve"> Association of Dangerous </w:t>
      </w:r>
      <w:proofErr w:type="spellStart"/>
      <w:r>
        <w:rPr>
          <w:lang w:val="fr-FR"/>
        </w:rPr>
        <w:t>Goods</w:t>
      </w:r>
      <w:proofErr w:type="spellEnd"/>
      <w:r>
        <w:rPr>
          <w:lang w:val="fr-FR"/>
        </w:rPr>
        <w:t xml:space="preserve"> </w:t>
      </w:r>
      <w:proofErr w:type="spellStart"/>
      <w:r>
        <w:rPr>
          <w:lang w:val="fr-FR"/>
        </w:rPr>
        <w:t>Safety</w:t>
      </w:r>
      <w:proofErr w:type="spellEnd"/>
      <w:r>
        <w:rPr>
          <w:lang w:val="fr-FR"/>
        </w:rPr>
        <w:t xml:space="preserve"> </w:t>
      </w:r>
      <w:proofErr w:type="spellStart"/>
      <w:r>
        <w:rPr>
          <w:lang w:val="fr-FR"/>
        </w:rPr>
        <w:t>Advisers</w:t>
      </w:r>
      <w:proofErr w:type="spellEnd"/>
      <w:r>
        <w:rPr>
          <w:lang w:val="fr-FR"/>
        </w:rPr>
        <w:t xml:space="preserve"> (EASA),</w:t>
      </w:r>
      <w:r w:rsidRPr="003812D8">
        <w:rPr>
          <w:lang w:val="fr-FR"/>
        </w:rPr>
        <w:t xml:space="preserve"> </w:t>
      </w:r>
      <w:proofErr w:type="spellStart"/>
      <w:r>
        <w:rPr>
          <w:lang w:val="fr-FR"/>
        </w:rPr>
        <w:t>European</w:t>
      </w:r>
      <w:proofErr w:type="spellEnd"/>
      <w:r>
        <w:rPr>
          <w:lang w:val="fr-FR"/>
        </w:rPr>
        <w:t xml:space="preserve"> </w:t>
      </w:r>
      <w:proofErr w:type="spellStart"/>
      <w:r>
        <w:rPr>
          <w:lang w:val="fr-FR"/>
        </w:rPr>
        <w:t>Cylinder</w:t>
      </w:r>
      <w:proofErr w:type="spellEnd"/>
      <w:r>
        <w:rPr>
          <w:lang w:val="fr-FR"/>
        </w:rPr>
        <w:t xml:space="preserve"> </w:t>
      </w:r>
      <w:proofErr w:type="spellStart"/>
      <w:r>
        <w:rPr>
          <w:lang w:val="fr-FR"/>
        </w:rPr>
        <w:t>Makers</w:t>
      </w:r>
      <w:proofErr w:type="spellEnd"/>
      <w:r>
        <w:rPr>
          <w:lang w:val="fr-FR"/>
        </w:rPr>
        <w:t xml:space="preserve"> Association </w:t>
      </w:r>
      <w:r w:rsidRPr="004D36BA">
        <w:rPr>
          <w:lang w:val="fr-FR"/>
        </w:rPr>
        <w:t xml:space="preserve">(ECMA), </w:t>
      </w:r>
      <w:r w:rsidRPr="004D36BA">
        <w:rPr>
          <w:color w:val="222222"/>
        </w:rPr>
        <w:t xml:space="preserve">la </w:t>
      </w:r>
      <w:proofErr w:type="spellStart"/>
      <w:r w:rsidRPr="004D36BA">
        <w:rPr>
          <w:color w:val="222222"/>
        </w:rPr>
        <w:t>Fédération</w:t>
      </w:r>
      <w:proofErr w:type="spellEnd"/>
      <w:r w:rsidRPr="004D36BA">
        <w:rPr>
          <w:color w:val="222222"/>
        </w:rPr>
        <w:t xml:space="preserve"> </w:t>
      </w:r>
      <w:proofErr w:type="spellStart"/>
      <w:r w:rsidRPr="004D36BA">
        <w:rPr>
          <w:color w:val="222222"/>
        </w:rPr>
        <w:t>européenne</w:t>
      </w:r>
      <w:proofErr w:type="spellEnd"/>
      <w:r w:rsidRPr="004D36BA">
        <w:rPr>
          <w:color w:val="222222"/>
        </w:rPr>
        <w:t xml:space="preserve"> des </w:t>
      </w:r>
      <w:proofErr w:type="spellStart"/>
      <w:r w:rsidRPr="004D36BA">
        <w:rPr>
          <w:color w:val="222222"/>
        </w:rPr>
        <w:t>activités</w:t>
      </w:r>
      <w:proofErr w:type="spellEnd"/>
      <w:r w:rsidRPr="004D36BA">
        <w:rPr>
          <w:color w:val="222222"/>
        </w:rPr>
        <w:t xml:space="preserve"> de la </w:t>
      </w:r>
      <w:proofErr w:type="spellStart"/>
      <w:r w:rsidRPr="004D36BA">
        <w:rPr>
          <w:color w:val="222222"/>
        </w:rPr>
        <w:t>dépollution</w:t>
      </w:r>
      <w:proofErr w:type="spellEnd"/>
      <w:r w:rsidRPr="004D36BA">
        <w:rPr>
          <w:color w:val="222222"/>
        </w:rPr>
        <w:t xml:space="preserve"> et de </w:t>
      </w:r>
      <w:proofErr w:type="spellStart"/>
      <w:r w:rsidRPr="004D36BA">
        <w:rPr>
          <w:color w:val="222222"/>
        </w:rPr>
        <w:t>l’environnement</w:t>
      </w:r>
      <w:proofErr w:type="spellEnd"/>
      <w:r w:rsidRPr="004D36BA">
        <w:rPr>
          <w:color w:val="222222"/>
        </w:rPr>
        <w:t xml:space="preserve"> (FEAD), </w:t>
      </w:r>
      <w:proofErr w:type="spellStart"/>
      <w:r w:rsidR="00362D91">
        <w:rPr>
          <w:color w:val="222222"/>
        </w:rPr>
        <w:t>FuelsEurope</w:t>
      </w:r>
      <w:proofErr w:type="spellEnd"/>
      <w:r w:rsidRPr="00C37CD3">
        <w:rPr>
          <w:lang w:val="fr-FR"/>
        </w:rPr>
        <w:t>,</w:t>
      </w:r>
      <w:r>
        <w:rPr>
          <w:lang w:val="fr-FR"/>
        </w:rPr>
        <w:t xml:space="preserve"> </w:t>
      </w:r>
      <w:r w:rsidRPr="004D36BA">
        <w:rPr>
          <w:bCs/>
          <w:lang w:val="fr-FR"/>
        </w:rPr>
        <w:t>International Tank Container Organisation</w:t>
      </w:r>
      <w:r w:rsidRPr="004D36BA">
        <w:rPr>
          <w:lang w:val="fr-FR"/>
        </w:rPr>
        <w:t xml:space="preserve"> (</w:t>
      </w:r>
      <w:r w:rsidRPr="004D36BA">
        <w:rPr>
          <w:bCs/>
          <w:lang w:val="fr-FR"/>
        </w:rPr>
        <w:t>ITCO</w:t>
      </w:r>
      <w:r w:rsidRPr="004D36BA">
        <w:rPr>
          <w:lang w:val="fr-FR"/>
        </w:rPr>
        <w:t>), l’Union internationale des chemins de fer (UIC), l’Union internationale des propriétaires de wagons particuliers (UIP), l’Union internationale des transports routiers (IRU) et l’Union internationale pour le transport combiné Rail-Route</w:t>
      </w:r>
      <w:r>
        <w:rPr>
          <w:lang w:val="fr-FR"/>
        </w:rPr>
        <w:t xml:space="preserve"> (UIRR)</w:t>
      </w:r>
      <w:r w:rsidRPr="004D36BA">
        <w:rPr>
          <w:lang w:val="fr-FR"/>
        </w:rPr>
        <w:t>.</w:t>
      </w:r>
    </w:p>
    <w:p w14:paraId="14E3B3E2" w14:textId="77777777" w:rsidR="00CA1042" w:rsidRPr="00387D36" w:rsidRDefault="00CA1042" w:rsidP="00CA1042">
      <w:pPr>
        <w:pStyle w:val="HChG"/>
        <w:spacing w:before="120" w:after="120"/>
      </w:pPr>
      <w:r>
        <w:rPr>
          <w:lang w:val="fr-FR"/>
        </w:rPr>
        <w:tab/>
        <w:t>II.</w:t>
      </w:r>
      <w:r>
        <w:rPr>
          <w:lang w:val="fr-FR"/>
        </w:rPr>
        <w:tab/>
        <w:t>A</w:t>
      </w:r>
      <w:r w:rsidRPr="001F7089">
        <w:rPr>
          <w:lang w:val="fr-FR"/>
        </w:rPr>
        <w:t xml:space="preserve">doption de l'ordre du jour </w:t>
      </w:r>
      <w:r w:rsidRPr="00C35A40">
        <w:rPr>
          <w:lang w:val="fr-FR"/>
        </w:rPr>
        <w:t>(point 1 de l’ordre du jour)</w:t>
      </w:r>
    </w:p>
    <w:p w14:paraId="7E78B340" w14:textId="2E4D41A2" w:rsidR="00CA1042" w:rsidRPr="00C45869" w:rsidRDefault="00CA1042" w:rsidP="00CA1042">
      <w:pPr>
        <w:pStyle w:val="SingleTxtG"/>
        <w:tabs>
          <w:tab w:val="left" w:pos="3100"/>
        </w:tabs>
        <w:rPr>
          <w:i/>
          <w:lang w:val="fr-FR"/>
        </w:rPr>
      </w:pPr>
      <w:r w:rsidRPr="00EA4A82">
        <w:rPr>
          <w:i/>
          <w:lang w:val="fr-FR"/>
        </w:rPr>
        <w:t>Document</w:t>
      </w:r>
      <w:r w:rsidRPr="00E30AEE">
        <w:rPr>
          <w:i/>
          <w:lang w:val="fr-FR"/>
        </w:rPr>
        <w:t>:</w:t>
      </w:r>
      <w:r>
        <w:rPr>
          <w:lang w:val="fr-FR"/>
        </w:rPr>
        <w:tab/>
      </w:r>
      <w:r>
        <w:rPr>
          <w:lang w:val="fr-FR"/>
        </w:rPr>
        <w:tab/>
        <w:t>ECE/TRANS/WP.15/AC.1/14</w:t>
      </w:r>
      <w:r w:rsidR="001E4CAB">
        <w:rPr>
          <w:lang w:val="fr-FR"/>
        </w:rPr>
        <w:t>5</w:t>
      </w:r>
      <w:r>
        <w:rPr>
          <w:lang w:val="fr-FR"/>
        </w:rPr>
        <w:t xml:space="preserve"> et Add.1</w:t>
      </w:r>
    </w:p>
    <w:p w14:paraId="77818965" w14:textId="0D79B364" w:rsidR="00CA1042" w:rsidRDefault="00CA1042" w:rsidP="00CA1042">
      <w:pPr>
        <w:pStyle w:val="SingleTxtG"/>
        <w:tabs>
          <w:tab w:val="left" w:pos="3100"/>
        </w:tabs>
        <w:rPr>
          <w:lang w:val="fr-FR"/>
        </w:rPr>
      </w:pPr>
      <w:r w:rsidRPr="00EA4A82">
        <w:rPr>
          <w:i/>
          <w:lang w:val="fr-FR"/>
        </w:rPr>
        <w:t>Documents informels</w:t>
      </w:r>
      <w:r>
        <w:rPr>
          <w:lang w:val="fr-FR"/>
        </w:rPr>
        <w:t xml:space="preserve">: </w:t>
      </w:r>
      <w:r>
        <w:rPr>
          <w:lang w:val="fr-FR"/>
        </w:rPr>
        <w:tab/>
      </w:r>
      <w:r>
        <w:rPr>
          <w:lang w:val="fr-FR"/>
        </w:rPr>
        <w:tab/>
        <w:t>INF.2 et INF.3 (Secrétariat)</w:t>
      </w:r>
    </w:p>
    <w:p w14:paraId="3F80DE4E" w14:textId="19F78B80" w:rsidR="00CA1042" w:rsidRPr="009E2601" w:rsidRDefault="00CA1042" w:rsidP="00CA1042">
      <w:pPr>
        <w:spacing w:after="120"/>
        <w:ind w:left="1134" w:right="1134"/>
        <w:jc w:val="both"/>
      </w:pPr>
      <w:r>
        <w:rPr>
          <w:lang w:val="fr-FR"/>
        </w:rPr>
        <w:t>4</w:t>
      </w:r>
      <w:r w:rsidRPr="009E2601">
        <w:rPr>
          <w:lang w:val="fr-FR"/>
        </w:rPr>
        <w:t>.</w:t>
      </w:r>
      <w:r w:rsidRPr="009E2601">
        <w:rPr>
          <w:lang w:val="fr-FR"/>
        </w:rPr>
        <w:tab/>
        <w:t>La Réunion commune a adopté l’ordre du jour proposé par le secrétariat dans les do</w:t>
      </w:r>
      <w:r>
        <w:rPr>
          <w:lang w:val="fr-FR"/>
        </w:rPr>
        <w:t>cuments ECE/TRANS/WP.15/AC.1/14</w:t>
      </w:r>
      <w:r w:rsidR="00362D91">
        <w:rPr>
          <w:lang w:val="fr-FR"/>
        </w:rPr>
        <w:t>5</w:t>
      </w:r>
      <w:r w:rsidRPr="009E2601">
        <w:rPr>
          <w:lang w:val="fr-FR"/>
        </w:rPr>
        <w:t xml:space="preserve"> et additif 1 (</w:t>
      </w:r>
      <w:r>
        <w:rPr>
          <w:lang w:val="fr-FR"/>
        </w:rPr>
        <w:t>document RID-17001-RC de l’OTIF</w:t>
      </w:r>
      <w:r w:rsidRPr="009E2601">
        <w:rPr>
          <w:lang w:val="fr-FR"/>
        </w:rPr>
        <w:t>) tels que mis à jour par le document informel</w:t>
      </w:r>
      <w:r w:rsidR="00A735C0">
        <w:rPr>
          <w:lang w:val="fr-FR"/>
        </w:rPr>
        <w:t xml:space="preserve"> </w:t>
      </w:r>
      <w:r>
        <w:rPr>
          <w:lang w:val="fr-FR"/>
        </w:rPr>
        <w:t>INF.2.</w:t>
      </w:r>
    </w:p>
    <w:p w14:paraId="4DDD1E7E" w14:textId="77777777" w:rsidR="00CA1042" w:rsidRDefault="00CA1042" w:rsidP="00CA1042">
      <w:pPr>
        <w:pStyle w:val="HChG"/>
      </w:pPr>
      <w:r>
        <w:tab/>
        <w:t>III</w:t>
      </w:r>
      <w:r w:rsidRPr="007729C1">
        <w:t>.</w:t>
      </w:r>
      <w:r>
        <w:tab/>
      </w:r>
      <w:proofErr w:type="spellStart"/>
      <w:r>
        <w:t>Citernes</w:t>
      </w:r>
      <w:proofErr w:type="spellEnd"/>
      <w:r>
        <w:t xml:space="preserve"> (point 2 de </w:t>
      </w:r>
      <w:proofErr w:type="spellStart"/>
      <w:r>
        <w:t>l’ordre</w:t>
      </w:r>
      <w:proofErr w:type="spellEnd"/>
      <w:r>
        <w:t xml:space="preserve"> du jour)</w:t>
      </w:r>
    </w:p>
    <w:p w14:paraId="36E79E8B" w14:textId="77777777" w:rsidR="00CA1042" w:rsidRDefault="00CA1042" w:rsidP="00CA1042">
      <w:pPr>
        <w:pStyle w:val="SingleTxtG"/>
        <w:spacing w:after="0"/>
        <w:ind w:left="3402" w:hanging="2268"/>
        <w:rPr>
          <w:lang w:val="fr-FR"/>
        </w:rPr>
      </w:pPr>
      <w:r>
        <w:rPr>
          <w:i/>
          <w:lang w:val="fr-FR"/>
        </w:rPr>
        <w:t>Documents</w:t>
      </w:r>
      <w:r>
        <w:rPr>
          <w:lang w:val="fr-FR"/>
        </w:rPr>
        <w:t xml:space="preserve">: </w:t>
      </w:r>
      <w:r>
        <w:rPr>
          <w:lang w:val="fr-FR"/>
        </w:rPr>
        <w:tab/>
      </w:r>
      <w:r>
        <w:rPr>
          <w:lang w:val="fr-FR"/>
        </w:rPr>
        <w:tab/>
        <w:t>ECE/TRANS/WP.15/AC.1/144, annexe II (Propositions d’amendements adoptées entre crochets à la session d’automne 2016)</w:t>
      </w:r>
    </w:p>
    <w:p w14:paraId="6EB9FB02" w14:textId="55F589EE" w:rsidR="00CA1042" w:rsidRDefault="00CA1042" w:rsidP="00CA1042">
      <w:pPr>
        <w:pStyle w:val="SingleTxtG"/>
        <w:spacing w:after="0"/>
        <w:ind w:left="3402" w:hanging="2268"/>
        <w:rPr>
          <w:lang w:val="fr-FR"/>
        </w:rPr>
      </w:pPr>
      <w:r>
        <w:rPr>
          <w:lang w:val="fr-FR"/>
        </w:rPr>
        <w:tab/>
        <w:t>ECE/TRANS/WP.15/AC.1/144/Add.1</w:t>
      </w:r>
      <w:r w:rsidR="007A5E55">
        <w:rPr>
          <w:lang w:val="fr-FR"/>
        </w:rPr>
        <w:t xml:space="preserve"> </w:t>
      </w:r>
      <w:r>
        <w:rPr>
          <w:lang w:val="fr-FR"/>
        </w:rPr>
        <w:t>(Rapport du Groupe de travail sur les citernes à la session d’automne 2016)</w:t>
      </w:r>
    </w:p>
    <w:p w14:paraId="6FDF64A0" w14:textId="2E5DB9F4" w:rsidR="00CA1042" w:rsidRDefault="00CA1042" w:rsidP="00CA1042">
      <w:pPr>
        <w:pStyle w:val="SingleTxtG"/>
        <w:spacing w:after="0"/>
        <w:ind w:left="3402"/>
      </w:pPr>
      <w:r>
        <w:t>ECE/TRANS/WP.15/AC.1/2017/3 (</w:t>
      </w:r>
      <w:proofErr w:type="spellStart"/>
      <w:r>
        <w:t>Allemagne</w:t>
      </w:r>
      <w:proofErr w:type="spellEnd"/>
      <w:r>
        <w:t xml:space="preserve">) </w:t>
      </w:r>
      <w:r w:rsidR="00362D91">
        <w:t>(</w:t>
      </w:r>
      <w:r>
        <w:t xml:space="preserve">1.2.1 – Introduction </w:t>
      </w:r>
      <w:proofErr w:type="spellStart"/>
      <w:r>
        <w:t>d’une</w:t>
      </w:r>
      <w:proofErr w:type="spellEnd"/>
      <w:r>
        <w:t xml:space="preserve"> </w:t>
      </w:r>
      <w:proofErr w:type="spellStart"/>
      <w:r>
        <w:t>définition</w:t>
      </w:r>
      <w:proofErr w:type="spellEnd"/>
      <w:r>
        <w:t xml:space="preserve"> d</w:t>
      </w:r>
      <w:r w:rsidR="007278B6">
        <w:t>u</w:t>
      </w:r>
      <w:r>
        <w:t xml:space="preserve"> </w:t>
      </w:r>
      <w:proofErr w:type="spellStart"/>
      <w:r w:rsidR="007278B6">
        <w:t>diamètre</w:t>
      </w:r>
      <w:proofErr w:type="spellEnd"/>
      <w:r w:rsidR="007278B6">
        <w:t xml:space="preserve"> de </w:t>
      </w:r>
      <w:proofErr w:type="spellStart"/>
      <w:r w:rsidR="007278B6">
        <w:t>réservoir</w:t>
      </w:r>
      <w:proofErr w:type="spellEnd"/>
      <w:r w:rsidR="00362D91">
        <w:t>)</w:t>
      </w:r>
    </w:p>
    <w:p w14:paraId="6824335A" w14:textId="35725BB7" w:rsidR="00CA1042" w:rsidRDefault="00CA1042" w:rsidP="00CA1042">
      <w:pPr>
        <w:pStyle w:val="SingleTxtG"/>
        <w:spacing w:after="0"/>
        <w:ind w:left="3402"/>
      </w:pPr>
      <w:r>
        <w:lastRenderedPageBreak/>
        <w:t xml:space="preserve">ECE/TRANS/WP.15/AC.1/2017/13 (EIGA) </w:t>
      </w:r>
      <w:r w:rsidR="00362D91">
        <w:t>(</w:t>
      </w:r>
      <w:r w:rsidRPr="006848E9">
        <w:t xml:space="preserve">6.8.3.2.9 </w:t>
      </w:r>
      <w:proofErr w:type="spellStart"/>
      <w:r>
        <w:t>Equipements-Soupapes</w:t>
      </w:r>
      <w:proofErr w:type="spellEnd"/>
      <w:r w:rsidR="009907EB">
        <w:t xml:space="preserve"> de </w:t>
      </w:r>
      <w:proofErr w:type="spellStart"/>
      <w:r w:rsidR="009907EB">
        <w:t>décompression</w:t>
      </w:r>
      <w:proofErr w:type="spellEnd"/>
      <w:r w:rsidR="00362D91">
        <w:t>)</w:t>
      </w:r>
    </w:p>
    <w:p w14:paraId="4FD2ECD2" w14:textId="77777777" w:rsidR="00CA1042" w:rsidRDefault="00CA1042" w:rsidP="00CA1042">
      <w:pPr>
        <w:pStyle w:val="SingleTxtG"/>
        <w:spacing w:after="0"/>
        <w:ind w:left="3402"/>
        <w:rPr>
          <w:lang w:val="en-US"/>
        </w:rPr>
      </w:pPr>
      <w:r>
        <w:t xml:space="preserve">ECE/TRANS/WP.15/AC.1/2017/17 (Pays-Bas) </w:t>
      </w:r>
      <w:r w:rsidR="00362D91">
        <w:t>(</w:t>
      </w:r>
      <w:proofErr w:type="spellStart"/>
      <w:r>
        <w:rPr>
          <w:lang w:val="en-US"/>
        </w:rPr>
        <w:t>Pression</w:t>
      </w:r>
      <w:proofErr w:type="spellEnd"/>
      <w:r>
        <w:rPr>
          <w:lang w:val="en-US"/>
        </w:rPr>
        <w:t xml:space="preserve"> </w:t>
      </w:r>
      <w:proofErr w:type="spellStart"/>
      <w:r>
        <w:rPr>
          <w:lang w:val="en-US"/>
        </w:rPr>
        <w:t>d’éclatement</w:t>
      </w:r>
      <w:proofErr w:type="spellEnd"/>
      <w:r>
        <w:rPr>
          <w:lang w:val="en-US"/>
        </w:rPr>
        <w:t xml:space="preserve"> des </w:t>
      </w:r>
      <w:proofErr w:type="spellStart"/>
      <w:r>
        <w:rPr>
          <w:lang w:val="en-US"/>
        </w:rPr>
        <w:t>disques</w:t>
      </w:r>
      <w:proofErr w:type="spellEnd"/>
      <w:r>
        <w:rPr>
          <w:lang w:val="en-US"/>
        </w:rPr>
        <w:t xml:space="preserve"> de rupture au 6.8.2.2.10</w:t>
      </w:r>
      <w:r w:rsidR="00362D91">
        <w:rPr>
          <w:lang w:val="en-US"/>
        </w:rPr>
        <w:t>)</w:t>
      </w:r>
    </w:p>
    <w:p w14:paraId="69D4080F" w14:textId="77777777" w:rsidR="00CA1042" w:rsidRDefault="00CA1042" w:rsidP="00CA1042">
      <w:pPr>
        <w:pStyle w:val="SingleTxtG"/>
        <w:spacing w:after="0"/>
        <w:ind w:left="3402"/>
        <w:rPr>
          <w:lang w:val="en-US"/>
        </w:rPr>
      </w:pPr>
      <w:r>
        <w:t xml:space="preserve">ECE/TRANS/WP.15/AC.1/2017/18 (Pays-Bas) </w:t>
      </w:r>
      <w:r w:rsidR="00362D91">
        <w:t>(</w:t>
      </w:r>
      <w:r>
        <w:rPr>
          <w:lang w:val="en-US"/>
        </w:rPr>
        <w:t xml:space="preserve">Introduction de dispositions </w:t>
      </w:r>
      <w:proofErr w:type="gramStart"/>
      <w:r>
        <w:rPr>
          <w:lang w:val="en-US"/>
        </w:rPr>
        <w:t>relatives</w:t>
      </w:r>
      <w:proofErr w:type="gramEnd"/>
      <w:r>
        <w:rPr>
          <w:lang w:val="en-US"/>
        </w:rPr>
        <w:t xml:space="preserve"> aux </w:t>
      </w:r>
      <w:proofErr w:type="spellStart"/>
      <w:r>
        <w:rPr>
          <w:lang w:val="en-US"/>
        </w:rPr>
        <w:t>arrête-flammes</w:t>
      </w:r>
      <w:proofErr w:type="spellEnd"/>
      <w:r>
        <w:rPr>
          <w:lang w:val="en-US"/>
        </w:rPr>
        <w:t xml:space="preserve"> pour </w:t>
      </w:r>
      <w:proofErr w:type="spellStart"/>
      <w:r>
        <w:rPr>
          <w:lang w:val="en-US"/>
        </w:rPr>
        <w:t>dispositifs</w:t>
      </w:r>
      <w:proofErr w:type="spellEnd"/>
      <w:r>
        <w:rPr>
          <w:lang w:val="en-US"/>
        </w:rPr>
        <w:t xml:space="preserve"> de respiration</w:t>
      </w:r>
      <w:r w:rsidR="00362D91">
        <w:rPr>
          <w:lang w:val="en-US"/>
        </w:rPr>
        <w:t>)</w:t>
      </w:r>
    </w:p>
    <w:p w14:paraId="06460424" w14:textId="77777777" w:rsidR="00CA1042" w:rsidRDefault="00CA1042" w:rsidP="00CA1042">
      <w:pPr>
        <w:pStyle w:val="SingleTxtG"/>
        <w:spacing w:after="0"/>
        <w:ind w:left="3402"/>
        <w:rPr>
          <w:lang w:val="en-US"/>
        </w:rPr>
      </w:pPr>
      <w:r>
        <w:t xml:space="preserve">ECE/TRANS/WP.15/AC.1/2017/19 (Pays-Bas) </w:t>
      </w:r>
      <w:r w:rsidR="00362D91">
        <w:t>(</w:t>
      </w:r>
      <w:r>
        <w:rPr>
          <w:lang w:val="en-US"/>
        </w:rPr>
        <w:t>Modification du</w:t>
      </w:r>
      <w:r w:rsidRPr="006A41C6">
        <w:rPr>
          <w:lang w:val="en-US"/>
        </w:rPr>
        <w:t xml:space="preserve"> 6.8.2.1.23</w:t>
      </w:r>
      <w:r w:rsidR="00362D91">
        <w:rPr>
          <w:lang w:val="en-US"/>
        </w:rPr>
        <w:t>)</w:t>
      </w:r>
    </w:p>
    <w:p w14:paraId="471980A4" w14:textId="5CDFE082" w:rsidR="00CA1042" w:rsidRDefault="00CA1042" w:rsidP="00CA1042">
      <w:pPr>
        <w:pStyle w:val="SingleTxtG"/>
        <w:spacing w:after="0"/>
        <w:ind w:left="3402"/>
      </w:pPr>
      <w:r>
        <w:t xml:space="preserve">ECE/TRANS/WP.15/AC.1/2017/20 (France) </w:t>
      </w:r>
      <w:r w:rsidR="00362D91">
        <w:t>(</w:t>
      </w:r>
      <w:proofErr w:type="spellStart"/>
      <w:r>
        <w:t>Citerne</w:t>
      </w:r>
      <w:proofErr w:type="spellEnd"/>
      <w:r>
        <w:t xml:space="preserve"> </w:t>
      </w:r>
      <w:proofErr w:type="spellStart"/>
      <w:r>
        <w:t>ayant</w:t>
      </w:r>
      <w:proofErr w:type="spellEnd"/>
      <w:r>
        <w:t xml:space="preserve"> </w:t>
      </w:r>
      <w:proofErr w:type="spellStart"/>
      <w:r>
        <w:t>une</w:t>
      </w:r>
      <w:proofErr w:type="spellEnd"/>
      <w:r>
        <w:t xml:space="preserve"> section </w:t>
      </w:r>
      <w:proofErr w:type="spellStart"/>
      <w:r>
        <w:t>comportant</w:t>
      </w:r>
      <w:proofErr w:type="spellEnd"/>
      <w:r>
        <w:t xml:space="preserve"> </w:t>
      </w:r>
      <w:proofErr w:type="spellStart"/>
      <w:r>
        <w:t>une</w:t>
      </w:r>
      <w:proofErr w:type="spellEnd"/>
      <w:r>
        <w:t xml:space="preserve"> </w:t>
      </w:r>
      <w:proofErr w:type="spellStart"/>
      <w:r>
        <w:t>partie</w:t>
      </w:r>
      <w:proofErr w:type="spellEnd"/>
      <w:r>
        <w:t xml:space="preserve"> concave – </w:t>
      </w:r>
      <w:proofErr w:type="spellStart"/>
      <w:r>
        <w:t>Interprétation</w:t>
      </w:r>
      <w:proofErr w:type="spellEnd"/>
      <w:r>
        <w:t xml:space="preserve"> du 6.8.2.1.</w:t>
      </w:r>
      <w:r w:rsidR="0082186B">
        <w:t>18</w:t>
      </w:r>
      <w:r w:rsidR="00362D91">
        <w:t>)</w:t>
      </w:r>
    </w:p>
    <w:p w14:paraId="3868E9D2" w14:textId="42F3EA9C" w:rsidR="00CA1042" w:rsidRDefault="00CA1042" w:rsidP="00CA1042">
      <w:pPr>
        <w:pStyle w:val="SingleTxtG"/>
        <w:spacing w:after="0"/>
        <w:ind w:left="3402"/>
        <w:rPr>
          <w:lang w:val="en-US"/>
        </w:rPr>
      </w:pPr>
      <w:r>
        <w:t xml:space="preserve">ECE/TRANS/WP.15/AC.1/2017/21 (France) </w:t>
      </w:r>
      <w:r w:rsidR="00362D91">
        <w:t>(</w:t>
      </w:r>
      <w:proofErr w:type="spellStart"/>
      <w:r>
        <w:rPr>
          <w:lang w:val="en-US"/>
        </w:rPr>
        <w:t>Citernes</w:t>
      </w:r>
      <w:proofErr w:type="spellEnd"/>
      <w:r>
        <w:rPr>
          <w:lang w:val="en-US"/>
        </w:rPr>
        <w:t xml:space="preserve"> </w:t>
      </w:r>
      <w:proofErr w:type="spellStart"/>
      <w:r>
        <w:rPr>
          <w:lang w:val="en-US"/>
        </w:rPr>
        <w:t>démontables</w:t>
      </w:r>
      <w:proofErr w:type="spellEnd"/>
      <w:r>
        <w:rPr>
          <w:lang w:val="en-US"/>
        </w:rPr>
        <w:t xml:space="preserve"> </w:t>
      </w:r>
      <w:proofErr w:type="gramStart"/>
      <w:r w:rsidR="00362D91">
        <w:rPr>
          <w:lang w:val="en-US"/>
        </w:rPr>
        <w:t>et</w:t>
      </w:r>
      <w:proofErr w:type="gramEnd"/>
      <w:r>
        <w:rPr>
          <w:lang w:val="en-US"/>
        </w:rPr>
        <w:t xml:space="preserve"> </w:t>
      </w:r>
      <w:proofErr w:type="spellStart"/>
      <w:r>
        <w:rPr>
          <w:lang w:val="en-US"/>
        </w:rPr>
        <w:t>conteneu</w:t>
      </w:r>
      <w:r w:rsidR="009907EB">
        <w:rPr>
          <w:lang w:val="en-US"/>
        </w:rPr>
        <w:t>rs-citernes</w:t>
      </w:r>
      <w:proofErr w:type="spellEnd"/>
      <w:r w:rsidR="009907EB">
        <w:rPr>
          <w:lang w:val="en-US"/>
        </w:rPr>
        <w:t xml:space="preserve">, interpretation des </w:t>
      </w:r>
      <w:proofErr w:type="spellStart"/>
      <w:r w:rsidR="009907EB">
        <w:rPr>
          <w:lang w:val="en-US"/>
        </w:rPr>
        <w:t>définitions</w:t>
      </w:r>
      <w:proofErr w:type="spellEnd"/>
      <w:r w:rsidR="00362D91">
        <w:rPr>
          <w:lang w:val="en-US"/>
        </w:rPr>
        <w:t>)</w:t>
      </w:r>
    </w:p>
    <w:p w14:paraId="2BDEF9C1" w14:textId="5F97B51C" w:rsidR="00CA1042" w:rsidRDefault="00CA1042" w:rsidP="00182157">
      <w:pPr>
        <w:pStyle w:val="SingleTxtG"/>
        <w:ind w:left="3402"/>
        <w:rPr>
          <w:lang w:val="fr-FR"/>
        </w:rPr>
      </w:pPr>
      <w:r>
        <w:t>ECE/TRANS/WP.15/AC.1/2017/22 (</w:t>
      </w:r>
      <w:proofErr w:type="spellStart"/>
      <w:r>
        <w:t>Royaume-Uni</w:t>
      </w:r>
      <w:proofErr w:type="spellEnd"/>
      <w:r>
        <w:t xml:space="preserve">) </w:t>
      </w:r>
      <w:r w:rsidR="00362D91">
        <w:t>(</w:t>
      </w:r>
      <w:proofErr w:type="spellStart"/>
      <w:r>
        <w:t>Citernes</w:t>
      </w:r>
      <w:proofErr w:type="spellEnd"/>
      <w:r>
        <w:t xml:space="preserve">: </w:t>
      </w:r>
      <w:proofErr w:type="spellStart"/>
      <w:r>
        <w:t>groupe</w:t>
      </w:r>
      <w:proofErr w:type="spellEnd"/>
      <w:r>
        <w:t xml:space="preserve"> de travail </w:t>
      </w:r>
      <w:proofErr w:type="spellStart"/>
      <w:r>
        <w:t>informel</w:t>
      </w:r>
      <w:proofErr w:type="spellEnd"/>
      <w:r>
        <w:t xml:space="preserve"> sur le </w:t>
      </w:r>
      <w:proofErr w:type="spellStart"/>
      <w:r>
        <w:t>contrôle</w:t>
      </w:r>
      <w:proofErr w:type="spellEnd"/>
      <w:r>
        <w:t xml:space="preserve"> </w:t>
      </w:r>
      <w:proofErr w:type="gramStart"/>
      <w:r>
        <w:t>et</w:t>
      </w:r>
      <w:proofErr w:type="gramEnd"/>
      <w:r>
        <w:t xml:space="preserve"> </w:t>
      </w:r>
      <w:proofErr w:type="spellStart"/>
      <w:r>
        <w:t>l’agrément</w:t>
      </w:r>
      <w:proofErr w:type="spellEnd"/>
      <w:r>
        <w:t xml:space="preserve"> des </w:t>
      </w:r>
      <w:proofErr w:type="spellStart"/>
      <w:r>
        <w:t>citernes</w:t>
      </w:r>
      <w:proofErr w:type="spellEnd"/>
      <w:r w:rsidR="00362D91">
        <w:t>)</w:t>
      </w:r>
    </w:p>
    <w:p w14:paraId="24201A23" w14:textId="5A0BD135" w:rsidR="00CA1042" w:rsidRDefault="00CA1042" w:rsidP="00182157">
      <w:pPr>
        <w:pStyle w:val="SingleTxtG"/>
        <w:spacing w:after="0"/>
        <w:ind w:left="3402" w:hanging="2268"/>
        <w:rPr>
          <w:lang w:val="fr-FR"/>
        </w:rPr>
      </w:pPr>
      <w:r w:rsidRPr="00EA4A82">
        <w:rPr>
          <w:i/>
          <w:lang w:val="fr-FR"/>
        </w:rPr>
        <w:t>Documents informels</w:t>
      </w:r>
      <w:r>
        <w:rPr>
          <w:lang w:val="fr-FR"/>
        </w:rPr>
        <w:t xml:space="preserve">: </w:t>
      </w:r>
      <w:r>
        <w:rPr>
          <w:lang w:val="fr-FR"/>
        </w:rPr>
        <w:tab/>
      </w:r>
      <w:r>
        <w:rPr>
          <w:lang w:val="fr-FR"/>
        </w:rPr>
        <w:tab/>
        <w:t xml:space="preserve">INF.6 (UIP) (Opérations de </w:t>
      </w:r>
      <w:r w:rsidR="00362D91">
        <w:rPr>
          <w:lang w:val="fr-FR"/>
        </w:rPr>
        <w:t>so</w:t>
      </w:r>
      <w:r w:rsidR="00437417">
        <w:rPr>
          <w:lang w:val="fr-FR"/>
        </w:rPr>
        <w:t>u</w:t>
      </w:r>
      <w:r w:rsidR="00362D91">
        <w:rPr>
          <w:lang w:val="fr-FR"/>
        </w:rPr>
        <w:t xml:space="preserve">dage </w:t>
      </w:r>
      <w:r>
        <w:rPr>
          <w:lang w:val="fr-FR"/>
        </w:rPr>
        <w:t xml:space="preserve">selon le 6.8.2.1.23) </w:t>
      </w:r>
    </w:p>
    <w:p w14:paraId="7E976CF4" w14:textId="77777777" w:rsidR="00CA1042" w:rsidRDefault="00CA1042" w:rsidP="00CA1042">
      <w:pPr>
        <w:pStyle w:val="SingleTxtG"/>
        <w:spacing w:after="0"/>
        <w:ind w:left="3402"/>
        <w:rPr>
          <w:lang w:val="fr-FR"/>
        </w:rPr>
      </w:pPr>
      <w:r w:rsidRPr="00115D99">
        <w:rPr>
          <w:lang w:val="fr-FR"/>
        </w:rPr>
        <w:tab/>
      </w:r>
      <w:r>
        <w:rPr>
          <w:lang w:val="fr-FR"/>
        </w:rPr>
        <w:t>INF.7 (Royaume-Uni) (Identification de l’Etat sur le territoire duquel un agrément de type de citerne fixe (véhicule-citerne), citerne démontable ou véhicule-batterie a été accordé)</w:t>
      </w:r>
    </w:p>
    <w:p w14:paraId="123BCE58" w14:textId="567792DC" w:rsidR="00CA1042" w:rsidRDefault="00CA1042" w:rsidP="00CA1042">
      <w:pPr>
        <w:pStyle w:val="SingleTxtG"/>
        <w:tabs>
          <w:tab w:val="left" w:pos="3100"/>
        </w:tabs>
        <w:spacing w:after="0"/>
        <w:ind w:left="3402"/>
        <w:rPr>
          <w:lang w:val="fr-FR"/>
        </w:rPr>
      </w:pPr>
      <w:r>
        <w:rPr>
          <w:lang w:val="fr-FR"/>
        </w:rPr>
        <w:t xml:space="preserve">INF.8 (CENCC) (Interprétation </w:t>
      </w:r>
      <w:r w:rsidR="001E4CAB">
        <w:rPr>
          <w:lang w:val="fr-FR"/>
        </w:rPr>
        <w:t>des formes de citernes aux</w:t>
      </w:r>
      <w:r>
        <w:rPr>
          <w:lang w:val="fr-FR"/>
        </w:rPr>
        <w:t xml:space="preserve"> 6.</w:t>
      </w:r>
      <w:r w:rsidR="0082186B">
        <w:rPr>
          <w:lang w:val="fr-FR"/>
        </w:rPr>
        <w:t>8.2.1.18</w:t>
      </w:r>
      <w:r w:rsidR="001E4CAB">
        <w:rPr>
          <w:lang w:val="fr-FR"/>
        </w:rPr>
        <w:t xml:space="preserve"> à 6.8.2.1.20 et dans la norme EN 13094:2015</w:t>
      </w:r>
      <w:r w:rsidR="00453BDE">
        <w:rPr>
          <w:lang w:val="fr-FR"/>
        </w:rPr>
        <w:t>)</w:t>
      </w:r>
    </w:p>
    <w:p w14:paraId="1B67C9A2" w14:textId="77777777" w:rsidR="00CA1042" w:rsidRDefault="00CA1042" w:rsidP="00CA1042">
      <w:pPr>
        <w:pStyle w:val="SingleTxtG"/>
        <w:tabs>
          <w:tab w:val="left" w:pos="3100"/>
        </w:tabs>
        <w:spacing w:after="0"/>
        <w:ind w:left="3402"/>
        <w:rPr>
          <w:lang w:val="fr-FR"/>
        </w:rPr>
      </w:pPr>
      <w:r>
        <w:rPr>
          <w:lang w:val="fr-FR"/>
        </w:rPr>
        <w:tab/>
        <w:t>INF.11 (Belgique) (Temps de retenue-Information dans le document de transport)</w:t>
      </w:r>
    </w:p>
    <w:p w14:paraId="77AF0026" w14:textId="77777777" w:rsidR="00CA1042" w:rsidRDefault="00CA1042" w:rsidP="00CA1042">
      <w:pPr>
        <w:pStyle w:val="SingleTxtG"/>
        <w:spacing w:after="0"/>
        <w:ind w:left="3402"/>
        <w:rPr>
          <w:lang w:val="fr-FR"/>
        </w:rPr>
      </w:pPr>
      <w:r>
        <w:rPr>
          <w:lang w:val="fr-FR"/>
        </w:rPr>
        <w:tab/>
        <w:t>INF.12 et INF.13 (Royaume-Uni) (Rapport du Groupe de travail informel sur le contrôle et l’agrément des citernes)</w:t>
      </w:r>
    </w:p>
    <w:p w14:paraId="0FA5A9C5" w14:textId="77777777" w:rsidR="00CA1042" w:rsidRPr="00707934" w:rsidRDefault="00CA1042" w:rsidP="00CA1042">
      <w:pPr>
        <w:pStyle w:val="SingleTxtG"/>
        <w:spacing w:after="0"/>
        <w:ind w:left="3402"/>
      </w:pPr>
      <w:r>
        <w:rPr>
          <w:lang w:val="fr-FR"/>
        </w:rPr>
        <w:t>INF.25 (Royaume-Uni) (Epreuve de pression en utilisant un autre liquide ou gaz)</w:t>
      </w:r>
    </w:p>
    <w:p w14:paraId="616E96B3" w14:textId="77777777" w:rsidR="00CA1042" w:rsidRDefault="00CA1042" w:rsidP="00732341">
      <w:pPr>
        <w:pStyle w:val="SingleTxtG"/>
        <w:tabs>
          <w:tab w:val="left" w:pos="3100"/>
        </w:tabs>
        <w:ind w:left="3402" w:hanging="2268"/>
        <w:rPr>
          <w:lang w:val="fr-FR"/>
        </w:rPr>
      </w:pPr>
      <w:r>
        <w:rPr>
          <w:lang w:val="fr-FR"/>
        </w:rPr>
        <w:tab/>
      </w:r>
      <w:r>
        <w:rPr>
          <w:lang w:val="fr-FR"/>
        </w:rPr>
        <w:tab/>
        <w:t>INF.27 (Allemagne) (Procédures relatives à l’agrément de type)</w:t>
      </w:r>
    </w:p>
    <w:p w14:paraId="6A9D3939" w14:textId="77777777" w:rsidR="00CA1042" w:rsidRDefault="00CA1042" w:rsidP="00CA1042">
      <w:pPr>
        <w:spacing w:before="120" w:after="120"/>
        <w:ind w:left="1134" w:right="1134"/>
        <w:jc w:val="both"/>
        <w:rPr>
          <w:lang w:val="fr-FR"/>
        </w:rPr>
      </w:pPr>
      <w:r>
        <w:rPr>
          <w:lang w:val="fr-FR"/>
        </w:rPr>
        <w:t>5.</w:t>
      </w:r>
      <w:r>
        <w:rPr>
          <w:lang w:val="fr-FR"/>
        </w:rPr>
        <w:tab/>
        <w:t>L’examen de ces documents a été confié à un Groupe de travail qui s’est réuni du 13 au 15 mars sous la présidence de M. A. Bale (Royaume-Uni).</w:t>
      </w:r>
    </w:p>
    <w:p w14:paraId="72875084" w14:textId="77777777" w:rsidR="00CA1042" w:rsidRPr="00C56D6A" w:rsidRDefault="00CA1042" w:rsidP="00CA1042">
      <w:pPr>
        <w:pStyle w:val="H1G"/>
        <w:rPr>
          <w:color w:val="000000" w:themeColor="text1"/>
          <w:sz w:val="20"/>
        </w:rPr>
      </w:pPr>
      <w:r w:rsidRPr="00C56D6A">
        <w:rPr>
          <w:color w:val="000000" w:themeColor="text1"/>
          <w:sz w:val="20"/>
        </w:rPr>
        <w:tab/>
      </w:r>
      <w:r w:rsidRPr="00C56D6A">
        <w:rPr>
          <w:color w:val="000000" w:themeColor="text1"/>
          <w:sz w:val="20"/>
        </w:rPr>
        <w:tab/>
        <w:t xml:space="preserve">Rapport du </w:t>
      </w:r>
      <w:proofErr w:type="spellStart"/>
      <w:r w:rsidRPr="00C56D6A">
        <w:rPr>
          <w:color w:val="000000" w:themeColor="text1"/>
          <w:sz w:val="20"/>
        </w:rPr>
        <w:t>Groupe</w:t>
      </w:r>
      <w:proofErr w:type="spellEnd"/>
      <w:r w:rsidRPr="00C56D6A">
        <w:rPr>
          <w:color w:val="000000" w:themeColor="text1"/>
          <w:sz w:val="20"/>
        </w:rPr>
        <w:t xml:space="preserve"> de travail sur les </w:t>
      </w:r>
      <w:proofErr w:type="spellStart"/>
      <w:r w:rsidRPr="00C56D6A">
        <w:rPr>
          <w:color w:val="000000" w:themeColor="text1"/>
          <w:sz w:val="20"/>
        </w:rPr>
        <w:t>citernes</w:t>
      </w:r>
      <w:proofErr w:type="spellEnd"/>
    </w:p>
    <w:p w14:paraId="4C28BC5B" w14:textId="4C2767D4" w:rsidR="00CA1042" w:rsidRDefault="00CA1042" w:rsidP="00CA1042">
      <w:pPr>
        <w:pStyle w:val="SingleTxtG"/>
        <w:tabs>
          <w:tab w:val="left" w:pos="3100"/>
        </w:tabs>
        <w:spacing w:after="0"/>
        <w:rPr>
          <w:color w:val="000000" w:themeColor="text1"/>
          <w:lang w:val="fr-FR"/>
        </w:rPr>
      </w:pPr>
      <w:r w:rsidRPr="00A01122">
        <w:rPr>
          <w:i/>
          <w:color w:val="000000" w:themeColor="text1"/>
          <w:lang w:val="fr-FR"/>
        </w:rPr>
        <w:t>Document</w:t>
      </w:r>
      <w:r>
        <w:rPr>
          <w:i/>
          <w:color w:val="000000" w:themeColor="text1"/>
          <w:lang w:val="fr-FR"/>
        </w:rPr>
        <w:t>s</w:t>
      </w:r>
      <w:r w:rsidRPr="00A01122">
        <w:rPr>
          <w:i/>
          <w:color w:val="000000" w:themeColor="text1"/>
          <w:lang w:val="fr-FR"/>
        </w:rPr>
        <w:t xml:space="preserve"> informe</w:t>
      </w:r>
      <w:r>
        <w:rPr>
          <w:i/>
          <w:color w:val="000000" w:themeColor="text1"/>
          <w:lang w:val="fr-FR"/>
        </w:rPr>
        <w:t>ls</w:t>
      </w:r>
      <w:r w:rsidRPr="00A01122">
        <w:rPr>
          <w:i/>
          <w:color w:val="000000" w:themeColor="text1"/>
          <w:lang w:val="fr-FR"/>
        </w:rPr>
        <w:t>:</w:t>
      </w:r>
      <w:r>
        <w:rPr>
          <w:color w:val="000000" w:themeColor="text1"/>
          <w:lang w:val="fr-FR"/>
        </w:rPr>
        <w:tab/>
      </w:r>
      <w:r>
        <w:rPr>
          <w:color w:val="000000" w:themeColor="text1"/>
          <w:lang w:val="fr-FR"/>
        </w:rPr>
        <w:tab/>
        <w:t>INF.3</w:t>
      </w:r>
      <w:r w:rsidR="00362D91">
        <w:rPr>
          <w:color w:val="000000" w:themeColor="text1"/>
          <w:lang w:val="fr-FR"/>
        </w:rPr>
        <w:t>4</w:t>
      </w:r>
      <w:r w:rsidRPr="00A01122">
        <w:rPr>
          <w:color w:val="000000" w:themeColor="text1"/>
          <w:lang w:val="fr-FR"/>
        </w:rPr>
        <w:t xml:space="preserve"> (</w:t>
      </w:r>
      <w:r>
        <w:rPr>
          <w:color w:val="000000" w:themeColor="text1"/>
          <w:lang w:val="fr-FR"/>
        </w:rPr>
        <w:t xml:space="preserve">Rapport du </w:t>
      </w:r>
      <w:r w:rsidR="00453BDE">
        <w:rPr>
          <w:color w:val="000000" w:themeColor="text1"/>
          <w:lang w:val="fr-FR"/>
        </w:rPr>
        <w:t>G</w:t>
      </w:r>
      <w:r>
        <w:rPr>
          <w:color w:val="000000" w:themeColor="text1"/>
          <w:lang w:val="fr-FR"/>
        </w:rPr>
        <w:t>roupe</w:t>
      </w:r>
      <w:r w:rsidR="00CC349E">
        <w:rPr>
          <w:color w:val="000000" w:themeColor="text1"/>
          <w:lang w:val="fr-FR"/>
        </w:rPr>
        <w:t xml:space="preserve"> de travail</w:t>
      </w:r>
      <w:r w:rsidRPr="00A01122">
        <w:rPr>
          <w:color w:val="000000" w:themeColor="text1"/>
          <w:lang w:val="fr-FR"/>
        </w:rPr>
        <w:t>)</w:t>
      </w:r>
    </w:p>
    <w:p w14:paraId="51CED82F" w14:textId="77777777" w:rsidR="00CA1042" w:rsidRPr="00C56D6A" w:rsidRDefault="00CA1042" w:rsidP="00CA1042">
      <w:pPr>
        <w:pStyle w:val="SingleTxtG"/>
        <w:tabs>
          <w:tab w:val="left" w:pos="3100"/>
        </w:tabs>
        <w:rPr>
          <w:color w:val="000000" w:themeColor="text1"/>
          <w:lang w:val="fr-FR"/>
        </w:rPr>
      </w:pPr>
      <w:r>
        <w:rPr>
          <w:i/>
          <w:color w:val="000000" w:themeColor="text1"/>
          <w:lang w:val="fr-FR"/>
        </w:rPr>
        <w:tab/>
      </w:r>
      <w:r>
        <w:rPr>
          <w:i/>
          <w:color w:val="000000" w:themeColor="text1"/>
          <w:lang w:val="fr-FR"/>
        </w:rPr>
        <w:tab/>
      </w:r>
      <w:r>
        <w:rPr>
          <w:color w:val="000000" w:themeColor="text1"/>
          <w:lang w:val="fr-FR"/>
        </w:rPr>
        <w:t>INF.35 (Royaume-Uni)</w:t>
      </w:r>
    </w:p>
    <w:p w14:paraId="074856D9" w14:textId="03F1FCD7" w:rsidR="00CA1042" w:rsidRDefault="00CA1042" w:rsidP="00CA1042">
      <w:pPr>
        <w:spacing w:before="120" w:after="120"/>
        <w:ind w:left="1134" w:right="1134"/>
        <w:jc w:val="both"/>
        <w:rPr>
          <w:color w:val="000000" w:themeColor="text1"/>
          <w:lang w:val="fr-FR"/>
        </w:rPr>
      </w:pPr>
      <w:r>
        <w:rPr>
          <w:color w:val="000000" w:themeColor="text1"/>
          <w:lang w:val="fr-FR"/>
        </w:rPr>
        <w:t>6.</w:t>
      </w:r>
      <w:r>
        <w:rPr>
          <w:color w:val="000000" w:themeColor="text1"/>
          <w:lang w:val="fr-FR"/>
        </w:rPr>
        <w:tab/>
        <w:t xml:space="preserve">La Réunion commune a repris à son compte les conclusions et recommandations du Groupe de travail, dont le rapport est reproduit en annexe I sous couvert de l’additif 1 au présent rapport, avec les commentaires ou observations suivantes. Les propositions d’amendements au RID/ADR/ADN adoptées pour </w:t>
      </w:r>
      <w:proofErr w:type="spellStart"/>
      <w:r>
        <w:rPr>
          <w:color w:val="000000" w:themeColor="text1"/>
          <w:lang w:val="fr-FR"/>
        </w:rPr>
        <w:t>entrée</w:t>
      </w:r>
      <w:proofErr w:type="spellEnd"/>
      <w:r>
        <w:rPr>
          <w:color w:val="000000" w:themeColor="text1"/>
          <w:lang w:val="fr-FR"/>
        </w:rPr>
        <w:t xml:space="preserve"> en vigueur le 1</w:t>
      </w:r>
      <w:r w:rsidRPr="00C56D6A">
        <w:rPr>
          <w:color w:val="000000" w:themeColor="text1"/>
          <w:vertAlign w:val="superscript"/>
          <w:lang w:val="fr-FR"/>
        </w:rPr>
        <w:t>er</w:t>
      </w:r>
      <w:r>
        <w:rPr>
          <w:color w:val="000000" w:themeColor="text1"/>
          <w:lang w:val="fr-FR"/>
        </w:rPr>
        <w:t xml:space="preserve"> janvier 2019 sont reproduites en annexe II au présent rapport. Les textes placés entre crochets devront être vérifiés à la prochaine session.</w:t>
      </w:r>
    </w:p>
    <w:p w14:paraId="7D387927" w14:textId="68CE19E0" w:rsidR="00CA1042" w:rsidRDefault="00CA1042" w:rsidP="00CA1042">
      <w:pPr>
        <w:spacing w:before="120" w:after="120"/>
        <w:ind w:left="1134" w:right="1134"/>
        <w:jc w:val="both"/>
        <w:rPr>
          <w:color w:val="000000" w:themeColor="text1"/>
          <w:lang w:val="fr-FR"/>
        </w:rPr>
      </w:pPr>
      <w:r>
        <w:rPr>
          <w:color w:val="000000" w:themeColor="text1"/>
          <w:lang w:val="fr-FR"/>
        </w:rPr>
        <w:t>7.</w:t>
      </w:r>
      <w:r>
        <w:rPr>
          <w:color w:val="000000" w:themeColor="text1"/>
          <w:lang w:val="fr-FR"/>
        </w:rPr>
        <w:tab/>
        <w:t>Pour la proposition No.</w:t>
      </w:r>
      <w:r w:rsidR="007A5E55">
        <w:rPr>
          <w:color w:val="000000" w:themeColor="text1"/>
          <w:lang w:val="fr-FR"/>
        </w:rPr>
        <w:t xml:space="preserve"> </w:t>
      </w:r>
      <w:r>
        <w:rPr>
          <w:color w:val="000000" w:themeColor="text1"/>
          <w:lang w:val="fr-FR"/>
        </w:rPr>
        <w:t>9 au paragraphe 17 du rapport (nouvelle note de bas de page au 6.8.2.1.23), la représentante de la Belgique s’est demandé si l’utilisation de méthodes alternatives ne devrait pas être sujette à l’autorisation de l’autorité compétente. Elle a été invitée à revenir sur la question à la prochaine session si les explications techniques fournies ne lui donnaient pas satisfaction.</w:t>
      </w:r>
    </w:p>
    <w:p w14:paraId="7A8CC174" w14:textId="7933F49B" w:rsidR="00CA1042" w:rsidRDefault="00CA1042" w:rsidP="00CA1042">
      <w:pPr>
        <w:spacing w:before="120" w:after="120"/>
        <w:ind w:left="1134" w:right="1134"/>
        <w:jc w:val="both"/>
        <w:rPr>
          <w:color w:val="000000" w:themeColor="text1"/>
          <w:lang w:val="fr-FR"/>
        </w:rPr>
      </w:pPr>
      <w:r>
        <w:rPr>
          <w:color w:val="000000" w:themeColor="text1"/>
          <w:lang w:val="fr-FR"/>
        </w:rPr>
        <w:lastRenderedPageBreak/>
        <w:t>8.</w:t>
      </w:r>
      <w:r>
        <w:rPr>
          <w:color w:val="000000" w:themeColor="text1"/>
          <w:lang w:val="fr-FR"/>
        </w:rPr>
        <w:tab/>
        <w:t xml:space="preserve">Pour le point 8 (paragraphes 26-29), le représentant de l’ERA a indiqué que </w:t>
      </w:r>
      <w:r w:rsidR="00362D91">
        <w:rPr>
          <w:color w:val="000000" w:themeColor="text1"/>
          <w:lang w:val="fr-FR"/>
        </w:rPr>
        <w:t>l’ERA</w:t>
      </w:r>
      <w:r>
        <w:rPr>
          <w:color w:val="000000" w:themeColor="text1"/>
          <w:lang w:val="fr-FR"/>
        </w:rPr>
        <w:t xml:space="preserve"> participe</w:t>
      </w:r>
      <w:r w:rsidR="00A735C0">
        <w:rPr>
          <w:color w:val="000000" w:themeColor="text1"/>
          <w:lang w:val="fr-FR"/>
        </w:rPr>
        <w:t>rait</w:t>
      </w:r>
      <w:r>
        <w:rPr>
          <w:color w:val="000000" w:themeColor="text1"/>
          <w:lang w:val="fr-FR"/>
        </w:rPr>
        <w:t xml:space="preserve"> aux travaux du groupe de travail informel sur le contrôle et l’agrément des citernes </w:t>
      </w:r>
      <w:r w:rsidR="00437417">
        <w:rPr>
          <w:color w:val="000000" w:themeColor="text1"/>
          <w:lang w:val="fr-FR"/>
        </w:rPr>
        <w:t xml:space="preserve">en raison de la législation relative à l’autorisation de mise sur le marché des véhicules </w:t>
      </w:r>
      <w:proofErr w:type="gramStart"/>
      <w:r w:rsidR="00437417">
        <w:rPr>
          <w:color w:val="000000" w:themeColor="text1"/>
          <w:lang w:val="fr-FR"/>
        </w:rPr>
        <w:t>ferroviaires.</w:t>
      </w:r>
      <w:r>
        <w:rPr>
          <w:color w:val="000000" w:themeColor="text1"/>
          <w:lang w:val="fr-FR"/>
        </w:rPr>
        <w:t>.</w:t>
      </w:r>
      <w:proofErr w:type="gramEnd"/>
    </w:p>
    <w:p w14:paraId="68498616" w14:textId="657A1678" w:rsidR="00CA1042" w:rsidRDefault="00CA1042" w:rsidP="00CA1042">
      <w:pPr>
        <w:spacing w:before="120" w:after="120"/>
        <w:ind w:left="1134" w:right="1134"/>
        <w:jc w:val="both"/>
        <w:rPr>
          <w:color w:val="000000" w:themeColor="text1"/>
          <w:lang w:val="fr-FR"/>
        </w:rPr>
      </w:pPr>
      <w:r>
        <w:rPr>
          <w:color w:val="000000" w:themeColor="text1"/>
          <w:lang w:val="fr-FR"/>
        </w:rPr>
        <w:t>9.</w:t>
      </w:r>
      <w:r>
        <w:rPr>
          <w:color w:val="000000" w:themeColor="text1"/>
          <w:lang w:val="fr-FR"/>
        </w:rPr>
        <w:tab/>
        <w:t xml:space="preserve">Pour le point 9 (opérations de </w:t>
      </w:r>
      <w:r w:rsidR="00437417">
        <w:rPr>
          <w:color w:val="000000" w:themeColor="text1"/>
          <w:lang w:val="fr-FR"/>
        </w:rPr>
        <w:t xml:space="preserve">soudage </w:t>
      </w:r>
      <w:r>
        <w:rPr>
          <w:color w:val="000000" w:themeColor="text1"/>
          <w:lang w:val="fr-FR"/>
        </w:rPr>
        <w:t xml:space="preserve">selon le 6.8.2.1.23), le représentant de l’ERA </w:t>
      </w:r>
      <w:r w:rsidR="00437417">
        <w:rPr>
          <w:color w:val="000000" w:themeColor="text1"/>
          <w:lang w:val="fr-FR"/>
        </w:rPr>
        <w:t xml:space="preserve">a </w:t>
      </w:r>
      <w:r>
        <w:rPr>
          <w:color w:val="000000" w:themeColor="text1"/>
          <w:lang w:val="fr-FR"/>
        </w:rPr>
        <w:t xml:space="preserve">demandé </w:t>
      </w:r>
      <w:r w:rsidR="00437417">
        <w:rPr>
          <w:color w:val="000000" w:themeColor="text1"/>
          <w:lang w:val="fr-FR"/>
        </w:rPr>
        <w:t>si</w:t>
      </w:r>
      <w:r>
        <w:rPr>
          <w:color w:val="000000" w:themeColor="text1"/>
          <w:lang w:val="fr-FR"/>
        </w:rPr>
        <w:t xml:space="preserve"> la proposition de l’UIP </w:t>
      </w:r>
      <w:r w:rsidR="00437417">
        <w:rPr>
          <w:color w:val="000000" w:themeColor="text1"/>
          <w:lang w:val="fr-FR"/>
        </w:rPr>
        <w:t>affecterait</w:t>
      </w:r>
      <w:r>
        <w:rPr>
          <w:color w:val="000000" w:themeColor="text1"/>
          <w:lang w:val="fr-FR"/>
        </w:rPr>
        <w:t xml:space="preserve"> les ateliers de </w:t>
      </w:r>
      <w:r w:rsidR="00437417">
        <w:rPr>
          <w:color w:val="000000" w:themeColor="text1"/>
          <w:lang w:val="fr-FR"/>
        </w:rPr>
        <w:t>maintenance. L’ERA a</w:t>
      </w:r>
      <w:r>
        <w:rPr>
          <w:color w:val="000000" w:themeColor="text1"/>
          <w:lang w:val="fr-FR"/>
        </w:rPr>
        <w:t xml:space="preserve"> été prié</w:t>
      </w:r>
      <w:r w:rsidR="00437417">
        <w:rPr>
          <w:color w:val="000000" w:themeColor="text1"/>
          <w:lang w:val="fr-FR"/>
        </w:rPr>
        <w:t>e</w:t>
      </w:r>
      <w:r>
        <w:rPr>
          <w:color w:val="000000" w:themeColor="text1"/>
          <w:lang w:val="fr-FR"/>
        </w:rPr>
        <w:t xml:space="preserve"> de consulter l’UIP afin que ses préoccupations, </w:t>
      </w:r>
      <w:r w:rsidR="00437417">
        <w:rPr>
          <w:color w:val="000000" w:themeColor="text1"/>
          <w:lang w:val="fr-FR"/>
        </w:rPr>
        <w:t xml:space="preserve">si elle </w:t>
      </w:r>
      <w:r>
        <w:rPr>
          <w:color w:val="000000" w:themeColor="text1"/>
          <w:lang w:val="fr-FR"/>
        </w:rPr>
        <w:t>en a, soient prises en compte lors de l’élaboration de la proposition.</w:t>
      </w:r>
    </w:p>
    <w:p w14:paraId="67A9D87A" w14:textId="52592CF5" w:rsidR="00CA1042" w:rsidRDefault="00437417" w:rsidP="00CA1042">
      <w:pPr>
        <w:spacing w:before="120" w:after="120"/>
        <w:ind w:left="1134" w:right="1134"/>
        <w:jc w:val="both"/>
        <w:rPr>
          <w:color w:val="000000" w:themeColor="text1"/>
          <w:lang w:val="fr-FR"/>
        </w:rPr>
      </w:pPr>
      <w:r>
        <w:rPr>
          <w:color w:val="000000" w:themeColor="text1"/>
          <w:lang w:val="fr-FR"/>
        </w:rPr>
        <w:t>10</w:t>
      </w:r>
      <w:r w:rsidR="00CA1042">
        <w:rPr>
          <w:color w:val="000000" w:themeColor="text1"/>
          <w:lang w:val="fr-FR"/>
        </w:rPr>
        <w:t>.</w:t>
      </w:r>
      <w:r w:rsidR="00CA1042">
        <w:rPr>
          <w:color w:val="000000" w:themeColor="text1"/>
          <w:lang w:val="fr-FR"/>
        </w:rPr>
        <w:tab/>
        <w:t xml:space="preserve">Pour le point 10 (Identification de l’Etat sur le territoire duquel l’agrément de type de la citerne fixe (véhicule-citerne), la citerne démontable ou le véhicule batterie a été délivré), </w:t>
      </w:r>
      <w:r>
        <w:rPr>
          <w:color w:val="000000" w:themeColor="text1"/>
          <w:lang w:val="fr-FR"/>
        </w:rPr>
        <w:t xml:space="preserve">le texte et </w:t>
      </w:r>
      <w:r w:rsidR="00CA1042">
        <w:rPr>
          <w:color w:val="000000" w:themeColor="text1"/>
          <w:lang w:val="fr-FR"/>
        </w:rPr>
        <w:t xml:space="preserve">la </w:t>
      </w:r>
      <w:r w:rsidR="00A735C0">
        <w:rPr>
          <w:color w:val="000000" w:themeColor="text1"/>
          <w:lang w:val="fr-FR"/>
        </w:rPr>
        <w:t>disposition transitoire proposé</w:t>
      </w:r>
      <w:r w:rsidR="0082186B">
        <w:rPr>
          <w:color w:val="000000" w:themeColor="text1"/>
          <w:lang w:val="fr-FR"/>
        </w:rPr>
        <w:t>e</w:t>
      </w:r>
      <w:r w:rsidR="00CA1042">
        <w:rPr>
          <w:color w:val="000000" w:themeColor="text1"/>
          <w:lang w:val="fr-FR"/>
        </w:rPr>
        <w:t xml:space="preserve"> par le Royaume-Uni dans le document informel INF.35 </w:t>
      </w:r>
      <w:r>
        <w:rPr>
          <w:color w:val="000000" w:themeColor="text1"/>
          <w:lang w:val="fr-FR"/>
        </w:rPr>
        <w:t xml:space="preserve">ont </w:t>
      </w:r>
      <w:r w:rsidR="00CA1042">
        <w:rPr>
          <w:color w:val="000000" w:themeColor="text1"/>
          <w:lang w:val="fr-FR"/>
        </w:rPr>
        <w:t xml:space="preserve">été </w:t>
      </w:r>
      <w:r>
        <w:rPr>
          <w:color w:val="000000" w:themeColor="text1"/>
          <w:lang w:val="fr-FR"/>
        </w:rPr>
        <w:t xml:space="preserve">adoptés </w:t>
      </w:r>
      <w:r w:rsidR="00CA1042">
        <w:rPr>
          <w:color w:val="000000" w:themeColor="text1"/>
          <w:lang w:val="fr-FR"/>
        </w:rPr>
        <w:t>entre crochets.</w:t>
      </w:r>
    </w:p>
    <w:p w14:paraId="79E29C08" w14:textId="77777777" w:rsidR="00CA1042" w:rsidRPr="00EE1A7A" w:rsidRDefault="00CA1042" w:rsidP="00CA1042">
      <w:pPr>
        <w:pStyle w:val="HChG"/>
      </w:pPr>
      <w:r w:rsidRPr="00EE1A7A">
        <w:tab/>
      </w:r>
      <w:r>
        <w:t>IV.</w:t>
      </w:r>
      <w:r>
        <w:tab/>
      </w:r>
      <w:proofErr w:type="spellStart"/>
      <w:r w:rsidRPr="00EE1A7A">
        <w:t>Normes</w:t>
      </w:r>
      <w:proofErr w:type="spellEnd"/>
      <w:r w:rsidRPr="00EE1A7A">
        <w:t xml:space="preserve"> (point 3 de </w:t>
      </w:r>
      <w:proofErr w:type="spellStart"/>
      <w:r w:rsidRPr="00EE1A7A">
        <w:t>l’ordre</w:t>
      </w:r>
      <w:proofErr w:type="spellEnd"/>
      <w:r w:rsidRPr="00EE1A7A">
        <w:t xml:space="preserve"> du jour)</w:t>
      </w:r>
    </w:p>
    <w:p w14:paraId="0588C556" w14:textId="5D2C8964" w:rsidR="00CA1042" w:rsidRPr="0038617C" w:rsidRDefault="00CA1042" w:rsidP="00CA1042">
      <w:pPr>
        <w:spacing w:before="120" w:after="120"/>
        <w:ind w:left="3402" w:right="1134" w:hanging="2268"/>
        <w:jc w:val="both"/>
        <w:rPr>
          <w:szCs w:val="24"/>
        </w:rPr>
      </w:pPr>
      <w:r w:rsidRPr="000F00F3">
        <w:rPr>
          <w:i/>
          <w:szCs w:val="24"/>
        </w:rPr>
        <w:t>Document</w:t>
      </w:r>
      <w:r w:rsidRPr="0025108D">
        <w:rPr>
          <w:i/>
          <w:szCs w:val="24"/>
        </w:rPr>
        <w:t>:</w:t>
      </w:r>
      <w:r>
        <w:rPr>
          <w:szCs w:val="24"/>
        </w:rPr>
        <w:t xml:space="preserve"> </w:t>
      </w:r>
      <w:r>
        <w:rPr>
          <w:szCs w:val="24"/>
        </w:rPr>
        <w:tab/>
        <w:t>ECE/TRANS/WP.15/AC.1/2017/12 (CEN) (Information sur les travaux en cours au CEN)</w:t>
      </w:r>
      <w:r>
        <w:rPr>
          <w:szCs w:val="24"/>
        </w:rPr>
        <w:tab/>
      </w:r>
      <w:r>
        <w:rPr>
          <w:i/>
          <w:szCs w:val="24"/>
        </w:rPr>
        <w:t xml:space="preserve"> </w:t>
      </w:r>
    </w:p>
    <w:p w14:paraId="6B073368" w14:textId="77777777" w:rsidR="00CA1042" w:rsidRDefault="00CA1042" w:rsidP="00CA1042">
      <w:pPr>
        <w:ind w:left="1134" w:right="1134"/>
        <w:jc w:val="both"/>
        <w:rPr>
          <w:szCs w:val="24"/>
        </w:rPr>
      </w:pPr>
      <w:r w:rsidRPr="000F00F3">
        <w:rPr>
          <w:i/>
          <w:szCs w:val="24"/>
        </w:rPr>
        <w:t>Document</w:t>
      </w:r>
      <w:r>
        <w:rPr>
          <w:i/>
          <w:szCs w:val="24"/>
        </w:rPr>
        <w:t>s informels</w:t>
      </w:r>
      <w:r w:rsidRPr="0025108D">
        <w:rPr>
          <w:i/>
          <w:szCs w:val="24"/>
        </w:rPr>
        <w:t>:</w:t>
      </w:r>
      <w:r>
        <w:rPr>
          <w:szCs w:val="24"/>
        </w:rPr>
        <w:t xml:space="preserve"> </w:t>
      </w:r>
      <w:r>
        <w:rPr>
          <w:szCs w:val="24"/>
        </w:rPr>
        <w:tab/>
        <w:t>INF.18 (CEN) (Information sur les travaux en cours au CEN)</w:t>
      </w:r>
    </w:p>
    <w:p w14:paraId="0E4BFB58" w14:textId="043CF58D" w:rsidR="00CA1042" w:rsidRDefault="00CA1042" w:rsidP="00CA1042">
      <w:pPr>
        <w:ind w:left="2835" w:right="1134" w:firstLine="567"/>
        <w:jc w:val="both"/>
        <w:rPr>
          <w:szCs w:val="24"/>
        </w:rPr>
      </w:pPr>
      <w:r>
        <w:rPr>
          <w:szCs w:val="24"/>
        </w:rPr>
        <w:t>INF.28 (Allemagne) (Norme EN 1626:1999)</w:t>
      </w:r>
    </w:p>
    <w:p w14:paraId="13F61B70" w14:textId="109FB10D" w:rsidR="00CA1042" w:rsidRDefault="007D704D" w:rsidP="00CA1042">
      <w:pPr>
        <w:spacing w:before="120" w:after="120"/>
        <w:ind w:left="1134" w:right="1134"/>
        <w:jc w:val="both"/>
        <w:rPr>
          <w:szCs w:val="24"/>
        </w:rPr>
      </w:pPr>
      <w:r>
        <w:rPr>
          <w:szCs w:val="24"/>
        </w:rPr>
        <w:t>11</w:t>
      </w:r>
      <w:r w:rsidR="00CA1042">
        <w:rPr>
          <w:szCs w:val="24"/>
        </w:rPr>
        <w:t>.</w:t>
      </w:r>
      <w:r w:rsidR="00CA1042">
        <w:rPr>
          <w:szCs w:val="24"/>
        </w:rPr>
        <w:tab/>
        <w:t>L’examen de ces documents a été confié au Groupe de travail sur les normes qui s’est réuni pendant les pauses déjeuner.</w:t>
      </w:r>
    </w:p>
    <w:p w14:paraId="5BB6D543" w14:textId="77777777" w:rsidR="007D704D" w:rsidRPr="00732341" w:rsidRDefault="007D704D" w:rsidP="00732341">
      <w:pPr>
        <w:spacing w:before="120" w:after="120"/>
        <w:ind w:left="567" w:firstLine="567"/>
      </w:pPr>
      <w:r w:rsidRPr="00732341">
        <w:rPr>
          <w:b/>
          <w:color w:val="000000" w:themeColor="text1"/>
        </w:rPr>
        <w:t>Rapport du Groupe de travail sur les normes</w:t>
      </w:r>
    </w:p>
    <w:p w14:paraId="10204029" w14:textId="09DBE5CB" w:rsidR="00CA1042" w:rsidRDefault="00CA1042" w:rsidP="00CA1042">
      <w:pPr>
        <w:pStyle w:val="SingleTxtG"/>
        <w:tabs>
          <w:tab w:val="left" w:pos="3100"/>
        </w:tabs>
        <w:rPr>
          <w:color w:val="000000" w:themeColor="text1"/>
          <w:lang w:val="fr-FR"/>
        </w:rPr>
      </w:pPr>
      <w:r w:rsidRPr="00A01122">
        <w:rPr>
          <w:i/>
          <w:color w:val="000000" w:themeColor="text1"/>
          <w:lang w:val="fr-FR"/>
        </w:rPr>
        <w:t>Document informel:</w:t>
      </w:r>
      <w:r>
        <w:rPr>
          <w:color w:val="000000" w:themeColor="text1"/>
          <w:lang w:val="fr-FR"/>
        </w:rPr>
        <w:tab/>
      </w:r>
      <w:r>
        <w:rPr>
          <w:color w:val="000000" w:themeColor="text1"/>
          <w:lang w:val="fr-FR"/>
        </w:rPr>
        <w:tab/>
        <w:t>INF.30</w:t>
      </w:r>
      <w:r w:rsidRPr="00A01122">
        <w:rPr>
          <w:color w:val="000000" w:themeColor="text1"/>
          <w:lang w:val="fr-FR"/>
        </w:rPr>
        <w:t xml:space="preserve"> (</w:t>
      </w:r>
      <w:r w:rsidR="007D704D">
        <w:rPr>
          <w:color w:val="000000" w:themeColor="text1"/>
          <w:lang w:val="fr-FR"/>
        </w:rPr>
        <w:t xml:space="preserve">Rapport </w:t>
      </w:r>
      <w:r>
        <w:rPr>
          <w:color w:val="000000" w:themeColor="text1"/>
          <w:lang w:val="fr-FR"/>
        </w:rPr>
        <w:t>du Groupe de travail sur les normes</w:t>
      </w:r>
      <w:r w:rsidRPr="00A01122">
        <w:rPr>
          <w:color w:val="000000" w:themeColor="text1"/>
          <w:lang w:val="fr-FR"/>
        </w:rPr>
        <w:t>)</w:t>
      </w:r>
    </w:p>
    <w:p w14:paraId="404A300C" w14:textId="4F6ADF64" w:rsidR="00CA1042" w:rsidRDefault="007D704D" w:rsidP="00CA1042">
      <w:pPr>
        <w:pStyle w:val="SingleTxtG"/>
        <w:rPr>
          <w:color w:val="000000" w:themeColor="text1"/>
          <w:lang w:val="fr-FR"/>
        </w:rPr>
      </w:pPr>
      <w:r>
        <w:rPr>
          <w:color w:val="000000" w:themeColor="text1"/>
          <w:lang w:val="fr-FR"/>
        </w:rPr>
        <w:t>12</w:t>
      </w:r>
      <w:r w:rsidR="00CA1042">
        <w:rPr>
          <w:color w:val="000000" w:themeColor="text1"/>
          <w:lang w:val="fr-FR"/>
        </w:rPr>
        <w:t>.</w:t>
      </w:r>
      <w:r w:rsidR="00CA1042">
        <w:rPr>
          <w:color w:val="000000" w:themeColor="text1"/>
          <w:lang w:val="fr-FR"/>
        </w:rPr>
        <w:tab/>
        <w:t>La Réunion commune a pris note des conclusions du Groupe de travail et a adopté ses propositions avec quelques modifications (voir annexe </w:t>
      </w:r>
      <w:r>
        <w:rPr>
          <w:color w:val="000000" w:themeColor="text1"/>
          <w:lang w:val="fr-FR"/>
        </w:rPr>
        <w:t>II</w:t>
      </w:r>
      <w:r w:rsidR="00CA1042">
        <w:rPr>
          <w:color w:val="000000" w:themeColor="text1"/>
          <w:lang w:val="fr-FR"/>
        </w:rPr>
        <w:t>).</w:t>
      </w:r>
    </w:p>
    <w:p w14:paraId="79221D50" w14:textId="5208D0B3" w:rsidR="00CA1042" w:rsidRDefault="007D704D" w:rsidP="00CA1042">
      <w:pPr>
        <w:pStyle w:val="SingleTxtG"/>
        <w:rPr>
          <w:color w:val="000000" w:themeColor="text1"/>
          <w:lang w:val="fr-FR"/>
        </w:rPr>
      </w:pPr>
      <w:r>
        <w:rPr>
          <w:color w:val="000000" w:themeColor="text1"/>
          <w:lang w:val="fr-FR"/>
        </w:rPr>
        <w:t>13</w:t>
      </w:r>
      <w:r w:rsidR="00CA1042">
        <w:rPr>
          <w:color w:val="000000" w:themeColor="text1"/>
          <w:lang w:val="fr-FR"/>
        </w:rPr>
        <w:t>.</w:t>
      </w:r>
      <w:r w:rsidR="00CA1042">
        <w:rPr>
          <w:color w:val="000000" w:themeColor="text1"/>
          <w:lang w:val="fr-FR"/>
        </w:rPr>
        <w:tab/>
        <w:t>Il a été noté que la norme ISO 2719 référencée aux 2.3.3.1.1 et 2.3.3.1.2 pour la détermination du point d’éclair n’est pas datée mais que la dernière version publiée est ISO 2719:2016.</w:t>
      </w:r>
    </w:p>
    <w:p w14:paraId="2CCB87EA" w14:textId="373B46E8" w:rsidR="00CA1042" w:rsidRDefault="007D704D" w:rsidP="00CA1042">
      <w:pPr>
        <w:pStyle w:val="SingleTxtG"/>
        <w:rPr>
          <w:color w:val="000000" w:themeColor="text1"/>
          <w:lang w:val="fr-FR"/>
        </w:rPr>
      </w:pPr>
      <w:r>
        <w:rPr>
          <w:color w:val="000000" w:themeColor="text1"/>
          <w:lang w:val="fr-FR"/>
        </w:rPr>
        <w:t>14</w:t>
      </w:r>
      <w:r w:rsidR="00CA1042">
        <w:rPr>
          <w:color w:val="000000" w:themeColor="text1"/>
          <w:lang w:val="fr-FR"/>
        </w:rPr>
        <w:t>.</w:t>
      </w:r>
      <w:r w:rsidR="00CA1042">
        <w:rPr>
          <w:color w:val="000000" w:themeColor="text1"/>
          <w:lang w:val="fr-FR"/>
        </w:rPr>
        <w:tab/>
        <w:t>La Réunion commune a également noté que l’amendement à la norme référencée en regard du paragraphe 4.1.6.8 dans le tableau du 6.2.4.1 est important car il corrige une erreur et a donc recommandé aux autorités compétentes d’accepter sa mise en œuvre anticipée conformément au 6.2.5.</w:t>
      </w:r>
    </w:p>
    <w:p w14:paraId="1729ED9C" w14:textId="77777777" w:rsidR="00CA1042" w:rsidRPr="00EF2407" w:rsidRDefault="00CA1042" w:rsidP="00CA1042">
      <w:pPr>
        <w:pStyle w:val="HChG"/>
      </w:pPr>
      <w:r>
        <w:tab/>
        <w:t>V.</w:t>
      </w:r>
      <w:r>
        <w:tab/>
      </w:r>
      <w:proofErr w:type="spellStart"/>
      <w:r w:rsidRPr="00EF2407">
        <w:t>Interprétation</w:t>
      </w:r>
      <w:proofErr w:type="spellEnd"/>
      <w:r w:rsidRPr="00EF2407">
        <w:t xml:space="preserve"> du RID/ADR/ADN (point 4 de </w:t>
      </w:r>
      <w:proofErr w:type="spellStart"/>
      <w:r w:rsidRPr="00EF2407">
        <w:t>l’ordre</w:t>
      </w:r>
      <w:proofErr w:type="spellEnd"/>
      <w:r w:rsidRPr="00EF2407">
        <w:t xml:space="preserve"> du jour)</w:t>
      </w:r>
    </w:p>
    <w:p w14:paraId="3E8D25BB" w14:textId="77777777" w:rsidR="00CA1042" w:rsidRDefault="00CA1042" w:rsidP="00CA1042">
      <w:pPr>
        <w:pStyle w:val="H1G"/>
      </w:pPr>
      <w:r>
        <w:rPr>
          <w:szCs w:val="24"/>
        </w:rPr>
        <w:t>.</w:t>
      </w:r>
      <w:r w:rsidRPr="00885FB1">
        <w:t xml:space="preserve"> </w:t>
      </w:r>
      <w:r>
        <w:tab/>
        <w:t>A.</w:t>
      </w:r>
      <w:r>
        <w:tab/>
      </w:r>
      <w:proofErr w:type="spellStart"/>
      <w:r>
        <w:t>Interprétation</w:t>
      </w:r>
      <w:proofErr w:type="spellEnd"/>
      <w:r>
        <w:t xml:space="preserve"> du </w:t>
      </w:r>
      <w:proofErr w:type="spellStart"/>
      <w:r>
        <w:t>marquage</w:t>
      </w:r>
      <w:proofErr w:type="spellEnd"/>
      <w:r>
        <w:t xml:space="preserve"> des cadres de </w:t>
      </w:r>
      <w:proofErr w:type="spellStart"/>
      <w:r>
        <w:t>bouteille</w:t>
      </w:r>
      <w:proofErr w:type="spellEnd"/>
    </w:p>
    <w:p w14:paraId="47ED4948" w14:textId="77777777" w:rsidR="00CA1042" w:rsidRDefault="00CA1042" w:rsidP="00CA1042">
      <w:pPr>
        <w:pStyle w:val="SingleTxtG"/>
        <w:tabs>
          <w:tab w:val="left" w:pos="3100"/>
        </w:tabs>
        <w:rPr>
          <w:lang w:val="fr-FR"/>
        </w:rPr>
      </w:pPr>
      <w:r w:rsidRPr="00EA4A82">
        <w:rPr>
          <w:i/>
          <w:lang w:val="fr-FR"/>
        </w:rPr>
        <w:t>Document</w:t>
      </w:r>
      <w:r w:rsidRPr="00E30AEE">
        <w:rPr>
          <w:i/>
          <w:lang w:val="fr-FR"/>
        </w:rPr>
        <w:t>:</w:t>
      </w:r>
      <w:r>
        <w:rPr>
          <w:lang w:val="fr-FR"/>
        </w:rPr>
        <w:tab/>
      </w:r>
      <w:r>
        <w:rPr>
          <w:lang w:val="fr-FR"/>
        </w:rPr>
        <w:tab/>
        <w:t>ECE/TRANS/WP.15/AC.1/2017/15 (EIGA)</w:t>
      </w:r>
    </w:p>
    <w:p w14:paraId="75211A88" w14:textId="781C10FD" w:rsidR="00CA1042" w:rsidRDefault="007D704D" w:rsidP="00CA1042">
      <w:pPr>
        <w:spacing w:before="120" w:after="120"/>
        <w:ind w:left="1134" w:right="1134"/>
        <w:jc w:val="both"/>
        <w:rPr>
          <w:lang w:val="fr-FR"/>
        </w:rPr>
      </w:pPr>
      <w:r>
        <w:rPr>
          <w:lang w:val="fr-FR"/>
        </w:rPr>
        <w:t>15</w:t>
      </w:r>
      <w:r w:rsidR="00CA1042">
        <w:rPr>
          <w:lang w:val="fr-FR"/>
        </w:rPr>
        <w:t>.</w:t>
      </w:r>
      <w:r w:rsidR="00CA1042">
        <w:rPr>
          <w:lang w:val="fr-FR"/>
        </w:rPr>
        <w:tab/>
        <w:t>La Réunion commune a confirmé l’interprétation de l’EIGA que la norme technique à indiquer sur le cadre de bouteilles au moment des contrôles et essais périodiques est la norme technique initiale employée au fins de conception, de fabrication et d’essai.</w:t>
      </w:r>
    </w:p>
    <w:p w14:paraId="1203C946" w14:textId="0E393D2B" w:rsidR="00CA1042" w:rsidRPr="00720D1E" w:rsidRDefault="007D704D" w:rsidP="00CA1042">
      <w:pPr>
        <w:spacing w:before="120" w:after="120"/>
        <w:ind w:left="1134" w:right="1134"/>
        <w:jc w:val="both"/>
        <w:rPr>
          <w:lang w:val="fr-FR"/>
        </w:rPr>
      </w:pPr>
      <w:r>
        <w:rPr>
          <w:lang w:val="fr-FR"/>
        </w:rPr>
        <w:t>16</w:t>
      </w:r>
      <w:r w:rsidR="00CA1042">
        <w:rPr>
          <w:lang w:val="fr-FR"/>
        </w:rPr>
        <w:t>.</w:t>
      </w:r>
      <w:r w:rsidR="00CA1042">
        <w:rPr>
          <w:lang w:val="fr-FR"/>
        </w:rPr>
        <w:tab/>
        <w:t xml:space="preserve">Au cours de la discussion, la représentante de la Finlande a demandé si la référence à la norme </w:t>
      </w:r>
      <w:r>
        <w:rPr>
          <w:lang w:val="fr-FR"/>
        </w:rPr>
        <w:t xml:space="preserve">EN </w:t>
      </w:r>
      <w:r w:rsidR="00CA1042">
        <w:rPr>
          <w:lang w:val="fr-FR"/>
        </w:rPr>
        <w:t xml:space="preserve">12755 à l’instruction d’emballage P200 était toujours d’actualité, car cette norme lui semblait avoir été remplacée par la norme EN </w:t>
      </w:r>
      <w:r>
        <w:rPr>
          <w:lang w:val="fr-FR"/>
        </w:rPr>
        <w:t>ISO</w:t>
      </w:r>
      <w:r w:rsidR="007A5E55">
        <w:rPr>
          <w:lang w:val="fr-FR"/>
        </w:rPr>
        <w:t xml:space="preserve"> </w:t>
      </w:r>
      <w:r w:rsidR="00CA1042">
        <w:rPr>
          <w:lang w:val="fr-FR"/>
        </w:rPr>
        <w:t>13088. Le Groupe de travail sur les normes a été invité à vérifier cette question.</w:t>
      </w:r>
    </w:p>
    <w:p w14:paraId="364D2B44" w14:textId="77777777" w:rsidR="00CA1042" w:rsidRDefault="00CA1042" w:rsidP="00CA1042">
      <w:pPr>
        <w:pStyle w:val="H1G"/>
      </w:pPr>
      <w:r>
        <w:lastRenderedPageBreak/>
        <w:tab/>
        <w:t>B.</w:t>
      </w:r>
      <w:r>
        <w:tab/>
        <w:t xml:space="preserve">Implication du 1.8.1 pour les </w:t>
      </w:r>
      <w:proofErr w:type="spellStart"/>
      <w:r>
        <w:t>autorités</w:t>
      </w:r>
      <w:proofErr w:type="spellEnd"/>
      <w:r>
        <w:t xml:space="preserve"> </w:t>
      </w:r>
      <w:proofErr w:type="spellStart"/>
      <w:r>
        <w:t>compétentes</w:t>
      </w:r>
      <w:proofErr w:type="spellEnd"/>
    </w:p>
    <w:p w14:paraId="4981A951" w14:textId="77777777" w:rsidR="00CA1042" w:rsidRDefault="00CA1042" w:rsidP="00CA1042">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r>
      <w:r>
        <w:rPr>
          <w:lang w:val="fr-FR"/>
        </w:rPr>
        <w:tab/>
        <w:t>INF.26 (France)</w:t>
      </w:r>
    </w:p>
    <w:p w14:paraId="0E496B8F" w14:textId="1097C609" w:rsidR="00CA1042" w:rsidRDefault="007D704D" w:rsidP="00CA1042">
      <w:pPr>
        <w:spacing w:before="120" w:after="120"/>
        <w:ind w:left="1134" w:right="1134"/>
        <w:jc w:val="both"/>
        <w:rPr>
          <w:lang w:val="fr-FR"/>
        </w:rPr>
      </w:pPr>
      <w:r>
        <w:rPr>
          <w:lang w:val="fr-FR"/>
        </w:rPr>
        <w:t>17</w:t>
      </w:r>
      <w:r w:rsidR="00CA1042">
        <w:rPr>
          <w:lang w:val="fr-FR"/>
        </w:rPr>
        <w:t>.</w:t>
      </w:r>
      <w:r w:rsidR="00CA1042">
        <w:rPr>
          <w:lang w:val="fr-FR"/>
        </w:rPr>
        <w:tab/>
        <w:t>Ce document attirait l’attention sur la contradiction entre la section 1.8.1 qui indique que les autorités compétentes des Parties contractantes peuvent procéder à des contrôles administratifs sur leur territoire, et le droit national qui, dans certains pays, ne permet pas aux autorités compétentes de contrôler les chargements ou de procéder à des contrôles dans les entreprises. La question se posait dès lors si une Partie contractante pouvait s’opposer à l’entrée sur son territoire d’un véhicule provenant d’une autre Partie contractante qui n’a pas la possibilité juridique en droit national d’effectuer des contrôles.</w:t>
      </w:r>
    </w:p>
    <w:p w14:paraId="31B00C57" w14:textId="2994FE91" w:rsidR="00CA1042" w:rsidRDefault="007D704D" w:rsidP="00CA1042">
      <w:pPr>
        <w:spacing w:before="120" w:after="120"/>
        <w:ind w:left="1134" w:right="1134"/>
        <w:jc w:val="both"/>
        <w:rPr>
          <w:lang w:val="fr-FR"/>
        </w:rPr>
      </w:pPr>
      <w:r>
        <w:rPr>
          <w:lang w:val="fr-FR"/>
        </w:rPr>
        <w:t>18</w:t>
      </w:r>
      <w:r w:rsidR="00CA1042">
        <w:rPr>
          <w:lang w:val="fr-FR"/>
        </w:rPr>
        <w:t>.</w:t>
      </w:r>
      <w:r w:rsidR="00CA1042">
        <w:rPr>
          <w:lang w:val="fr-FR"/>
        </w:rPr>
        <w:tab/>
        <w:t xml:space="preserve">Il a été fait remarquer que dans l’ADN, les contrôles du 1.8.1 sont obligatoires et répondent à une base juridique de l’article 4, paragraphe 3, qui n’existe pas dans le RID ni l’ADR. Certaines délégations se demandèrent donc s’il serait possible de rendre ces contrôles obligatoires dans le cadre du RID et de l’ADR, comme c’est d’ailleurs le cas pour les pays de l’Union européenne. Interrogé à ce sujet, un membre du secrétariat de la CEE-ONU a indiqué que, selon lui, les Parties contractantes à l’ADR ont déjà pris l’habitude et donc accepté d’introduire dans les annexes A et B de l’ADR, notamment dans le chapitre 1.8, des dispositions qui ne relèvent pas strictement des conditions à respecter pour que des transports internationaux de marchandises dangereuses soient autorisés selon l’article 2, paragraphe 2 de l’ADR. Les dispositions en question, telles que celles relatives aux contrôles, rapports d’accidents, conseillers à la sécurité, entraide, </w:t>
      </w:r>
      <w:proofErr w:type="spellStart"/>
      <w:r w:rsidR="00CA1042">
        <w:rPr>
          <w:lang w:val="fr-FR"/>
        </w:rPr>
        <w:t>etc</w:t>
      </w:r>
      <w:proofErr w:type="spellEnd"/>
      <w:r w:rsidR="00CA1042">
        <w:rPr>
          <w:lang w:val="fr-FR"/>
        </w:rPr>
        <w:t xml:space="preserve"> semblent correspondre davantage à un consentement des Parties contractantes à la mise en œuvre de mesures pratiques et harmonisées au niveau national pour assurer l’observation des prescriptions de sécurité et de sûreté et renforcer la confiance réciproque entre les Parties contractantes à cet égard.</w:t>
      </w:r>
    </w:p>
    <w:p w14:paraId="49D632B5" w14:textId="40748843" w:rsidR="00CA1042" w:rsidRDefault="007D704D" w:rsidP="00CA1042">
      <w:pPr>
        <w:spacing w:before="120" w:after="120"/>
        <w:ind w:left="1134" w:right="1134"/>
        <w:jc w:val="both"/>
        <w:rPr>
          <w:lang w:val="fr-FR"/>
        </w:rPr>
      </w:pPr>
      <w:r>
        <w:rPr>
          <w:lang w:val="fr-FR"/>
        </w:rPr>
        <w:t>19</w:t>
      </w:r>
      <w:r w:rsidR="00CA1042">
        <w:rPr>
          <w:lang w:val="fr-FR"/>
        </w:rPr>
        <w:t>.</w:t>
      </w:r>
      <w:r w:rsidR="00CA1042">
        <w:rPr>
          <w:lang w:val="fr-FR"/>
        </w:rPr>
        <w:tab/>
        <w:t>Plusieurs délégation</w:t>
      </w:r>
      <w:r>
        <w:rPr>
          <w:lang w:val="fr-FR"/>
        </w:rPr>
        <w:t>s</w:t>
      </w:r>
      <w:r w:rsidR="00CA1042">
        <w:rPr>
          <w:lang w:val="fr-FR"/>
        </w:rPr>
        <w:t xml:space="preserve"> ont indiqué que les contrôles étaient un moyen essentiel de garantir la sécurité et qu’elles s’attendaient à ce que toutes les Parties contractantes aient pris des mesures pour </w:t>
      </w:r>
      <w:r>
        <w:rPr>
          <w:lang w:val="fr-FR"/>
        </w:rPr>
        <w:t xml:space="preserve">désigner </w:t>
      </w:r>
      <w:r w:rsidR="00CA1042">
        <w:rPr>
          <w:lang w:val="fr-FR"/>
        </w:rPr>
        <w:t>des organes de contrôle et à ce que leur droit national permette à ces organes d’agir conformément aux dispositions pertinentes du RID et de l’ADR.</w:t>
      </w:r>
    </w:p>
    <w:p w14:paraId="39642012" w14:textId="132E3685" w:rsidR="00CA1042" w:rsidRPr="00720D1E" w:rsidRDefault="007D704D" w:rsidP="00CA1042">
      <w:pPr>
        <w:spacing w:before="120" w:after="120"/>
        <w:ind w:left="1134" w:right="1134"/>
        <w:jc w:val="both"/>
        <w:rPr>
          <w:lang w:val="fr-FR"/>
        </w:rPr>
      </w:pPr>
      <w:r>
        <w:rPr>
          <w:lang w:val="fr-FR"/>
        </w:rPr>
        <w:t>20</w:t>
      </w:r>
      <w:r w:rsidR="00CA1042">
        <w:rPr>
          <w:lang w:val="fr-FR"/>
        </w:rPr>
        <w:t>.</w:t>
      </w:r>
      <w:r w:rsidR="00CA1042">
        <w:rPr>
          <w:lang w:val="fr-FR"/>
        </w:rPr>
        <w:tab/>
        <w:t>La Réunion commune reviendra éventuellement sur la question à la prochaine session</w:t>
      </w:r>
      <w:r>
        <w:rPr>
          <w:lang w:val="fr-FR"/>
        </w:rPr>
        <w:t xml:space="preserve"> sur la base de propositions que p</w:t>
      </w:r>
      <w:r w:rsidR="00A735C0">
        <w:rPr>
          <w:lang w:val="fr-FR"/>
        </w:rPr>
        <w:t>lusieurs délégations se sont proposé</w:t>
      </w:r>
      <w:r w:rsidR="007A5E55">
        <w:rPr>
          <w:lang w:val="fr-FR"/>
        </w:rPr>
        <w:t>es</w:t>
      </w:r>
      <w:r w:rsidR="00A735C0">
        <w:rPr>
          <w:lang w:val="fr-FR"/>
        </w:rPr>
        <w:t xml:space="preserve"> de faire soumettre</w:t>
      </w:r>
      <w:r w:rsidR="00CA1042">
        <w:rPr>
          <w:lang w:val="fr-FR"/>
        </w:rPr>
        <w:t>.</w:t>
      </w:r>
    </w:p>
    <w:p w14:paraId="1B36465C" w14:textId="77777777" w:rsidR="00CA1042" w:rsidRDefault="00CA1042" w:rsidP="00CA1042">
      <w:pPr>
        <w:pStyle w:val="H1G"/>
        <w:rPr>
          <w:lang w:val="fr-FR"/>
        </w:rPr>
      </w:pPr>
      <w:r>
        <w:rPr>
          <w:lang w:val="fr-FR"/>
        </w:rPr>
        <w:tab/>
        <w:t>C.</w:t>
      </w:r>
      <w:r>
        <w:rPr>
          <w:lang w:val="fr-FR"/>
        </w:rPr>
        <w:tab/>
        <w:t>Interprétation du paragraphe 1.8.3.15: acceptation des certificats de conseiller à la sécurité</w:t>
      </w:r>
    </w:p>
    <w:p w14:paraId="0C35F40B" w14:textId="77777777" w:rsidR="00CA1042" w:rsidRDefault="00CA1042" w:rsidP="00CA1042">
      <w:pPr>
        <w:pStyle w:val="SingleTxtG"/>
        <w:tabs>
          <w:tab w:val="left" w:pos="3100"/>
        </w:tabs>
        <w:rPr>
          <w:lang w:val="fr-FR"/>
        </w:rPr>
      </w:pPr>
      <w:r w:rsidRPr="00EA4A82">
        <w:rPr>
          <w:i/>
          <w:lang w:val="fr-FR"/>
        </w:rPr>
        <w:t>Document</w:t>
      </w:r>
      <w:r w:rsidRPr="00E30AEE">
        <w:rPr>
          <w:i/>
          <w:lang w:val="fr-FR"/>
        </w:rPr>
        <w:t>:</w:t>
      </w:r>
      <w:r>
        <w:rPr>
          <w:lang w:val="fr-FR"/>
        </w:rPr>
        <w:tab/>
      </w:r>
      <w:r>
        <w:rPr>
          <w:lang w:val="fr-FR"/>
        </w:rPr>
        <w:tab/>
        <w:t>ECE/TRANS/WP.15/AC.1/2017/2 (Espagne)</w:t>
      </w:r>
    </w:p>
    <w:p w14:paraId="0CDFFB74" w14:textId="1F192612" w:rsidR="00CA1042" w:rsidRDefault="007D704D" w:rsidP="00CA1042">
      <w:pPr>
        <w:pStyle w:val="SingleTxtG"/>
        <w:rPr>
          <w:lang w:val="fr-FR"/>
        </w:rPr>
      </w:pPr>
      <w:r>
        <w:rPr>
          <w:lang w:val="fr-FR"/>
        </w:rPr>
        <w:t>21</w:t>
      </w:r>
      <w:r w:rsidR="00CA1042">
        <w:rPr>
          <w:lang w:val="fr-FR"/>
        </w:rPr>
        <w:t>.</w:t>
      </w:r>
      <w:r w:rsidR="00CA1042">
        <w:rPr>
          <w:lang w:val="fr-FR"/>
        </w:rPr>
        <w:tab/>
        <w:t xml:space="preserve">Dans ce document, l’Espagne demandait si un certificat de conseiller à la sécurité délivré dans un pays </w:t>
      </w:r>
      <w:r w:rsidR="00CC349E">
        <w:rPr>
          <w:lang w:val="fr-FR"/>
        </w:rPr>
        <w:t>devait</w:t>
      </w:r>
      <w:r w:rsidR="00CA1042">
        <w:rPr>
          <w:lang w:val="fr-FR"/>
        </w:rPr>
        <w:t>, en vertu du RID/ADR, être accepté dans un autre pays pour des transports nationaux et des entreprises nationales.</w:t>
      </w:r>
    </w:p>
    <w:p w14:paraId="07BE4020" w14:textId="7C4B841D" w:rsidR="00CA1042" w:rsidRDefault="007D704D" w:rsidP="00CA1042">
      <w:pPr>
        <w:pStyle w:val="SingleTxtG"/>
        <w:rPr>
          <w:lang w:val="fr-FR"/>
        </w:rPr>
      </w:pPr>
      <w:r>
        <w:rPr>
          <w:lang w:val="fr-FR"/>
        </w:rPr>
        <w:t>22</w:t>
      </w:r>
      <w:r w:rsidR="00CA1042">
        <w:rPr>
          <w:lang w:val="fr-FR"/>
        </w:rPr>
        <w:t>.</w:t>
      </w:r>
      <w:r w:rsidR="00CA1042">
        <w:rPr>
          <w:lang w:val="fr-FR"/>
        </w:rPr>
        <w:tab/>
        <w:t>Il a été fait remarquer que le RID, l’ADR et l’ADN en tant qu’instruments juridiques internationaux ne s’appliquent qu’aux transports internationaux. Un certificat délivré par quelque Partie contractante que ce soit devrait être reconnu comme preuve de compétence conformément au 1.8.3.15, mais le droit pour une entreprise nationale d’employer un conseiller disposant d’un certificat délivré dans un autre pays peut être affecté par des instruments juridiques autres que le RID, ADR ou l’ADN, par exemple droit national du travail.</w:t>
      </w:r>
    </w:p>
    <w:p w14:paraId="28AEBAD5" w14:textId="13E60818" w:rsidR="00CA1042" w:rsidRDefault="007D704D" w:rsidP="00CA1042">
      <w:pPr>
        <w:pStyle w:val="SingleTxtG"/>
        <w:rPr>
          <w:lang w:val="fr-FR"/>
        </w:rPr>
      </w:pPr>
      <w:r>
        <w:rPr>
          <w:lang w:val="fr-FR"/>
        </w:rPr>
        <w:t>23</w:t>
      </w:r>
      <w:r w:rsidR="00CA1042">
        <w:rPr>
          <w:lang w:val="fr-FR"/>
        </w:rPr>
        <w:t>.</w:t>
      </w:r>
      <w:r w:rsidR="00CA1042">
        <w:rPr>
          <w:lang w:val="fr-FR"/>
        </w:rPr>
        <w:tab/>
        <w:t>Les transports nationaux n’étant pas juridiquement soumis au RID, l’ADR ou l’ADN, chaque Etat conserve le droit souverain d’accepter ou pas des certificats délivrés dans d’autres pays, indépendamment du fait qu’il soit partie contractante au RID, ADR, ADN ou pas, mais en tenant compte des autres obligation</w:t>
      </w:r>
      <w:r>
        <w:rPr>
          <w:lang w:val="fr-FR"/>
        </w:rPr>
        <w:t>s</w:t>
      </w:r>
      <w:r w:rsidR="00CA1042">
        <w:rPr>
          <w:lang w:val="fr-FR"/>
        </w:rPr>
        <w:t xml:space="preserve"> juridiques qu’il pourrait être tenu de </w:t>
      </w:r>
      <w:r w:rsidR="00CA1042">
        <w:rPr>
          <w:lang w:val="fr-FR"/>
        </w:rPr>
        <w:lastRenderedPageBreak/>
        <w:t xml:space="preserve">respecter vis-à-vis d’autres pays, par exemple le droit </w:t>
      </w:r>
      <w:r w:rsidR="00CC349E">
        <w:rPr>
          <w:lang w:val="fr-FR"/>
        </w:rPr>
        <w:t>de l’Union européenne, nota</w:t>
      </w:r>
      <w:r w:rsidR="00CA1042">
        <w:rPr>
          <w:lang w:val="fr-FR"/>
        </w:rPr>
        <w:t xml:space="preserve">mment la directive 2008/68/EC ou autres instruments de l’Union européenne concernant la reconnaissance réciproque de certificats, le droit d’exercer des professions dans divers Etats, etc. La Réunion commune ne se sentait pas compétente pour se prononcer sur une interprétation dans le cadre du droit </w:t>
      </w:r>
      <w:r w:rsidR="00CC349E">
        <w:rPr>
          <w:lang w:val="fr-FR"/>
        </w:rPr>
        <w:t xml:space="preserve">de l’Union européenne </w:t>
      </w:r>
      <w:r w:rsidR="00CA1042">
        <w:rPr>
          <w:lang w:val="fr-FR"/>
        </w:rPr>
        <w:t>dans son ensemble.</w:t>
      </w:r>
      <w:r>
        <w:rPr>
          <w:lang w:val="fr-FR"/>
        </w:rPr>
        <w:t xml:space="preserve"> Quelques délégations ont estimé qu’il était nécessaire de clarifier ce point au niveau de l’Union européenne.</w:t>
      </w:r>
    </w:p>
    <w:p w14:paraId="5242417D" w14:textId="5F148106" w:rsidR="005F7F44" w:rsidRPr="00A01122" w:rsidRDefault="005F7F44" w:rsidP="005F7F44">
      <w:pPr>
        <w:pStyle w:val="HChG"/>
        <w:rPr>
          <w:color w:val="000000" w:themeColor="text1"/>
        </w:rPr>
      </w:pPr>
      <w:r>
        <w:tab/>
      </w:r>
      <w:r w:rsidRPr="00A01122">
        <w:rPr>
          <w:color w:val="000000" w:themeColor="text1"/>
        </w:rPr>
        <w:t>VI.</w:t>
      </w:r>
      <w:r w:rsidRPr="00A01122">
        <w:rPr>
          <w:color w:val="000000" w:themeColor="text1"/>
        </w:rPr>
        <w:tab/>
        <w:t xml:space="preserve">Propositions </w:t>
      </w:r>
      <w:proofErr w:type="spellStart"/>
      <w:r w:rsidRPr="00A01122">
        <w:rPr>
          <w:color w:val="000000" w:themeColor="text1"/>
        </w:rPr>
        <w:t>d’amendements</w:t>
      </w:r>
      <w:proofErr w:type="spellEnd"/>
      <w:r w:rsidRPr="00A01122">
        <w:rPr>
          <w:color w:val="000000" w:themeColor="text1"/>
        </w:rPr>
        <w:t xml:space="preserve"> au RID/ADR/ADN </w:t>
      </w:r>
      <w:r>
        <w:rPr>
          <w:color w:val="000000" w:themeColor="text1"/>
        </w:rPr>
        <w:t xml:space="preserve">(point 5 de </w:t>
      </w:r>
      <w:proofErr w:type="spellStart"/>
      <w:r>
        <w:rPr>
          <w:color w:val="000000" w:themeColor="text1"/>
        </w:rPr>
        <w:t>l’ordre</w:t>
      </w:r>
      <w:proofErr w:type="spellEnd"/>
      <w:r>
        <w:rPr>
          <w:color w:val="000000" w:themeColor="text1"/>
        </w:rPr>
        <w:t xml:space="preserve"> du jour) </w:t>
      </w:r>
    </w:p>
    <w:p w14:paraId="52D73685" w14:textId="77777777" w:rsidR="005F7F44" w:rsidRPr="00A01122" w:rsidRDefault="005F7F44" w:rsidP="005F7F44">
      <w:pPr>
        <w:pStyle w:val="H1G"/>
        <w:rPr>
          <w:color w:val="000000" w:themeColor="text1"/>
        </w:rPr>
      </w:pPr>
      <w:r w:rsidRPr="00A01122">
        <w:rPr>
          <w:color w:val="000000" w:themeColor="text1"/>
        </w:rPr>
        <w:tab/>
      </w:r>
      <w:r>
        <w:rPr>
          <w:color w:val="000000" w:themeColor="text1"/>
        </w:rPr>
        <w:t>A</w:t>
      </w:r>
      <w:r w:rsidRPr="00A01122">
        <w:rPr>
          <w:color w:val="000000" w:themeColor="text1"/>
        </w:rPr>
        <w:t>.</w:t>
      </w:r>
      <w:r w:rsidRPr="00A01122">
        <w:rPr>
          <w:color w:val="000000" w:themeColor="text1"/>
        </w:rPr>
        <w:tab/>
      </w:r>
      <w:r>
        <w:rPr>
          <w:color w:val="000000" w:themeColor="text1"/>
        </w:rPr>
        <w:t xml:space="preserve">Questions </w:t>
      </w:r>
      <w:proofErr w:type="spellStart"/>
      <w:r>
        <w:rPr>
          <w:color w:val="000000" w:themeColor="text1"/>
        </w:rPr>
        <w:t>en</w:t>
      </w:r>
      <w:proofErr w:type="spellEnd"/>
      <w:r>
        <w:rPr>
          <w:color w:val="000000" w:themeColor="text1"/>
        </w:rPr>
        <w:t xml:space="preserve"> </w:t>
      </w:r>
      <w:proofErr w:type="spellStart"/>
      <w:r>
        <w:rPr>
          <w:color w:val="000000" w:themeColor="text1"/>
        </w:rPr>
        <w:t>suspens</w:t>
      </w:r>
      <w:proofErr w:type="spellEnd"/>
    </w:p>
    <w:p w14:paraId="25536B8D" w14:textId="77777777" w:rsidR="005F7F44" w:rsidRPr="00A01122" w:rsidRDefault="005F7F44" w:rsidP="005F7F44">
      <w:pPr>
        <w:pStyle w:val="H1G"/>
        <w:rPr>
          <w:color w:val="000000" w:themeColor="text1"/>
          <w:sz w:val="20"/>
          <w:lang w:val="fr-FR"/>
        </w:rPr>
      </w:pPr>
      <w:r>
        <w:rPr>
          <w:color w:val="000000" w:themeColor="text1"/>
          <w:sz w:val="20"/>
          <w:lang w:val="fr-FR"/>
        </w:rPr>
        <w:tab/>
        <w:t>1.</w:t>
      </w:r>
      <w:r>
        <w:rPr>
          <w:color w:val="000000" w:themeColor="text1"/>
          <w:sz w:val="20"/>
          <w:lang w:val="fr-FR"/>
        </w:rPr>
        <w:tab/>
        <w:t>Transport de lampes TL basse pression</w:t>
      </w:r>
    </w:p>
    <w:p w14:paraId="0C51D4E5" w14:textId="77777777" w:rsidR="005F7F44" w:rsidRPr="00A01122" w:rsidRDefault="005F7F44" w:rsidP="005F7F44">
      <w:pPr>
        <w:pStyle w:val="SingleTxtG"/>
        <w:tabs>
          <w:tab w:val="left" w:pos="3100"/>
        </w:tabs>
        <w:rPr>
          <w:i/>
          <w:color w:val="000000" w:themeColor="text1"/>
          <w:lang w:val="fr-FR"/>
        </w:rPr>
      </w:pPr>
      <w:r w:rsidRPr="00A01122">
        <w:rPr>
          <w:i/>
          <w:color w:val="000000" w:themeColor="text1"/>
          <w:lang w:val="fr-FR"/>
        </w:rPr>
        <w:t>Document:</w:t>
      </w:r>
      <w:r>
        <w:rPr>
          <w:color w:val="000000" w:themeColor="text1"/>
          <w:lang w:val="fr-FR"/>
        </w:rPr>
        <w:tab/>
      </w:r>
      <w:r>
        <w:rPr>
          <w:color w:val="000000" w:themeColor="text1"/>
          <w:lang w:val="fr-FR"/>
        </w:rPr>
        <w:tab/>
        <w:t>ECE/TRANS/WP.15/AC.1/2017/9</w:t>
      </w:r>
      <w:r w:rsidRPr="00A01122">
        <w:rPr>
          <w:color w:val="000000" w:themeColor="text1"/>
          <w:lang w:val="fr-FR"/>
        </w:rPr>
        <w:t xml:space="preserve"> (</w:t>
      </w:r>
      <w:r>
        <w:rPr>
          <w:color w:val="000000" w:themeColor="text1"/>
          <w:lang w:val="fr-FR"/>
        </w:rPr>
        <w:t>FEAD</w:t>
      </w:r>
      <w:r w:rsidRPr="00A01122">
        <w:rPr>
          <w:color w:val="000000" w:themeColor="text1"/>
          <w:lang w:val="fr-FR"/>
        </w:rPr>
        <w:t>)</w:t>
      </w:r>
    </w:p>
    <w:p w14:paraId="3A611269" w14:textId="01014DF8" w:rsidR="005F7F44" w:rsidRDefault="005F7F44" w:rsidP="005F7F44">
      <w:pPr>
        <w:pStyle w:val="SingleTxtG"/>
        <w:tabs>
          <w:tab w:val="left" w:pos="3100"/>
        </w:tabs>
        <w:rPr>
          <w:color w:val="000000" w:themeColor="text1"/>
          <w:lang w:val="fr-FR"/>
        </w:rPr>
      </w:pPr>
      <w:r w:rsidRPr="00A01122">
        <w:rPr>
          <w:i/>
          <w:color w:val="000000" w:themeColor="text1"/>
          <w:lang w:val="fr-FR"/>
        </w:rPr>
        <w:t>Document informel:</w:t>
      </w:r>
      <w:r>
        <w:rPr>
          <w:color w:val="000000" w:themeColor="text1"/>
          <w:lang w:val="fr-FR"/>
        </w:rPr>
        <w:tab/>
      </w:r>
      <w:r>
        <w:rPr>
          <w:color w:val="000000" w:themeColor="text1"/>
          <w:lang w:val="fr-FR"/>
        </w:rPr>
        <w:tab/>
        <w:t>INF.32</w:t>
      </w:r>
      <w:r w:rsidRPr="00A01122">
        <w:rPr>
          <w:color w:val="000000" w:themeColor="text1"/>
          <w:lang w:val="fr-FR"/>
        </w:rPr>
        <w:t xml:space="preserve"> (</w:t>
      </w:r>
      <w:r w:rsidR="007D704D">
        <w:rPr>
          <w:color w:val="000000" w:themeColor="text1"/>
          <w:lang w:val="fr-FR"/>
        </w:rPr>
        <w:t>FEAD</w:t>
      </w:r>
      <w:r w:rsidRPr="00A01122">
        <w:rPr>
          <w:color w:val="000000" w:themeColor="text1"/>
          <w:lang w:val="fr-FR"/>
        </w:rPr>
        <w:t>)</w:t>
      </w:r>
    </w:p>
    <w:p w14:paraId="390C08FB" w14:textId="2A18DED0" w:rsidR="005F7F44" w:rsidRDefault="007D704D" w:rsidP="005F7F44">
      <w:pPr>
        <w:spacing w:before="120" w:after="120"/>
        <w:ind w:left="1134" w:right="1134"/>
        <w:jc w:val="both"/>
        <w:rPr>
          <w:color w:val="000000" w:themeColor="text1"/>
          <w:lang w:val="fr-FR"/>
        </w:rPr>
      </w:pPr>
      <w:r>
        <w:rPr>
          <w:color w:val="000000" w:themeColor="text1"/>
          <w:lang w:val="fr-FR"/>
        </w:rPr>
        <w:t>24</w:t>
      </w:r>
      <w:r w:rsidR="005F7F44">
        <w:rPr>
          <w:color w:val="000000" w:themeColor="text1"/>
          <w:lang w:val="fr-FR"/>
        </w:rPr>
        <w:t>.</w:t>
      </w:r>
      <w:r w:rsidR="005F7F44">
        <w:rPr>
          <w:color w:val="000000" w:themeColor="text1"/>
          <w:lang w:val="fr-FR"/>
        </w:rPr>
        <w:tab/>
        <w:t>La plupart des délégations estimaient que compte tenu de la disposition spéciale 366, les lampes TL basse pression ne contenant pas plus de 1 kg de mercure et ne contenant aucune autre matière dangereuse étaient clairement exemptées du RID/ADR/ADN. Certaines ne voyaient donc pas d’inconvénient à insérer un NOTA au 1.1.3.10 renvoyant à cette disposition spéciale, d’autres estimaient que ceci n’était pas nécessaire, et d’autres estimaient que ce NOTA serait incohérent puisque le 1.1.3.10 ne s’applique que si les lampes contiennent des quantités de mercure supérieures à celles mentionnées à la disposition spéciale 366.</w:t>
      </w:r>
    </w:p>
    <w:p w14:paraId="1DC15FED" w14:textId="6099A1AD" w:rsidR="005F7F44" w:rsidRDefault="007D704D" w:rsidP="005F7F44">
      <w:pPr>
        <w:spacing w:before="120" w:after="120"/>
        <w:ind w:left="1134" w:right="1134"/>
        <w:jc w:val="both"/>
        <w:rPr>
          <w:color w:val="000000" w:themeColor="text1"/>
          <w:lang w:val="fr-FR"/>
        </w:rPr>
      </w:pPr>
      <w:r>
        <w:rPr>
          <w:color w:val="000000" w:themeColor="text1"/>
          <w:lang w:val="fr-FR"/>
        </w:rPr>
        <w:t>25</w:t>
      </w:r>
      <w:r w:rsidR="005F7F44">
        <w:rPr>
          <w:color w:val="000000" w:themeColor="text1"/>
          <w:lang w:val="fr-FR"/>
        </w:rPr>
        <w:t>.</w:t>
      </w:r>
      <w:r w:rsidR="005F7F44">
        <w:rPr>
          <w:color w:val="000000" w:themeColor="text1"/>
          <w:lang w:val="fr-FR"/>
        </w:rPr>
        <w:tab/>
        <w:t xml:space="preserve">Le représentant de l’Allemagne estimait par ailleurs que les lampes contenant du mercure </w:t>
      </w:r>
      <w:r>
        <w:rPr>
          <w:color w:val="000000" w:themeColor="text1"/>
          <w:lang w:val="fr-FR"/>
        </w:rPr>
        <w:t>ne sont exemptées par la disposition spéciale 366 que si le mercure reste confiné en permanence dans l’objet, l’équipement ou l’instrument, ce qui n’est pas toujours le cas</w:t>
      </w:r>
      <w:r w:rsidR="005F7F44">
        <w:rPr>
          <w:color w:val="000000" w:themeColor="text1"/>
          <w:lang w:val="fr-FR"/>
        </w:rPr>
        <w:t xml:space="preserve"> lors de la collecte des lampes usagées pour recyclage ou élimination. Il souhaitait dont revoir la question au sein du Sous-Comité d’experts de l’ONU.</w:t>
      </w:r>
    </w:p>
    <w:p w14:paraId="24968D46" w14:textId="408542B3" w:rsidR="005F7F44" w:rsidRDefault="007D704D" w:rsidP="005F7F44">
      <w:pPr>
        <w:spacing w:before="120" w:after="120"/>
        <w:ind w:left="1134" w:right="1134"/>
        <w:jc w:val="both"/>
        <w:rPr>
          <w:color w:val="000000" w:themeColor="text1"/>
          <w:lang w:val="fr-FR"/>
        </w:rPr>
      </w:pPr>
      <w:r>
        <w:rPr>
          <w:color w:val="000000" w:themeColor="text1"/>
          <w:lang w:val="fr-FR"/>
        </w:rPr>
        <w:t>26</w:t>
      </w:r>
      <w:r w:rsidR="005F7F44">
        <w:rPr>
          <w:color w:val="000000" w:themeColor="text1"/>
          <w:lang w:val="fr-FR"/>
        </w:rPr>
        <w:t>.</w:t>
      </w:r>
      <w:r w:rsidR="005F7F44">
        <w:rPr>
          <w:color w:val="000000" w:themeColor="text1"/>
          <w:lang w:val="fr-FR"/>
        </w:rPr>
        <w:tab/>
        <w:t>La Réunion commune a finalement décidé à une large majorité de ne pas prendre de décision sur l’inclusion du NOTA proposé à la présente session, et de ne se prononcer qu’une fois la question réglée au sein du Sous-Comité d’experts de l’ONU sachant que l’Allemagne préparera une proposition pour le Sous-Comité.</w:t>
      </w:r>
    </w:p>
    <w:p w14:paraId="3EB68927" w14:textId="77777777" w:rsidR="005F7F44" w:rsidRDefault="005F7F44" w:rsidP="005F7F44">
      <w:pPr>
        <w:pStyle w:val="H1G"/>
        <w:rPr>
          <w:color w:val="000000" w:themeColor="text1"/>
          <w:sz w:val="20"/>
          <w:lang w:val="fr-FR"/>
        </w:rPr>
      </w:pPr>
      <w:r w:rsidRPr="008B7FF3">
        <w:rPr>
          <w:color w:val="000000" w:themeColor="text1"/>
          <w:sz w:val="20"/>
          <w:lang w:val="fr-FR"/>
        </w:rPr>
        <w:tab/>
        <w:t>2.</w:t>
      </w:r>
      <w:r w:rsidRPr="008B7FF3">
        <w:rPr>
          <w:color w:val="000000" w:themeColor="text1"/>
          <w:sz w:val="20"/>
          <w:lang w:val="fr-FR"/>
        </w:rPr>
        <w:tab/>
      </w:r>
      <w:r>
        <w:rPr>
          <w:color w:val="000000" w:themeColor="text1"/>
          <w:sz w:val="20"/>
          <w:lang w:val="fr-FR"/>
        </w:rPr>
        <w:t>Utilisation des GRV métalliques (11A) pour le transport des déchets emballés en tant que marchandises dangereuses</w:t>
      </w:r>
    </w:p>
    <w:p w14:paraId="7BB86505" w14:textId="77777777" w:rsidR="005F7F44" w:rsidRDefault="005F7F44" w:rsidP="005F7F44">
      <w:pPr>
        <w:pStyle w:val="SingleTxtG"/>
        <w:tabs>
          <w:tab w:val="left" w:pos="3100"/>
        </w:tabs>
        <w:rPr>
          <w:color w:val="000000" w:themeColor="text1"/>
          <w:lang w:val="fr-FR"/>
        </w:rPr>
      </w:pPr>
      <w:r w:rsidRPr="00A01122">
        <w:rPr>
          <w:i/>
          <w:color w:val="000000" w:themeColor="text1"/>
          <w:lang w:val="fr-FR"/>
        </w:rPr>
        <w:t>Document:</w:t>
      </w:r>
      <w:r>
        <w:rPr>
          <w:color w:val="000000" w:themeColor="text1"/>
          <w:lang w:val="fr-FR"/>
        </w:rPr>
        <w:tab/>
      </w:r>
      <w:r>
        <w:rPr>
          <w:color w:val="000000" w:themeColor="text1"/>
          <w:lang w:val="fr-FR"/>
        </w:rPr>
        <w:tab/>
        <w:t>ECE/TRANS/WP.15/AC.1/2017/10</w:t>
      </w:r>
      <w:r w:rsidRPr="00A01122">
        <w:rPr>
          <w:color w:val="000000" w:themeColor="text1"/>
          <w:lang w:val="fr-FR"/>
        </w:rPr>
        <w:t xml:space="preserve"> (</w:t>
      </w:r>
      <w:r>
        <w:rPr>
          <w:color w:val="000000" w:themeColor="text1"/>
          <w:lang w:val="fr-FR"/>
        </w:rPr>
        <w:t>FEAD</w:t>
      </w:r>
      <w:r w:rsidRPr="00A01122">
        <w:rPr>
          <w:color w:val="000000" w:themeColor="text1"/>
          <w:lang w:val="fr-FR"/>
        </w:rPr>
        <w:t>)</w:t>
      </w:r>
    </w:p>
    <w:p w14:paraId="6C08786F" w14:textId="4D3CD120" w:rsidR="005F7F44" w:rsidRDefault="007D704D" w:rsidP="005F7F44">
      <w:pPr>
        <w:pStyle w:val="SingleTxtG"/>
        <w:rPr>
          <w:color w:val="000000" w:themeColor="text1"/>
          <w:lang w:val="fr-FR"/>
        </w:rPr>
      </w:pPr>
      <w:r>
        <w:rPr>
          <w:color w:val="000000" w:themeColor="text1"/>
          <w:lang w:val="fr-FR"/>
        </w:rPr>
        <w:t>27</w:t>
      </w:r>
      <w:r w:rsidR="005F7F44" w:rsidRPr="000C045F">
        <w:rPr>
          <w:color w:val="000000" w:themeColor="text1"/>
          <w:lang w:val="fr-FR"/>
        </w:rPr>
        <w:t>.</w:t>
      </w:r>
      <w:r w:rsidR="005F7F44" w:rsidRPr="000C045F">
        <w:rPr>
          <w:color w:val="000000" w:themeColor="text1"/>
          <w:lang w:val="fr-FR"/>
        </w:rPr>
        <w:tab/>
        <w:t>Les avis étaient partagés sur la proposition</w:t>
      </w:r>
      <w:r w:rsidR="005F7F44">
        <w:rPr>
          <w:color w:val="000000" w:themeColor="text1"/>
          <w:lang w:val="fr-FR"/>
        </w:rPr>
        <w:t xml:space="preserve"> de la FEAD. Certaines délégations n’étaient pas opposées à ce que des GRV métalliques soient utilisés pour le transport de déchets contenus dans des emballages intérieurs, mais n’étaient pas favorables au double marquage de ces GRV en tant que caisses 4A. D’autres estimaient que ces conteneurs peuvent faire office de GRV 11A et de caisses 4A s’ils répondent à la fois aux prescriptions des chapitres 6.1 et 6.5, mais n’étaient pas favorables à leur utilisation pour le transport de déchets emballés. D’autres se demandaient ce que la FEAD entendait par récipients intérieurs de faible capacité car un fût, cité comme exemple, ne leur paraissait pas être un récipient de faible capacité. D’autres enfin estimaient que les pratiques décrites par la FEAD comme </w:t>
      </w:r>
      <w:r w:rsidR="005F7F44">
        <w:rPr>
          <w:color w:val="000000" w:themeColor="text1"/>
          <w:lang w:val="fr-FR"/>
        </w:rPr>
        <w:lastRenderedPageBreak/>
        <w:t xml:space="preserve">ayant fait leur preuve du point de vue de la sécurité du transport n’étaient pas conformes à l’ADR et que si elles avaient été mises en place dans un contexte précis pour des déchets particuliers, la généralisation de ces pratiques à tout type de déchets emballés sans préciser les conditions d’utilisation </w:t>
      </w:r>
      <w:r>
        <w:rPr>
          <w:color w:val="000000" w:themeColor="text1"/>
          <w:lang w:val="fr-FR"/>
        </w:rPr>
        <w:t xml:space="preserve">ne </w:t>
      </w:r>
      <w:r w:rsidR="005F7F44">
        <w:rPr>
          <w:color w:val="000000" w:themeColor="text1"/>
          <w:lang w:val="fr-FR"/>
        </w:rPr>
        <w:t>leur paraissait pas acceptable.</w:t>
      </w:r>
    </w:p>
    <w:p w14:paraId="1C0131D6" w14:textId="312FA6C5" w:rsidR="005F7F44" w:rsidRDefault="007D704D" w:rsidP="005F7F44">
      <w:pPr>
        <w:pStyle w:val="SingleTxtG"/>
        <w:rPr>
          <w:color w:val="000000" w:themeColor="text1"/>
          <w:lang w:val="fr-FR"/>
        </w:rPr>
      </w:pPr>
      <w:r>
        <w:rPr>
          <w:color w:val="000000" w:themeColor="text1"/>
          <w:lang w:val="fr-FR"/>
        </w:rPr>
        <w:t>28</w:t>
      </w:r>
      <w:r w:rsidR="005F7F44">
        <w:rPr>
          <w:color w:val="000000" w:themeColor="text1"/>
          <w:lang w:val="fr-FR"/>
        </w:rPr>
        <w:t>.</w:t>
      </w:r>
      <w:r w:rsidR="005F7F44">
        <w:rPr>
          <w:color w:val="000000" w:themeColor="text1"/>
          <w:lang w:val="fr-FR"/>
        </w:rPr>
        <w:tab/>
        <w:t>La proposition de la FEAD a été mise aux voix et a été rejetée.</w:t>
      </w:r>
    </w:p>
    <w:p w14:paraId="10D5106D" w14:textId="3D148851" w:rsidR="005F7F44" w:rsidRDefault="005F7F44" w:rsidP="005F7F44">
      <w:pPr>
        <w:pStyle w:val="H1G"/>
      </w:pPr>
      <w:bookmarkStart w:id="0" w:name="_GoBack"/>
      <w:bookmarkEnd w:id="0"/>
      <w:r>
        <w:tab/>
        <w:t>B.</w:t>
      </w:r>
      <w:r>
        <w:tab/>
      </w:r>
      <w:proofErr w:type="spellStart"/>
      <w:r>
        <w:t>Nouvelles</w:t>
      </w:r>
      <w:proofErr w:type="spellEnd"/>
      <w:r>
        <w:t xml:space="preserve"> propositions</w:t>
      </w:r>
    </w:p>
    <w:p w14:paraId="58E3EAC1" w14:textId="77777777" w:rsidR="005F7F44" w:rsidRPr="000355FF" w:rsidRDefault="005F7F44" w:rsidP="005F7F44">
      <w:pPr>
        <w:pStyle w:val="H1G"/>
        <w:rPr>
          <w:sz w:val="20"/>
        </w:rPr>
      </w:pPr>
      <w:r w:rsidRPr="000355FF">
        <w:rPr>
          <w:sz w:val="20"/>
        </w:rPr>
        <w:tab/>
        <w:t>1.</w:t>
      </w:r>
      <w:r w:rsidRPr="000355FF">
        <w:rPr>
          <w:sz w:val="20"/>
        </w:rPr>
        <w:tab/>
        <w:t xml:space="preserve">Disposition </w:t>
      </w:r>
      <w:proofErr w:type="spellStart"/>
      <w:r w:rsidRPr="000355FF">
        <w:rPr>
          <w:sz w:val="20"/>
        </w:rPr>
        <w:t>spéciale</w:t>
      </w:r>
      <w:proofErr w:type="spellEnd"/>
      <w:r w:rsidRPr="000355FF">
        <w:rPr>
          <w:sz w:val="20"/>
        </w:rPr>
        <w:t xml:space="preserve"> 386</w:t>
      </w:r>
    </w:p>
    <w:p w14:paraId="3AB1E10E" w14:textId="77777777" w:rsidR="005F7F44" w:rsidRPr="00935508" w:rsidRDefault="005F7F44" w:rsidP="005F7F44">
      <w:pPr>
        <w:ind w:left="567" w:firstLine="567"/>
      </w:pPr>
      <w:r>
        <w:rPr>
          <w:i/>
          <w:lang w:val="fr-FR"/>
        </w:rPr>
        <w:t>Document</w:t>
      </w:r>
      <w:r>
        <w:rPr>
          <w:lang w:val="fr-FR"/>
        </w:rPr>
        <w:t xml:space="preserve">: </w:t>
      </w:r>
      <w:r>
        <w:rPr>
          <w:lang w:val="fr-FR"/>
        </w:rPr>
        <w:tab/>
      </w:r>
      <w:r>
        <w:rPr>
          <w:lang w:val="fr-FR"/>
        </w:rPr>
        <w:tab/>
        <w:t>ECE/TRANS/WP.15/AC.1/2017/6 (Italie)</w:t>
      </w:r>
    </w:p>
    <w:p w14:paraId="5513A1FD" w14:textId="4065F6E0" w:rsidR="005F7F44" w:rsidRDefault="007D704D" w:rsidP="005F7F44">
      <w:pPr>
        <w:spacing w:before="120" w:after="120"/>
        <w:ind w:left="1134" w:right="1134"/>
        <w:jc w:val="both"/>
        <w:rPr>
          <w:szCs w:val="24"/>
        </w:rPr>
      </w:pPr>
      <w:r>
        <w:rPr>
          <w:szCs w:val="24"/>
        </w:rPr>
        <w:t>29</w:t>
      </w:r>
      <w:r w:rsidR="005F7F44">
        <w:rPr>
          <w:szCs w:val="24"/>
        </w:rPr>
        <w:t>.</w:t>
      </w:r>
      <w:r w:rsidR="005F7F44">
        <w:rPr>
          <w:szCs w:val="24"/>
        </w:rPr>
        <w:tab/>
        <w:t>Le représentant de l’Italie a retiré ce document en indiquant qu’il préparerait une nouvelle proposition.</w:t>
      </w:r>
    </w:p>
    <w:p w14:paraId="6D3A40D2" w14:textId="6CC515F8" w:rsidR="005F7F44" w:rsidRPr="000355FF" w:rsidRDefault="005F7F44" w:rsidP="005F7F44">
      <w:pPr>
        <w:pStyle w:val="H1G"/>
        <w:rPr>
          <w:sz w:val="20"/>
        </w:rPr>
      </w:pPr>
      <w:r w:rsidRPr="000355FF">
        <w:rPr>
          <w:sz w:val="20"/>
        </w:rPr>
        <w:tab/>
        <w:t>2.</w:t>
      </w:r>
      <w:r w:rsidRPr="000355FF">
        <w:rPr>
          <w:sz w:val="20"/>
        </w:rPr>
        <w:tab/>
        <w:t xml:space="preserve">Section 3.2.1: Modification de la note explicative pour la </w:t>
      </w:r>
      <w:proofErr w:type="spellStart"/>
      <w:r w:rsidRPr="000355FF">
        <w:rPr>
          <w:sz w:val="20"/>
        </w:rPr>
        <w:t>colonne</w:t>
      </w:r>
      <w:proofErr w:type="spellEnd"/>
      <w:r w:rsidRPr="000355FF">
        <w:rPr>
          <w:sz w:val="20"/>
        </w:rPr>
        <w:t xml:space="preserve"> (9a)</w:t>
      </w:r>
    </w:p>
    <w:p w14:paraId="6ED5B74A" w14:textId="77777777" w:rsidR="005F7F44" w:rsidRDefault="005F7F44" w:rsidP="005F7F44">
      <w:pPr>
        <w:ind w:left="567" w:firstLine="567"/>
        <w:rPr>
          <w:lang w:val="fr-FR"/>
        </w:rPr>
      </w:pPr>
      <w:r>
        <w:rPr>
          <w:i/>
          <w:lang w:val="fr-FR"/>
        </w:rPr>
        <w:t>Document</w:t>
      </w:r>
      <w:r>
        <w:rPr>
          <w:lang w:val="fr-FR"/>
        </w:rPr>
        <w:t xml:space="preserve">: </w:t>
      </w:r>
      <w:r>
        <w:rPr>
          <w:lang w:val="fr-FR"/>
        </w:rPr>
        <w:tab/>
      </w:r>
      <w:r>
        <w:rPr>
          <w:lang w:val="fr-FR"/>
        </w:rPr>
        <w:tab/>
        <w:t>ECE/TRANS/WP.15/AC.1/2017/7 (Italie)</w:t>
      </w:r>
    </w:p>
    <w:p w14:paraId="17E58D98" w14:textId="5A6454CB" w:rsidR="005F7F44" w:rsidRPr="00935508" w:rsidRDefault="007D704D" w:rsidP="005F7F44">
      <w:pPr>
        <w:spacing w:before="120" w:after="120"/>
        <w:ind w:left="1134" w:right="1134"/>
        <w:jc w:val="both"/>
      </w:pPr>
      <w:r>
        <w:t>30</w:t>
      </w:r>
      <w:r w:rsidR="005F7F44">
        <w:t>.</w:t>
      </w:r>
      <w:r w:rsidR="005F7F44">
        <w:tab/>
        <w:t>La proposition de modification a été adoptée (voir annexe</w:t>
      </w:r>
      <w:r>
        <w:t xml:space="preserve"> II</w:t>
      </w:r>
      <w:r w:rsidR="005F7F44">
        <w:t>)</w:t>
      </w:r>
      <w:r w:rsidR="002C7834">
        <w:t>.</w:t>
      </w:r>
    </w:p>
    <w:p w14:paraId="5C75AF7F" w14:textId="77777777" w:rsidR="005F7F44" w:rsidRPr="000355FF" w:rsidRDefault="005F7F44" w:rsidP="005F7F44">
      <w:pPr>
        <w:pStyle w:val="H1G"/>
        <w:rPr>
          <w:sz w:val="20"/>
        </w:rPr>
      </w:pPr>
      <w:r w:rsidRPr="000355FF">
        <w:rPr>
          <w:sz w:val="20"/>
        </w:rPr>
        <w:tab/>
        <w:t>3.</w:t>
      </w:r>
      <w:r w:rsidRPr="000355FF">
        <w:rPr>
          <w:sz w:val="20"/>
        </w:rPr>
        <w:tab/>
      </w:r>
      <w:proofErr w:type="spellStart"/>
      <w:r w:rsidRPr="000355FF">
        <w:rPr>
          <w:sz w:val="20"/>
        </w:rPr>
        <w:t>Amendement</w:t>
      </w:r>
      <w:proofErr w:type="spellEnd"/>
      <w:r w:rsidRPr="000355FF">
        <w:rPr>
          <w:sz w:val="20"/>
        </w:rPr>
        <w:t xml:space="preserve"> au 6.6.3.1 c)</w:t>
      </w:r>
    </w:p>
    <w:p w14:paraId="29DA8C94" w14:textId="77777777" w:rsidR="005F7F44" w:rsidRDefault="005F7F44" w:rsidP="005F7F44">
      <w:pPr>
        <w:ind w:left="567" w:firstLine="567"/>
        <w:rPr>
          <w:lang w:val="fr-FR"/>
        </w:rPr>
      </w:pPr>
      <w:r>
        <w:rPr>
          <w:i/>
          <w:lang w:val="fr-FR"/>
        </w:rPr>
        <w:t>Document</w:t>
      </w:r>
      <w:r>
        <w:rPr>
          <w:lang w:val="fr-FR"/>
        </w:rPr>
        <w:t xml:space="preserve">: </w:t>
      </w:r>
      <w:r>
        <w:rPr>
          <w:lang w:val="fr-FR"/>
        </w:rPr>
        <w:tab/>
      </w:r>
      <w:r>
        <w:rPr>
          <w:lang w:val="fr-FR"/>
        </w:rPr>
        <w:tab/>
        <w:t>ECE/TRANS/WP.15/AC.1/2017/8 (Italie)</w:t>
      </w:r>
    </w:p>
    <w:p w14:paraId="404FE3C1" w14:textId="5541BCD3" w:rsidR="005F7F44" w:rsidRPr="00466661" w:rsidRDefault="007D704D" w:rsidP="005F7F44">
      <w:pPr>
        <w:spacing w:before="120" w:after="120"/>
        <w:ind w:left="1134" w:right="1134"/>
        <w:jc w:val="both"/>
        <w:rPr>
          <w:lang w:val="fr-FR"/>
        </w:rPr>
      </w:pPr>
      <w:r>
        <w:rPr>
          <w:lang w:val="fr-FR"/>
        </w:rPr>
        <w:t>31</w:t>
      </w:r>
      <w:r w:rsidR="002C7834">
        <w:rPr>
          <w:lang w:val="fr-FR"/>
        </w:rPr>
        <w:t>.</w:t>
      </w:r>
      <w:r w:rsidR="002C7834">
        <w:rPr>
          <w:lang w:val="fr-FR"/>
        </w:rPr>
        <w:tab/>
        <w:t xml:space="preserve">Il a été constaté </w:t>
      </w:r>
      <w:r>
        <w:rPr>
          <w:lang w:val="fr-FR"/>
        </w:rPr>
        <w:t xml:space="preserve">qu’aucune instruction d’emballage LP n’était actuellement affectée à des </w:t>
      </w:r>
      <w:r w:rsidR="005F7F44">
        <w:rPr>
          <w:lang w:val="fr-FR"/>
        </w:rPr>
        <w:t>matières du groupe d’emballage I. Toutefois plusieurs délégations n’étaient pas favorables aux modifications proposées parce que le chapitre 6.6 prévoit les critères d’épreuve pour des grands emballages destinés aux marchandises dangereuses du groupe d’emballage I et elles ne souhaitaient pas établir d’obstacles aux développements futurs éventuels. La proposition devrait de toute façon être d’abord soumise au Sous-Comité d’experts du transport des marchandises dangereuses de l’ONU.</w:t>
      </w:r>
    </w:p>
    <w:p w14:paraId="64E76608" w14:textId="77777777" w:rsidR="005F7F44" w:rsidRDefault="005F7F44" w:rsidP="005F7F44">
      <w:pPr>
        <w:pStyle w:val="H1G"/>
        <w:rPr>
          <w:sz w:val="20"/>
          <w:lang w:val="fr-FR"/>
        </w:rPr>
      </w:pPr>
      <w:r w:rsidRPr="0019298E">
        <w:rPr>
          <w:sz w:val="20"/>
          <w:lang w:val="fr-FR"/>
        </w:rPr>
        <w:tab/>
      </w:r>
      <w:r w:rsidRPr="0019298E">
        <w:rPr>
          <w:sz w:val="20"/>
        </w:rPr>
        <w:t>4.</w:t>
      </w:r>
      <w:r w:rsidRPr="0019298E">
        <w:rPr>
          <w:sz w:val="20"/>
          <w:lang w:val="fr-FR"/>
        </w:rPr>
        <w:tab/>
        <w:t>Affecta</w:t>
      </w:r>
      <w:r>
        <w:rPr>
          <w:sz w:val="20"/>
          <w:lang w:val="fr-FR"/>
        </w:rPr>
        <w:t>t</w:t>
      </w:r>
      <w:r w:rsidRPr="0019298E">
        <w:rPr>
          <w:sz w:val="20"/>
          <w:lang w:val="fr-FR"/>
        </w:rPr>
        <w:t>ion de la disposition spéciale MP24 au numéro ONU 0509</w:t>
      </w:r>
    </w:p>
    <w:p w14:paraId="1C422BFB" w14:textId="77777777" w:rsidR="005F7F44" w:rsidRDefault="005F7F44" w:rsidP="005F7F44">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r>
      <w:r>
        <w:rPr>
          <w:lang w:val="fr-FR"/>
        </w:rPr>
        <w:tab/>
        <w:t>INF.10 (Allemagne)</w:t>
      </w:r>
    </w:p>
    <w:p w14:paraId="319E0551" w14:textId="61139CCD" w:rsidR="005F7F44" w:rsidRDefault="00FA7BAE" w:rsidP="005F7F44">
      <w:pPr>
        <w:spacing w:before="120" w:after="120"/>
        <w:ind w:left="1134" w:right="1134"/>
        <w:jc w:val="both"/>
        <w:rPr>
          <w:lang w:val="fr-FR"/>
        </w:rPr>
      </w:pPr>
      <w:r>
        <w:rPr>
          <w:lang w:val="fr-FR"/>
        </w:rPr>
        <w:t>32</w:t>
      </w:r>
      <w:r w:rsidR="005F7F44">
        <w:rPr>
          <w:lang w:val="fr-FR"/>
        </w:rPr>
        <w:t>.</w:t>
      </w:r>
      <w:r w:rsidR="005F7F44">
        <w:rPr>
          <w:lang w:val="fr-FR"/>
        </w:rPr>
        <w:tab/>
        <w:t>La proposition de l’Allemagne a été adoptée (voir annexe</w:t>
      </w:r>
      <w:r>
        <w:rPr>
          <w:lang w:val="fr-FR"/>
        </w:rPr>
        <w:t xml:space="preserve"> II</w:t>
      </w:r>
      <w:r w:rsidR="005F7F44">
        <w:rPr>
          <w:lang w:val="fr-FR"/>
        </w:rPr>
        <w:t>)</w:t>
      </w:r>
    </w:p>
    <w:p w14:paraId="163EB2B2" w14:textId="77777777" w:rsidR="005F7F44" w:rsidRDefault="005F7F44" w:rsidP="005F7F44">
      <w:pPr>
        <w:pStyle w:val="H1G"/>
        <w:rPr>
          <w:sz w:val="20"/>
          <w:lang w:val="fr-FR"/>
        </w:rPr>
      </w:pPr>
      <w:r w:rsidRPr="0019298E">
        <w:rPr>
          <w:sz w:val="20"/>
          <w:lang w:val="fr-FR"/>
        </w:rPr>
        <w:tab/>
        <w:t>5.</w:t>
      </w:r>
      <w:r w:rsidRPr="0019298E">
        <w:rPr>
          <w:sz w:val="20"/>
          <w:lang w:val="fr-FR"/>
        </w:rPr>
        <w:tab/>
      </w:r>
      <w:r>
        <w:rPr>
          <w:sz w:val="20"/>
          <w:lang w:val="fr-FR"/>
        </w:rPr>
        <w:t>Concept de</w:t>
      </w:r>
      <w:proofErr w:type="gramStart"/>
      <w:r>
        <w:rPr>
          <w:sz w:val="20"/>
          <w:lang w:val="fr-FR"/>
        </w:rPr>
        <w:t xml:space="preserve"> «danger</w:t>
      </w:r>
      <w:proofErr w:type="gramEnd"/>
      <w:r>
        <w:rPr>
          <w:sz w:val="20"/>
          <w:lang w:val="fr-FR"/>
        </w:rPr>
        <w:t>» et de «risque» (en anglais «danger», «</w:t>
      </w:r>
      <w:proofErr w:type="spellStart"/>
      <w:r>
        <w:rPr>
          <w:sz w:val="20"/>
          <w:lang w:val="fr-FR"/>
        </w:rPr>
        <w:t>hazard</w:t>
      </w:r>
      <w:proofErr w:type="spellEnd"/>
      <w:r>
        <w:rPr>
          <w:sz w:val="20"/>
          <w:lang w:val="fr-FR"/>
        </w:rPr>
        <w:t>» et «</w:t>
      </w:r>
      <w:proofErr w:type="spellStart"/>
      <w:r>
        <w:rPr>
          <w:sz w:val="20"/>
          <w:lang w:val="fr-FR"/>
        </w:rPr>
        <w:t>risk</w:t>
      </w:r>
      <w:proofErr w:type="spellEnd"/>
      <w:r>
        <w:rPr>
          <w:sz w:val="20"/>
          <w:lang w:val="fr-FR"/>
        </w:rPr>
        <w:t>»</w:t>
      </w:r>
      <w:r w:rsidRPr="00811159">
        <w:rPr>
          <w:sz w:val="20"/>
          <w:lang w:val="fr-FR"/>
        </w:rPr>
        <w:t>)</w:t>
      </w:r>
      <w:r>
        <w:rPr>
          <w:sz w:val="20"/>
          <w:lang w:val="fr-FR"/>
        </w:rPr>
        <w:t xml:space="preserve"> dans le RID/ADR/ADN</w:t>
      </w:r>
    </w:p>
    <w:p w14:paraId="7E5A07F7" w14:textId="77777777" w:rsidR="005F7F44" w:rsidRDefault="005F7F44" w:rsidP="005F7F44">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r>
      <w:r>
        <w:rPr>
          <w:lang w:val="fr-FR"/>
        </w:rPr>
        <w:tab/>
        <w:t>INF.16 (Roumanie, UIC et IRU)</w:t>
      </w:r>
    </w:p>
    <w:p w14:paraId="5EF07C80" w14:textId="16021551" w:rsidR="005F7F44" w:rsidRDefault="00FA7BAE" w:rsidP="005F7F44">
      <w:pPr>
        <w:spacing w:before="120" w:after="120"/>
        <w:ind w:left="1134" w:right="1134"/>
        <w:jc w:val="both"/>
        <w:rPr>
          <w:lang w:val="fr-FR"/>
        </w:rPr>
      </w:pPr>
      <w:r>
        <w:rPr>
          <w:lang w:val="fr-FR"/>
        </w:rPr>
        <w:t>33</w:t>
      </w:r>
      <w:r w:rsidR="005F7F44">
        <w:rPr>
          <w:lang w:val="fr-FR"/>
        </w:rPr>
        <w:t>.</w:t>
      </w:r>
      <w:r w:rsidR="005F7F44">
        <w:rPr>
          <w:lang w:val="fr-FR"/>
        </w:rPr>
        <w:tab/>
        <w:t>La Réunion commune a noté que le Sous-Comité d’experts de l’ONU avait modifié le Règlement type pour le transport des marchandises dangereuses pour rationaliser l’emploi des terme</w:t>
      </w:r>
      <w:r>
        <w:rPr>
          <w:lang w:val="fr-FR"/>
        </w:rPr>
        <w:t>s</w:t>
      </w:r>
      <w:proofErr w:type="gramStart"/>
      <w:r w:rsidR="005F7F44">
        <w:rPr>
          <w:lang w:val="fr-FR"/>
        </w:rPr>
        <w:t xml:space="preserve"> «danger</w:t>
      </w:r>
      <w:proofErr w:type="gramEnd"/>
      <w:r w:rsidR="005F7F44">
        <w:rPr>
          <w:lang w:val="fr-FR"/>
        </w:rPr>
        <w:t>» et «risque» (en anglais «danger», «</w:t>
      </w:r>
      <w:proofErr w:type="spellStart"/>
      <w:r w:rsidR="005F7F44">
        <w:rPr>
          <w:lang w:val="fr-FR"/>
        </w:rPr>
        <w:t>hazard</w:t>
      </w:r>
      <w:proofErr w:type="spellEnd"/>
      <w:r w:rsidR="005F7F44">
        <w:rPr>
          <w:lang w:val="fr-FR"/>
        </w:rPr>
        <w:t>» et «</w:t>
      </w:r>
      <w:proofErr w:type="spellStart"/>
      <w:r w:rsidR="005F7F44">
        <w:rPr>
          <w:lang w:val="fr-FR"/>
        </w:rPr>
        <w:t>risk</w:t>
      </w:r>
      <w:proofErr w:type="spellEnd"/>
      <w:r w:rsidR="005F7F44">
        <w:rPr>
          <w:lang w:val="fr-FR"/>
        </w:rPr>
        <w:t>») pour tenir compte en particulier des définitions de ces termes dans le SGH. Le secrétariat de la CEE-ONU préparait une proposition d’harmonisation du RID/ADR/ADN à l’intention du Groupe de travail spécial sur l’harmoni</w:t>
      </w:r>
      <w:r>
        <w:rPr>
          <w:lang w:val="fr-FR"/>
        </w:rPr>
        <w:t>s</w:t>
      </w:r>
      <w:r w:rsidR="005F7F44">
        <w:rPr>
          <w:lang w:val="fr-FR"/>
        </w:rPr>
        <w:t xml:space="preserve">ation du RID/ADR/ADN avec les Recommandations de l’ONU sur le transport des marchandises dangereuses. La Roumanie, l’UIC et l’IRU avaient identifié </w:t>
      </w:r>
      <w:r w:rsidR="005F7F44">
        <w:rPr>
          <w:lang w:val="fr-FR"/>
        </w:rPr>
        <w:lastRenderedPageBreak/>
        <w:t>les paragraphes spécifiques au RID, à l’ADR et à l’ADN où il y aurait éventuellement lieu d’envisager des changements.</w:t>
      </w:r>
    </w:p>
    <w:p w14:paraId="4AE51863" w14:textId="68F87B45" w:rsidR="005F7F44" w:rsidRDefault="00FA7BAE" w:rsidP="005F7F44">
      <w:pPr>
        <w:spacing w:before="120" w:after="120"/>
        <w:ind w:left="1134" w:right="1134"/>
        <w:jc w:val="both"/>
        <w:rPr>
          <w:lang w:val="fr-FR"/>
        </w:rPr>
      </w:pPr>
      <w:r>
        <w:rPr>
          <w:lang w:val="fr-FR"/>
        </w:rPr>
        <w:t>34</w:t>
      </w:r>
      <w:r w:rsidR="005F7F44">
        <w:rPr>
          <w:lang w:val="fr-FR"/>
        </w:rPr>
        <w:t>.</w:t>
      </w:r>
      <w:r w:rsidR="005F7F44">
        <w:rPr>
          <w:lang w:val="fr-FR"/>
        </w:rPr>
        <w:tab/>
        <w:t>La Réunion commune a estimé que le Groupe de travail spécial sur l’harmonisation devrait se concentrer sur l’harmonisation avec les Recommandations de l’ONU, et si le temps le lui permet envisager également les parties spécifiques au RID, à l’ADR et à l’ADN pour lesquelles le représentant de l’UIC fournirait une base de travail. Si le temps ne permet pas au groupe d’étudier les textes qui ne proviennent pas du Règlement type de l’ONU, il incomberait à la Réunion commune, au WP.15, à la Commission d’experts du RID et au Comité de sécurité de l’ADN d’étudier les textes spécifiques au RID, à l’ADR ou à l’ADN comme il convient.</w:t>
      </w:r>
    </w:p>
    <w:p w14:paraId="51E5584B" w14:textId="77777777" w:rsidR="005F7F44" w:rsidRDefault="005F7F44" w:rsidP="005F7F44">
      <w:pPr>
        <w:pStyle w:val="H1G"/>
        <w:rPr>
          <w:sz w:val="20"/>
          <w:lang w:val="fr-FR"/>
        </w:rPr>
      </w:pPr>
      <w:r>
        <w:rPr>
          <w:sz w:val="20"/>
          <w:lang w:val="fr-FR"/>
        </w:rPr>
        <w:tab/>
        <w:t>6</w:t>
      </w:r>
      <w:r w:rsidRPr="0019298E">
        <w:rPr>
          <w:sz w:val="20"/>
          <w:lang w:val="fr-FR"/>
        </w:rPr>
        <w:t>.</w:t>
      </w:r>
      <w:r>
        <w:rPr>
          <w:sz w:val="20"/>
          <w:lang w:val="fr-FR"/>
        </w:rPr>
        <w:tab/>
      </w:r>
      <w:r w:rsidRPr="0019298E">
        <w:rPr>
          <w:sz w:val="20"/>
          <w:lang w:val="fr-FR"/>
        </w:rPr>
        <w:tab/>
      </w:r>
      <w:r>
        <w:rPr>
          <w:sz w:val="20"/>
          <w:lang w:val="fr-FR"/>
        </w:rPr>
        <w:t>Disposition spéciale 250 du chapitre 3.3</w:t>
      </w:r>
    </w:p>
    <w:p w14:paraId="66791647" w14:textId="77777777" w:rsidR="005F7F44" w:rsidRDefault="005F7F44" w:rsidP="002C7834">
      <w:pPr>
        <w:pStyle w:val="SingleTxtG"/>
        <w:tabs>
          <w:tab w:val="left" w:pos="3100"/>
        </w:tabs>
        <w:spacing w:after="0"/>
        <w:rPr>
          <w:lang w:val="fr-FR"/>
        </w:rPr>
      </w:pPr>
      <w:r w:rsidRPr="00EA4A82">
        <w:rPr>
          <w:i/>
          <w:lang w:val="fr-FR"/>
        </w:rPr>
        <w:t>Document</w:t>
      </w:r>
      <w:r w:rsidR="00FA7BAE">
        <w:rPr>
          <w:i/>
          <w:lang w:val="fr-FR"/>
        </w:rPr>
        <w:t>s</w:t>
      </w:r>
      <w:r>
        <w:rPr>
          <w:i/>
          <w:lang w:val="fr-FR"/>
        </w:rPr>
        <w:t xml:space="preserve"> informel</w:t>
      </w:r>
      <w:r w:rsidR="00FA7BAE">
        <w:rPr>
          <w:i/>
          <w:lang w:val="fr-FR"/>
        </w:rPr>
        <w:t>s</w:t>
      </w:r>
      <w:r w:rsidRPr="00E30AEE">
        <w:rPr>
          <w:i/>
          <w:lang w:val="fr-FR"/>
        </w:rPr>
        <w:t>:</w:t>
      </w:r>
      <w:r>
        <w:rPr>
          <w:lang w:val="fr-FR"/>
        </w:rPr>
        <w:tab/>
      </w:r>
      <w:r>
        <w:rPr>
          <w:lang w:val="fr-FR"/>
        </w:rPr>
        <w:tab/>
        <w:t>INF.21 (Suède)</w:t>
      </w:r>
    </w:p>
    <w:p w14:paraId="4E588440" w14:textId="77777777" w:rsidR="00FA7BAE" w:rsidRDefault="00FA7BAE" w:rsidP="005F7F44">
      <w:pPr>
        <w:pStyle w:val="SingleTxtG"/>
        <w:tabs>
          <w:tab w:val="left" w:pos="3100"/>
        </w:tabs>
        <w:rPr>
          <w:lang w:val="fr-FR"/>
        </w:rPr>
      </w:pPr>
      <w:r>
        <w:rPr>
          <w:lang w:val="fr-FR"/>
        </w:rPr>
        <w:tab/>
      </w:r>
      <w:r>
        <w:rPr>
          <w:lang w:val="fr-FR"/>
        </w:rPr>
        <w:tab/>
        <w:t>INF.31 (Suède)</w:t>
      </w:r>
    </w:p>
    <w:p w14:paraId="34D658A7" w14:textId="1F9E04C6" w:rsidR="005F7F44" w:rsidRDefault="00FA7BAE" w:rsidP="005F7F44">
      <w:pPr>
        <w:spacing w:before="120" w:after="120"/>
        <w:ind w:left="1134" w:right="1134"/>
        <w:jc w:val="both"/>
        <w:rPr>
          <w:lang w:val="fr-FR"/>
        </w:rPr>
      </w:pPr>
      <w:r>
        <w:rPr>
          <w:lang w:val="fr-FR"/>
        </w:rPr>
        <w:t>35</w:t>
      </w:r>
      <w:r w:rsidR="005F7F44">
        <w:rPr>
          <w:lang w:val="fr-FR"/>
        </w:rPr>
        <w:t>.</w:t>
      </w:r>
      <w:r w:rsidR="005F7F44">
        <w:rPr>
          <w:lang w:val="fr-FR"/>
        </w:rPr>
        <w:tab/>
        <w:t>La Réunion commune a noté que l’alinéa a) de la disposition spéciale 250 différait de celui du Règlement type de l’ONU dans le sens où il comportait une référence au paragraphe S.3.8 du supplément aux Instructions techniques de l’OACI que la Suède proposait de modifier pour la remplacer par une référence au paragraphe S.4.8. La question s’est posée de savoir s’il convenait de prévoir dans le RID/ADR/ADN une référence à ce paragraphe du supplément, et la Réunion commune a donc prié la représentante de la Suède de vérifier si ladite instruction d’emballage figurant dans le supplément aux éditions précédentes des Instructions techniques de l’OACI n’avait pas été introduite dans la version 2017.</w:t>
      </w:r>
    </w:p>
    <w:p w14:paraId="101D7060" w14:textId="697200FC" w:rsidR="005F7F44" w:rsidRDefault="00FA7BAE" w:rsidP="005F7F44">
      <w:pPr>
        <w:pStyle w:val="SingleTxtG"/>
        <w:rPr>
          <w:color w:val="000000" w:themeColor="text1"/>
          <w:lang w:val="fr-FR"/>
        </w:rPr>
      </w:pPr>
      <w:r>
        <w:rPr>
          <w:color w:val="000000" w:themeColor="text1"/>
          <w:lang w:val="fr-FR"/>
        </w:rPr>
        <w:t>36</w:t>
      </w:r>
      <w:r w:rsidR="005F7F44" w:rsidRPr="000C045F">
        <w:rPr>
          <w:color w:val="000000" w:themeColor="text1"/>
          <w:lang w:val="fr-FR"/>
        </w:rPr>
        <w:t>.</w:t>
      </w:r>
      <w:r w:rsidR="005F7F44" w:rsidRPr="000C045F">
        <w:rPr>
          <w:color w:val="000000" w:themeColor="text1"/>
          <w:lang w:val="fr-FR"/>
        </w:rPr>
        <w:tab/>
        <w:t>Sur</w:t>
      </w:r>
      <w:r w:rsidR="005F7F44">
        <w:rPr>
          <w:color w:val="000000" w:themeColor="text1"/>
          <w:lang w:val="fr-FR"/>
        </w:rPr>
        <w:t xml:space="preserve"> </w:t>
      </w:r>
      <w:r>
        <w:rPr>
          <w:color w:val="000000" w:themeColor="text1"/>
          <w:lang w:val="fr-FR"/>
        </w:rPr>
        <w:t xml:space="preserve">une nouvelle </w:t>
      </w:r>
      <w:r w:rsidR="005F7F44">
        <w:rPr>
          <w:color w:val="000000" w:themeColor="text1"/>
          <w:lang w:val="fr-FR"/>
        </w:rPr>
        <w:t>proposition de la Suède</w:t>
      </w:r>
      <w:r>
        <w:rPr>
          <w:color w:val="000000" w:themeColor="text1"/>
          <w:lang w:val="fr-FR"/>
        </w:rPr>
        <w:t xml:space="preserve"> dans le document informel INF.31</w:t>
      </w:r>
      <w:r w:rsidR="005F7F44">
        <w:rPr>
          <w:color w:val="000000" w:themeColor="text1"/>
          <w:lang w:val="fr-FR"/>
        </w:rPr>
        <w:t>, la Réunion commune a finalement décidé de supprimer le texte entre parenthèses renvoyant au supplément des Instructions techniques de l’OACI (voir annexe</w:t>
      </w:r>
      <w:r>
        <w:rPr>
          <w:color w:val="000000" w:themeColor="text1"/>
          <w:lang w:val="fr-FR"/>
        </w:rPr>
        <w:t xml:space="preserve"> II</w:t>
      </w:r>
      <w:r w:rsidR="005F7F44">
        <w:rPr>
          <w:color w:val="000000" w:themeColor="text1"/>
          <w:lang w:val="fr-FR"/>
        </w:rPr>
        <w:t>).</w:t>
      </w:r>
    </w:p>
    <w:p w14:paraId="546CCC92" w14:textId="77777777" w:rsidR="005F7F44" w:rsidRDefault="005F7F44" w:rsidP="005F7F44">
      <w:pPr>
        <w:pStyle w:val="H1G"/>
        <w:rPr>
          <w:sz w:val="20"/>
          <w:lang w:val="fr-FR"/>
        </w:rPr>
      </w:pPr>
      <w:r>
        <w:rPr>
          <w:sz w:val="20"/>
          <w:lang w:val="fr-FR"/>
        </w:rPr>
        <w:tab/>
        <w:t>7</w:t>
      </w:r>
      <w:r w:rsidRPr="0019298E">
        <w:rPr>
          <w:sz w:val="20"/>
          <w:lang w:val="fr-FR"/>
        </w:rPr>
        <w:t>.</w:t>
      </w:r>
      <w:r>
        <w:rPr>
          <w:sz w:val="20"/>
          <w:lang w:val="fr-FR"/>
        </w:rPr>
        <w:tab/>
        <w:t>Diverses corrections aux parties 1, 2, 4, 5 et 6</w:t>
      </w:r>
    </w:p>
    <w:p w14:paraId="6CF0D1A1" w14:textId="77777777" w:rsidR="005F7F44" w:rsidRDefault="005F7F44" w:rsidP="005F7F44">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r>
      <w:r>
        <w:rPr>
          <w:lang w:val="fr-FR"/>
        </w:rPr>
        <w:tab/>
        <w:t>INF.23 (Fédération de Russie)</w:t>
      </w:r>
    </w:p>
    <w:p w14:paraId="6DA71076" w14:textId="559CA6AD" w:rsidR="005F7F44" w:rsidRDefault="00FA7BAE" w:rsidP="005F7F44">
      <w:pPr>
        <w:pStyle w:val="SingleTxtG"/>
        <w:rPr>
          <w:lang w:val="fr-FR"/>
        </w:rPr>
      </w:pPr>
      <w:r>
        <w:rPr>
          <w:lang w:val="fr-FR"/>
        </w:rPr>
        <w:t>37</w:t>
      </w:r>
      <w:r w:rsidR="005F7F44">
        <w:rPr>
          <w:lang w:val="fr-FR"/>
        </w:rPr>
        <w:t>.</w:t>
      </w:r>
      <w:r w:rsidR="005F7F44">
        <w:rPr>
          <w:lang w:val="fr-FR"/>
        </w:rPr>
        <w:tab/>
        <w:t>La Réunion commune a pris note des diverses modifications éditoriales ou corrections proposées, mais ces propositions, dont certaines ne semblaient concerner que le RID, ayant été soumises tardivement, a prié le représentant de la Fédération de Russie de les formuler dans un document officiel en vérifiant si elles s’appliquent également à l’ADR et à l’ADN.</w:t>
      </w:r>
    </w:p>
    <w:p w14:paraId="665E3DBE" w14:textId="3F6FC2CB" w:rsidR="005F7F44" w:rsidRPr="00A01122" w:rsidRDefault="005F7F44" w:rsidP="005F7F44">
      <w:pPr>
        <w:pStyle w:val="H1G"/>
        <w:tabs>
          <w:tab w:val="clear" w:pos="851"/>
        </w:tabs>
        <w:ind w:left="567" w:hanging="567"/>
        <w:rPr>
          <w:color w:val="000000" w:themeColor="text1"/>
          <w:sz w:val="20"/>
          <w:lang w:val="fr-FR"/>
        </w:rPr>
      </w:pPr>
      <w:r>
        <w:rPr>
          <w:color w:val="000000" w:themeColor="text1"/>
          <w:sz w:val="20"/>
          <w:lang w:val="fr-FR"/>
        </w:rPr>
        <w:tab/>
        <w:t>8.</w:t>
      </w:r>
      <w:r>
        <w:rPr>
          <w:color w:val="000000" w:themeColor="text1"/>
          <w:sz w:val="20"/>
          <w:lang w:val="fr-FR"/>
        </w:rPr>
        <w:tab/>
        <w:t>Paragraphe 1.8.3.16.2</w:t>
      </w:r>
    </w:p>
    <w:p w14:paraId="4873999C" w14:textId="77777777" w:rsidR="005F7F44" w:rsidRPr="00A01122" w:rsidRDefault="005F7F44" w:rsidP="005F7F44">
      <w:pPr>
        <w:pStyle w:val="SingleTxtG"/>
        <w:tabs>
          <w:tab w:val="left" w:pos="3100"/>
        </w:tabs>
        <w:rPr>
          <w:i/>
          <w:color w:val="000000" w:themeColor="text1"/>
          <w:lang w:val="fr-FR"/>
        </w:rPr>
      </w:pPr>
      <w:r w:rsidRPr="00A01122">
        <w:rPr>
          <w:i/>
          <w:color w:val="000000" w:themeColor="text1"/>
          <w:lang w:val="fr-FR"/>
        </w:rPr>
        <w:t>Document:</w:t>
      </w:r>
      <w:r>
        <w:rPr>
          <w:color w:val="000000" w:themeColor="text1"/>
          <w:lang w:val="fr-FR"/>
        </w:rPr>
        <w:tab/>
      </w:r>
      <w:r>
        <w:rPr>
          <w:color w:val="000000" w:themeColor="text1"/>
          <w:lang w:val="fr-FR"/>
        </w:rPr>
        <w:tab/>
        <w:t>ECE/TRANS/WP.15/AC.1/2017/</w:t>
      </w:r>
      <w:r w:rsidRPr="00A01122">
        <w:rPr>
          <w:color w:val="000000" w:themeColor="text1"/>
          <w:lang w:val="fr-FR"/>
        </w:rPr>
        <w:t>4 (</w:t>
      </w:r>
      <w:r>
        <w:rPr>
          <w:color w:val="000000" w:themeColor="text1"/>
          <w:lang w:val="fr-FR"/>
        </w:rPr>
        <w:t>Italie</w:t>
      </w:r>
      <w:r w:rsidRPr="00A01122">
        <w:rPr>
          <w:color w:val="000000" w:themeColor="text1"/>
          <w:lang w:val="fr-FR"/>
        </w:rPr>
        <w:t>)</w:t>
      </w:r>
    </w:p>
    <w:p w14:paraId="15D8CB9E" w14:textId="77777777" w:rsidR="005F7F44" w:rsidRDefault="005F7F44" w:rsidP="005F7F44">
      <w:pPr>
        <w:pStyle w:val="SingleTxtG"/>
        <w:tabs>
          <w:tab w:val="left" w:pos="3100"/>
        </w:tabs>
        <w:rPr>
          <w:color w:val="000000" w:themeColor="text1"/>
          <w:lang w:val="fr-FR"/>
        </w:rPr>
      </w:pPr>
      <w:r w:rsidRPr="00A01122">
        <w:rPr>
          <w:i/>
          <w:color w:val="000000" w:themeColor="text1"/>
          <w:lang w:val="fr-FR"/>
        </w:rPr>
        <w:t>Document informel:</w:t>
      </w:r>
      <w:r>
        <w:rPr>
          <w:color w:val="000000" w:themeColor="text1"/>
          <w:lang w:val="fr-FR"/>
        </w:rPr>
        <w:tab/>
      </w:r>
      <w:r>
        <w:rPr>
          <w:color w:val="000000" w:themeColor="text1"/>
          <w:lang w:val="fr-FR"/>
        </w:rPr>
        <w:tab/>
        <w:t>INF.17</w:t>
      </w:r>
      <w:r w:rsidRPr="00A01122">
        <w:rPr>
          <w:color w:val="000000" w:themeColor="text1"/>
          <w:lang w:val="fr-FR"/>
        </w:rPr>
        <w:t xml:space="preserve"> (</w:t>
      </w:r>
      <w:r>
        <w:rPr>
          <w:color w:val="000000" w:themeColor="text1"/>
          <w:lang w:val="fr-FR"/>
        </w:rPr>
        <w:t>EASA</w:t>
      </w:r>
      <w:r w:rsidRPr="00A01122">
        <w:rPr>
          <w:color w:val="000000" w:themeColor="text1"/>
          <w:lang w:val="fr-FR"/>
        </w:rPr>
        <w:t>)</w:t>
      </w:r>
    </w:p>
    <w:p w14:paraId="39082CFD" w14:textId="737D11A9" w:rsidR="005F7F44" w:rsidRDefault="00FA7BAE" w:rsidP="005F7F44">
      <w:pPr>
        <w:spacing w:before="120" w:after="120"/>
        <w:ind w:left="1134" w:right="1134"/>
        <w:jc w:val="both"/>
        <w:rPr>
          <w:color w:val="000000" w:themeColor="text1"/>
          <w:lang w:val="fr-FR"/>
        </w:rPr>
      </w:pPr>
      <w:r>
        <w:rPr>
          <w:color w:val="000000" w:themeColor="text1"/>
          <w:lang w:val="fr-FR"/>
        </w:rPr>
        <w:t>38</w:t>
      </w:r>
      <w:r w:rsidR="005F7F44">
        <w:rPr>
          <w:color w:val="000000" w:themeColor="text1"/>
          <w:lang w:val="fr-FR"/>
        </w:rPr>
        <w:t>.</w:t>
      </w:r>
      <w:r w:rsidR="005F7F44">
        <w:rPr>
          <w:color w:val="000000" w:themeColor="text1"/>
          <w:lang w:val="fr-FR"/>
        </w:rPr>
        <w:tab/>
        <w:t>Les avis étaient partagés sur la proposition d’exiger un examen complet, avec réalisation de l’étude de cas mentionnée au 1.8.3.12.4 b), pour le renouvellement du certificat de conseiller à la sécurité. La proposition a finalement été mise aux voix et a été rejetée.</w:t>
      </w:r>
    </w:p>
    <w:p w14:paraId="09B2AF6B" w14:textId="77777777" w:rsidR="005F7F44" w:rsidRPr="007A5E55" w:rsidRDefault="005F7F44" w:rsidP="007A5E55">
      <w:pPr>
        <w:pStyle w:val="H1G"/>
        <w:tabs>
          <w:tab w:val="clear" w:pos="851"/>
        </w:tabs>
        <w:ind w:left="567" w:firstLine="0"/>
        <w:rPr>
          <w:b w:val="0"/>
          <w:color w:val="000000" w:themeColor="text1"/>
          <w:sz w:val="20"/>
          <w:lang w:val="fr-FR"/>
        </w:rPr>
      </w:pPr>
      <w:r w:rsidRPr="007A5E55">
        <w:rPr>
          <w:color w:val="000000" w:themeColor="text1"/>
          <w:sz w:val="20"/>
          <w:lang w:val="fr-FR"/>
        </w:rPr>
        <w:t>9.</w:t>
      </w:r>
      <w:r w:rsidRPr="007A5E55">
        <w:rPr>
          <w:color w:val="000000" w:themeColor="text1"/>
          <w:sz w:val="20"/>
          <w:lang w:val="fr-FR"/>
        </w:rPr>
        <w:tab/>
        <w:t>Modifications de la section 1.8.3</w:t>
      </w:r>
    </w:p>
    <w:p w14:paraId="2700569E" w14:textId="77777777" w:rsidR="005F7F44" w:rsidRPr="00A01122" w:rsidRDefault="005F7F44" w:rsidP="005F7F44">
      <w:pPr>
        <w:pStyle w:val="SingleTxtG"/>
        <w:tabs>
          <w:tab w:val="left" w:pos="3100"/>
        </w:tabs>
        <w:rPr>
          <w:i/>
          <w:color w:val="000000" w:themeColor="text1"/>
          <w:lang w:val="fr-FR"/>
        </w:rPr>
      </w:pPr>
      <w:r w:rsidRPr="00A01122">
        <w:rPr>
          <w:i/>
          <w:color w:val="000000" w:themeColor="text1"/>
          <w:lang w:val="fr-FR"/>
        </w:rPr>
        <w:t>Document:</w:t>
      </w:r>
      <w:r>
        <w:rPr>
          <w:color w:val="000000" w:themeColor="text1"/>
          <w:lang w:val="fr-FR"/>
        </w:rPr>
        <w:tab/>
      </w:r>
      <w:r>
        <w:rPr>
          <w:color w:val="000000" w:themeColor="text1"/>
          <w:lang w:val="fr-FR"/>
        </w:rPr>
        <w:tab/>
        <w:t>ECE/TRANS/WP.15/AC.1/2017/5</w:t>
      </w:r>
      <w:r w:rsidRPr="00A01122">
        <w:rPr>
          <w:color w:val="000000" w:themeColor="text1"/>
          <w:lang w:val="fr-FR"/>
        </w:rPr>
        <w:t xml:space="preserve"> (</w:t>
      </w:r>
      <w:r>
        <w:rPr>
          <w:color w:val="000000" w:themeColor="text1"/>
          <w:lang w:val="fr-FR"/>
        </w:rPr>
        <w:t>Italie</w:t>
      </w:r>
      <w:r w:rsidRPr="00A01122">
        <w:rPr>
          <w:color w:val="000000" w:themeColor="text1"/>
          <w:lang w:val="fr-FR"/>
        </w:rPr>
        <w:t>)</w:t>
      </w:r>
    </w:p>
    <w:p w14:paraId="5307AE75" w14:textId="77777777" w:rsidR="005F7F44" w:rsidRDefault="005F7F44" w:rsidP="005F7F44">
      <w:pPr>
        <w:pStyle w:val="SingleTxtG"/>
        <w:tabs>
          <w:tab w:val="left" w:pos="3100"/>
        </w:tabs>
        <w:rPr>
          <w:color w:val="000000" w:themeColor="text1"/>
          <w:lang w:val="fr-FR"/>
        </w:rPr>
      </w:pPr>
      <w:r w:rsidRPr="00A01122">
        <w:rPr>
          <w:i/>
          <w:color w:val="000000" w:themeColor="text1"/>
          <w:lang w:val="fr-FR"/>
        </w:rPr>
        <w:t>Document informel:</w:t>
      </w:r>
      <w:r>
        <w:rPr>
          <w:color w:val="000000" w:themeColor="text1"/>
          <w:lang w:val="fr-FR"/>
        </w:rPr>
        <w:tab/>
      </w:r>
      <w:r>
        <w:rPr>
          <w:color w:val="000000" w:themeColor="text1"/>
          <w:lang w:val="fr-FR"/>
        </w:rPr>
        <w:tab/>
        <w:t>INF.17</w:t>
      </w:r>
      <w:r w:rsidRPr="00A01122">
        <w:rPr>
          <w:color w:val="000000" w:themeColor="text1"/>
          <w:lang w:val="fr-FR"/>
        </w:rPr>
        <w:t xml:space="preserve"> (</w:t>
      </w:r>
      <w:r>
        <w:rPr>
          <w:color w:val="000000" w:themeColor="text1"/>
          <w:lang w:val="fr-FR"/>
        </w:rPr>
        <w:t>EASA</w:t>
      </w:r>
      <w:r w:rsidRPr="00A01122">
        <w:rPr>
          <w:color w:val="000000" w:themeColor="text1"/>
          <w:lang w:val="fr-FR"/>
        </w:rPr>
        <w:t>)</w:t>
      </w:r>
    </w:p>
    <w:p w14:paraId="68BCAE25" w14:textId="201B83BF" w:rsidR="005F7F44" w:rsidRDefault="00FA7BAE" w:rsidP="002C7834">
      <w:pPr>
        <w:spacing w:after="120"/>
        <w:ind w:left="1134" w:right="1134"/>
        <w:jc w:val="both"/>
        <w:rPr>
          <w:color w:val="000000" w:themeColor="text1"/>
          <w:lang w:val="fr-FR"/>
        </w:rPr>
      </w:pPr>
      <w:r>
        <w:rPr>
          <w:color w:val="000000" w:themeColor="text1"/>
          <w:lang w:val="fr-FR"/>
        </w:rPr>
        <w:lastRenderedPageBreak/>
        <w:t>39</w:t>
      </w:r>
      <w:r w:rsidR="005F7F44" w:rsidRPr="00A01122">
        <w:rPr>
          <w:color w:val="000000" w:themeColor="text1"/>
          <w:lang w:val="fr-FR"/>
        </w:rPr>
        <w:t>.</w:t>
      </w:r>
      <w:r w:rsidR="005F7F44" w:rsidRPr="00A01122">
        <w:rPr>
          <w:color w:val="000000" w:themeColor="text1"/>
          <w:lang w:val="fr-FR"/>
        </w:rPr>
        <w:tab/>
      </w:r>
      <w:r w:rsidR="005F7F44">
        <w:rPr>
          <w:color w:val="000000" w:themeColor="text1"/>
          <w:lang w:val="fr-FR"/>
        </w:rPr>
        <w:t>La première proposition visant à fixer les résultats minimaux aux épreuves décrites aux 1.8.3.12.4 a) et b) pour la réussite à l’examen n’a pas reçu beaucoup de soutien, et le représentant de l’Italie l’a retirée.</w:t>
      </w:r>
    </w:p>
    <w:p w14:paraId="036CE6EC" w14:textId="6014B948" w:rsidR="005F7F44" w:rsidRDefault="00FA7BAE" w:rsidP="005F7F44">
      <w:pPr>
        <w:ind w:left="1134" w:right="1134"/>
        <w:jc w:val="both"/>
        <w:rPr>
          <w:color w:val="000000" w:themeColor="text1"/>
          <w:lang w:val="fr-FR"/>
        </w:rPr>
      </w:pPr>
      <w:r>
        <w:rPr>
          <w:color w:val="000000" w:themeColor="text1"/>
          <w:lang w:val="fr-FR"/>
        </w:rPr>
        <w:t>40</w:t>
      </w:r>
      <w:r w:rsidR="005F7F44">
        <w:rPr>
          <w:color w:val="000000" w:themeColor="text1"/>
          <w:lang w:val="fr-FR"/>
        </w:rPr>
        <w:t>.</w:t>
      </w:r>
      <w:r w:rsidR="005F7F44">
        <w:rPr>
          <w:color w:val="000000" w:themeColor="text1"/>
          <w:lang w:val="fr-FR"/>
        </w:rPr>
        <w:tab/>
        <w:t>La deuxième proposition relative à la durée de validité d’un nouveau certificat lorsque le champ d’application du certificat est étendu durant sa période de validité a été adoptée en l’état (voir annexe</w:t>
      </w:r>
      <w:r>
        <w:rPr>
          <w:color w:val="000000" w:themeColor="text1"/>
          <w:lang w:val="fr-FR"/>
        </w:rPr>
        <w:t xml:space="preserve"> II</w:t>
      </w:r>
      <w:r w:rsidR="005F7F44">
        <w:rPr>
          <w:color w:val="000000" w:themeColor="text1"/>
          <w:lang w:val="fr-FR"/>
        </w:rPr>
        <w:t>).</w:t>
      </w:r>
    </w:p>
    <w:p w14:paraId="03E3AC40" w14:textId="77777777" w:rsidR="005F7F44" w:rsidRDefault="005F7F44" w:rsidP="005F7F44">
      <w:pPr>
        <w:pStyle w:val="H1G"/>
        <w:rPr>
          <w:color w:val="000000" w:themeColor="text1"/>
          <w:sz w:val="20"/>
          <w:lang w:val="fr-FR"/>
        </w:rPr>
      </w:pPr>
      <w:r w:rsidRPr="000C045F">
        <w:rPr>
          <w:color w:val="000000" w:themeColor="text1"/>
          <w:sz w:val="20"/>
          <w:lang w:val="fr-FR"/>
        </w:rPr>
        <w:tab/>
        <w:t>10.</w:t>
      </w:r>
      <w:r w:rsidRPr="000C045F">
        <w:rPr>
          <w:color w:val="000000" w:themeColor="text1"/>
          <w:sz w:val="20"/>
          <w:lang w:val="fr-FR"/>
        </w:rPr>
        <w:tab/>
      </w:r>
      <w:r>
        <w:rPr>
          <w:color w:val="000000" w:themeColor="text1"/>
          <w:sz w:val="20"/>
          <w:lang w:val="fr-FR"/>
        </w:rPr>
        <w:t>Extension des dispositions du chapitre 5.2 sur la résistance aux intempéries aux plaques-étiquettes, aux panneaux orange et aux marques</w:t>
      </w:r>
    </w:p>
    <w:p w14:paraId="5053D5C9" w14:textId="77777777" w:rsidR="005F7F44" w:rsidRPr="00A01122" w:rsidRDefault="005F7F44" w:rsidP="005F7F44">
      <w:pPr>
        <w:pStyle w:val="SingleTxtG"/>
        <w:tabs>
          <w:tab w:val="left" w:pos="3100"/>
        </w:tabs>
        <w:rPr>
          <w:i/>
          <w:color w:val="000000" w:themeColor="text1"/>
          <w:lang w:val="fr-FR"/>
        </w:rPr>
      </w:pPr>
      <w:r w:rsidRPr="00A01122">
        <w:rPr>
          <w:i/>
          <w:color w:val="000000" w:themeColor="text1"/>
          <w:lang w:val="fr-FR"/>
        </w:rPr>
        <w:t>Document:</w:t>
      </w:r>
      <w:r>
        <w:rPr>
          <w:color w:val="000000" w:themeColor="text1"/>
          <w:lang w:val="fr-FR"/>
        </w:rPr>
        <w:tab/>
      </w:r>
      <w:r>
        <w:rPr>
          <w:color w:val="000000" w:themeColor="text1"/>
          <w:lang w:val="fr-FR"/>
        </w:rPr>
        <w:tab/>
        <w:t>ECE/TRANS/WP.15/AC.1/2017/1</w:t>
      </w:r>
      <w:r w:rsidRPr="00A01122">
        <w:rPr>
          <w:color w:val="000000" w:themeColor="text1"/>
          <w:lang w:val="fr-FR"/>
        </w:rPr>
        <w:t xml:space="preserve"> (</w:t>
      </w:r>
      <w:r>
        <w:rPr>
          <w:color w:val="000000" w:themeColor="text1"/>
          <w:lang w:val="fr-FR"/>
        </w:rPr>
        <w:t>UIC</w:t>
      </w:r>
      <w:r w:rsidRPr="00A01122">
        <w:rPr>
          <w:color w:val="000000" w:themeColor="text1"/>
          <w:lang w:val="fr-FR"/>
        </w:rPr>
        <w:t>)</w:t>
      </w:r>
    </w:p>
    <w:p w14:paraId="3B3D6540" w14:textId="77777777" w:rsidR="005F7F44" w:rsidRDefault="005F7F44" w:rsidP="005F7F44">
      <w:pPr>
        <w:pStyle w:val="SingleTxtG"/>
        <w:tabs>
          <w:tab w:val="left" w:pos="3100"/>
        </w:tabs>
        <w:rPr>
          <w:color w:val="000000" w:themeColor="text1"/>
          <w:lang w:val="fr-FR"/>
        </w:rPr>
      </w:pPr>
      <w:r w:rsidRPr="00A01122">
        <w:rPr>
          <w:i/>
          <w:color w:val="000000" w:themeColor="text1"/>
          <w:lang w:val="fr-FR"/>
        </w:rPr>
        <w:t>Document</w:t>
      </w:r>
      <w:r>
        <w:rPr>
          <w:i/>
          <w:color w:val="000000" w:themeColor="text1"/>
          <w:lang w:val="fr-FR"/>
        </w:rPr>
        <w:t>s</w:t>
      </w:r>
      <w:r w:rsidRPr="00A01122">
        <w:rPr>
          <w:i/>
          <w:color w:val="000000" w:themeColor="text1"/>
          <w:lang w:val="fr-FR"/>
        </w:rPr>
        <w:t xml:space="preserve"> informel</w:t>
      </w:r>
      <w:r>
        <w:rPr>
          <w:i/>
          <w:color w:val="000000" w:themeColor="text1"/>
          <w:lang w:val="fr-FR"/>
        </w:rPr>
        <w:t>s</w:t>
      </w:r>
      <w:r w:rsidRPr="00A01122">
        <w:rPr>
          <w:i/>
          <w:color w:val="000000" w:themeColor="text1"/>
          <w:lang w:val="fr-FR"/>
        </w:rPr>
        <w:t>:</w:t>
      </w:r>
      <w:r>
        <w:rPr>
          <w:color w:val="000000" w:themeColor="text1"/>
          <w:lang w:val="fr-FR"/>
        </w:rPr>
        <w:tab/>
      </w:r>
      <w:r>
        <w:rPr>
          <w:color w:val="000000" w:themeColor="text1"/>
          <w:lang w:val="fr-FR"/>
        </w:rPr>
        <w:tab/>
        <w:t>INF.29 et INF.29/Rev.1</w:t>
      </w:r>
      <w:r w:rsidRPr="00A01122">
        <w:rPr>
          <w:color w:val="000000" w:themeColor="text1"/>
          <w:lang w:val="fr-FR"/>
        </w:rPr>
        <w:t xml:space="preserve"> (</w:t>
      </w:r>
      <w:r>
        <w:rPr>
          <w:color w:val="000000" w:themeColor="text1"/>
          <w:lang w:val="fr-FR"/>
        </w:rPr>
        <w:t>UIC</w:t>
      </w:r>
      <w:r w:rsidRPr="00A01122">
        <w:rPr>
          <w:color w:val="000000" w:themeColor="text1"/>
          <w:lang w:val="fr-FR"/>
        </w:rPr>
        <w:t>)</w:t>
      </w:r>
    </w:p>
    <w:p w14:paraId="3D620AF0" w14:textId="77777777" w:rsidR="005F7F44" w:rsidRDefault="005F7F44" w:rsidP="005F7F44">
      <w:pPr>
        <w:pStyle w:val="SingleTxtG"/>
        <w:rPr>
          <w:color w:val="000000" w:themeColor="text1"/>
          <w:lang w:val="fr-FR"/>
        </w:rPr>
      </w:pPr>
      <w:r>
        <w:rPr>
          <w:color w:val="000000" w:themeColor="text1"/>
          <w:lang w:val="fr-FR"/>
        </w:rPr>
        <w:t>41.</w:t>
      </w:r>
      <w:r>
        <w:rPr>
          <w:color w:val="000000" w:themeColor="text1"/>
          <w:lang w:val="fr-FR"/>
        </w:rPr>
        <w:tab/>
        <w:t>Suite aux débats, le représentant de l’UIC a dit qu’il soumettrait une nouvelle proposition à la prochaine session pour tenir compte des commentaires.</w:t>
      </w:r>
    </w:p>
    <w:p w14:paraId="754A65FC" w14:textId="77777777" w:rsidR="005F7F44" w:rsidRPr="00A01122" w:rsidRDefault="005F7F44" w:rsidP="005F7F44">
      <w:pPr>
        <w:pStyle w:val="HChG"/>
        <w:rPr>
          <w:color w:val="000000" w:themeColor="text1"/>
        </w:rPr>
      </w:pPr>
      <w:r>
        <w:tab/>
      </w:r>
      <w:r>
        <w:rPr>
          <w:color w:val="000000" w:themeColor="text1"/>
        </w:rPr>
        <w:t>VII</w:t>
      </w:r>
      <w:r w:rsidRPr="00A01122">
        <w:rPr>
          <w:color w:val="000000" w:themeColor="text1"/>
        </w:rPr>
        <w:t>.</w:t>
      </w:r>
      <w:r w:rsidRPr="00A01122">
        <w:rPr>
          <w:color w:val="000000" w:themeColor="text1"/>
        </w:rPr>
        <w:tab/>
      </w:r>
      <w:r>
        <w:rPr>
          <w:color w:val="000000" w:themeColor="text1"/>
        </w:rPr>
        <w:t xml:space="preserve">Rapports des </w:t>
      </w:r>
      <w:proofErr w:type="spellStart"/>
      <w:r>
        <w:rPr>
          <w:color w:val="000000" w:themeColor="text1"/>
        </w:rPr>
        <w:t>groupes</w:t>
      </w:r>
      <w:proofErr w:type="spellEnd"/>
      <w:r>
        <w:rPr>
          <w:color w:val="000000" w:themeColor="text1"/>
        </w:rPr>
        <w:t xml:space="preserve"> de travail </w:t>
      </w:r>
      <w:proofErr w:type="spellStart"/>
      <w:r>
        <w:rPr>
          <w:color w:val="000000" w:themeColor="text1"/>
        </w:rPr>
        <w:t>informels</w:t>
      </w:r>
      <w:proofErr w:type="spellEnd"/>
      <w:r w:rsidRPr="00A01122">
        <w:rPr>
          <w:color w:val="000000" w:themeColor="text1"/>
        </w:rPr>
        <w:t xml:space="preserve"> </w:t>
      </w:r>
      <w:r>
        <w:rPr>
          <w:color w:val="000000" w:themeColor="text1"/>
        </w:rPr>
        <w:t xml:space="preserve">(point 6 de </w:t>
      </w:r>
      <w:proofErr w:type="spellStart"/>
      <w:r>
        <w:rPr>
          <w:color w:val="000000" w:themeColor="text1"/>
        </w:rPr>
        <w:t>l’ordre</w:t>
      </w:r>
      <w:proofErr w:type="spellEnd"/>
      <w:r>
        <w:rPr>
          <w:color w:val="000000" w:themeColor="text1"/>
        </w:rPr>
        <w:t xml:space="preserve"> du jour)</w:t>
      </w:r>
    </w:p>
    <w:p w14:paraId="42377BB8" w14:textId="77777777" w:rsidR="005F7F44" w:rsidRDefault="005F7F44" w:rsidP="005F7F44">
      <w:pPr>
        <w:pStyle w:val="H1G"/>
        <w:rPr>
          <w:color w:val="000000" w:themeColor="text1"/>
        </w:rPr>
      </w:pPr>
      <w:r w:rsidRPr="00A01122">
        <w:rPr>
          <w:color w:val="000000" w:themeColor="text1"/>
        </w:rPr>
        <w:tab/>
      </w:r>
      <w:r>
        <w:rPr>
          <w:color w:val="000000" w:themeColor="text1"/>
        </w:rPr>
        <w:t>A</w:t>
      </w:r>
      <w:r w:rsidRPr="00A01122">
        <w:rPr>
          <w:color w:val="000000" w:themeColor="text1"/>
        </w:rPr>
        <w:t>.</w:t>
      </w:r>
      <w:r w:rsidRPr="00A01122">
        <w:rPr>
          <w:color w:val="000000" w:themeColor="text1"/>
        </w:rPr>
        <w:tab/>
      </w:r>
      <w:proofErr w:type="spellStart"/>
      <w:r>
        <w:rPr>
          <w:color w:val="000000" w:themeColor="text1"/>
        </w:rPr>
        <w:t>Groupe</w:t>
      </w:r>
      <w:proofErr w:type="spellEnd"/>
      <w:r>
        <w:rPr>
          <w:color w:val="000000" w:themeColor="text1"/>
        </w:rPr>
        <w:t xml:space="preserve"> de travail </w:t>
      </w:r>
      <w:proofErr w:type="spellStart"/>
      <w:r>
        <w:rPr>
          <w:color w:val="000000" w:themeColor="text1"/>
        </w:rPr>
        <w:t>informel</w:t>
      </w:r>
      <w:proofErr w:type="spellEnd"/>
      <w:r>
        <w:rPr>
          <w:color w:val="000000" w:themeColor="text1"/>
        </w:rPr>
        <w:t xml:space="preserve"> sur les </w:t>
      </w:r>
      <w:proofErr w:type="spellStart"/>
      <w:r>
        <w:rPr>
          <w:color w:val="000000" w:themeColor="text1"/>
        </w:rPr>
        <w:t>méthodes</w:t>
      </w:r>
      <w:proofErr w:type="spellEnd"/>
      <w:r>
        <w:rPr>
          <w:color w:val="000000" w:themeColor="text1"/>
        </w:rPr>
        <w:t xml:space="preserve"> alternatives pour les </w:t>
      </w:r>
      <w:proofErr w:type="spellStart"/>
      <w:r>
        <w:rPr>
          <w:color w:val="000000" w:themeColor="text1"/>
        </w:rPr>
        <w:t>contrôles</w:t>
      </w:r>
      <w:proofErr w:type="spellEnd"/>
      <w:r>
        <w:rPr>
          <w:color w:val="000000" w:themeColor="text1"/>
        </w:rPr>
        <w:t xml:space="preserve"> </w:t>
      </w:r>
      <w:proofErr w:type="spellStart"/>
      <w:r>
        <w:rPr>
          <w:color w:val="000000" w:themeColor="text1"/>
        </w:rPr>
        <w:t>périodiques</w:t>
      </w:r>
      <w:proofErr w:type="spellEnd"/>
    </w:p>
    <w:p w14:paraId="65920F64" w14:textId="77777777" w:rsidR="005F7F44" w:rsidRDefault="005F7F44" w:rsidP="005F7F44">
      <w:pPr>
        <w:pStyle w:val="SingleTxtG"/>
        <w:tabs>
          <w:tab w:val="left" w:pos="3100"/>
        </w:tabs>
        <w:spacing w:after="0"/>
        <w:rPr>
          <w:color w:val="000000" w:themeColor="text1"/>
          <w:lang w:val="fr-FR"/>
        </w:rPr>
      </w:pPr>
      <w:r w:rsidRPr="00A01122">
        <w:rPr>
          <w:i/>
          <w:color w:val="000000" w:themeColor="text1"/>
          <w:lang w:val="fr-FR"/>
        </w:rPr>
        <w:t>Document</w:t>
      </w:r>
      <w:r>
        <w:rPr>
          <w:i/>
          <w:color w:val="000000" w:themeColor="text1"/>
          <w:lang w:val="fr-FR"/>
        </w:rPr>
        <w:t>s</w:t>
      </w:r>
      <w:r w:rsidRPr="00A01122">
        <w:rPr>
          <w:i/>
          <w:color w:val="000000" w:themeColor="text1"/>
          <w:lang w:val="fr-FR"/>
        </w:rPr>
        <w:t xml:space="preserve"> informel</w:t>
      </w:r>
      <w:r>
        <w:rPr>
          <w:i/>
          <w:color w:val="000000" w:themeColor="text1"/>
          <w:lang w:val="fr-FR"/>
        </w:rPr>
        <w:t>s</w:t>
      </w:r>
      <w:r w:rsidRPr="00A01122">
        <w:rPr>
          <w:i/>
          <w:color w:val="000000" w:themeColor="text1"/>
          <w:lang w:val="fr-FR"/>
        </w:rPr>
        <w:t>:</w:t>
      </w:r>
      <w:r>
        <w:rPr>
          <w:color w:val="000000" w:themeColor="text1"/>
          <w:lang w:val="fr-FR"/>
        </w:rPr>
        <w:tab/>
      </w:r>
      <w:r>
        <w:rPr>
          <w:color w:val="000000" w:themeColor="text1"/>
          <w:lang w:val="fr-FR"/>
        </w:rPr>
        <w:tab/>
        <w:t>INF.9</w:t>
      </w:r>
      <w:r w:rsidRPr="00A01122">
        <w:rPr>
          <w:color w:val="000000" w:themeColor="text1"/>
          <w:lang w:val="fr-FR"/>
        </w:rPr>
        <w:t xml:space="preserve"> (</w:t>
      </w:r>
      <w:r>
        <w:rPr>
          <w:color w:val="000000" w:themeColor="text1"/>
          <w:lang w:val="fr-FR"/>
        </w:rPr>
        <w:t>AEGPL, au nom du groupe informel</w:t>
      </w:r>
      <w:r w:rsidRPr="00A01122">
        <w:rPr>
          <w:color w:val="000000" w:themeColor="text1"/>
          <w:lang w:val="fr-FR"/>
        </w:rPr>
        <w:t>)</w:t>
      </w:r>
    </w:p>
    <w:p w14:paraId="2F656F75" w14:textId="77777777" w:rsidR="005F7F44" w:rsidRDefault="005F7F44" w:rsidP="005F7F44">
      <w:pPr>
        <w:pStyle w:val="SingleTxtG"/>
        <w:tabs>
          <w:tab w:val="left" w:pos="3100"/>
        </w:tabs>
        <w:spacing w:after="0"/>
        <w:rPr>
          <w:color w:val="000000" w:themeColor="text1"/>
          <w:lang w:val="fr-FR"/>
        </w:rPr>
      </w:pPr>
      <w:r>
        <w:rPr>
          <w:color w:val="000000" w:themeColor="text1"/>
          <w:lang w:val="fr-FR"/>
        </w:rPr>
        <w:tab/>
      </w:r>
      <w:r>
        <w:rPr>
          <w:color w:val="000000" w:themeColor="text1"/>
          <w:lang w:val="fr-FR"/>
        </w:rPr>
        <w:tab/>
        <w:t>INF.22 (Espagne)</w:t>
      </w:r>
    </w:p>
    <w:p w14:paraId="6171A635" w14:textId="77777777" w:rsidR="005F7F44" w:rsidRDefault="005F7F44" w:rsidP="005F7F44">
      <w:pPr>
        <w:pStyle w:val="SingleTxtG"/>
        <w:tabs>
          <w:tab w:val="left" w:pos="3100"/>
        </w:tabs>
        <w:rPr>
          <w:color w:val="000000" w:themeColor="text1"/>
          <w:lang w:val="fr-FR"/>
        </w:rPr>
      </w:pPr>
      <w:r>
        <w:rPr>
          <w:color w:val="000000" w:themeColor="text1"/>
          <w:lang w:val="fr-FR"/>
        </w:rPr>
        <w:tab/>
      </w:r>
      <w:r>
        <w:rPr>
          <w:color w:val="000000" w:themeColor="text1"/>
          <w:lang w:val="fr-FR"/>
        </w:rPr>
        <w:tab/>
        <w:t>INF.24 (Royaume-Uni)</w:t>
      </w:r>
    </w:p>
    <w:p w14:paraId="10633D5D" w14:textId="5000B20D" w:rsidR="005A52AB" w:rsidRDefault="005A52AB" w:rsidP="005F7F44">
      <w:pPr>
        <w:spacing w:before="120" w:after="120"/>
        <w:ind w:left="1134" w:right="1134"/>
        <w:jc w:val="both"/>
        <w:rPr>
          <w:color w:val="000000" w:themeColor="text1"/>
          <w:lang w:val="fr-FR"/>
        </w:rPr>
      </w:pPr>
      <w:r>
        <w:rPr>
          <w:color w:val="000000" w:themeColor="text1"/>
          <w:lang w:val="fr-FR"/>
        </w:rPr>
        <w:t>42</w:t>
      </w:r>
      <w:r w:rsidR="005F7F44">
        <w:rPr>
          <w:color w:val="000000" w:themeColor="text1"/>
          <w:lang w:val="fr-FR"/>
        </w:rPr>
        <w:t>.</w:t>
      </w:r>
      <w:r w:rsidR="005F7F44">
        <w:rPr>
          <w:color w:val="000000" w:themeColor="text1"/>
          <w:lang w:val="fr-FR"/>
        </w:rPr>
        <w:tab/>
        <w:t>La Réunion commune a pris note de l’état d’avancement des travaux et des trois propositions formulées, et de nombreux commentaires ont été formulés, par exemple sur la difficulté d’introduire dans le RID et l’ADR un mélange de principes directeurs et de procédures en plus des prescriptions techniques proprement dites. Un nouveau mandat a donc été établi pour tenir compte de ces commentaires dans la poursuite des</w:t>
      </w:r>
      <w:r w:rsidR="0095062C">
        <w:rPr>
          <w:color w:val="000000" w:themeColor="text1"/>
          <w:lang w:val="fr-FR"/>
        </w:rPr>
        <w:t xml:space="preserve"> travaux. </w:t>
      </w:r>
      <w:r>
        <w:rPr>
          <w:color w:val="000000" w:themeColor="text1"/>
          <w:lang w:val="fr-FR"/>
        </w:rPr>
        <w:t>En résumé:</w:t>
      </w:r>
    </w:p>
    <w:p w14:paraId="4A35D301" w14:textId="70C9A29A" w:rsidR="005A52AB" w:rsidRDefault="005A52AB" w:rsidP="00732341">
      <w:pPr>
        <w:spacing w:before="120" w:after="120"/>
        <w:ind w:left="1134" w:right="1134" w:firstLine="567"/>
        <w:jc w:val="both"/>
        <w:rPr>
          <w:color w:val="000000" w:themeColor="text1"/>
          <w:lang w:val="fr-FR"/>
        </w:rPr>
      </w:pPr>
      <w:r>
        <w:rPr>
          <w:color w:val="000000" w:themeColor="text1"/>
          <w:lang w:val="fr-FR"/>
        </w:rPr>
        <w:t>a)</w:t>
      </w:r>
      <w:r>
        <w:rPr>
          <w:color w:val="000000" w:themeColor="text1"/>
          <w:lang w:val="fr-FR"/>
        </w:rPr>
        <w:tab/>
      </w:r>
      <w:r w:rsidR="0095062C">
        <w:rPr>
          <w:color w:val="000000" w:themeColor="text1"/>
          <w:lang w:val="fr-FR"/>
        </w:rPr>
        <w:t>L</w:t>
      </w:r>
      <w:r>
        <w:rPr>
          <w:color w:val="000000" w:themeColor="text1"/>
          <w:lang w:val="fr-FR"/>
        </w:rPr>
        <w:t>e groupe de travail</w:t>
      </w:r>
      <w:r w:rsidR="007A5E55">
        <w:rPr>
          <w:color w:val="000000" w:themeColor="text1"/>
          <w:lang w:val="fr-FR"/>
        </w:rPr>
        <w:t>,</w:t>
      </w:r>
      <w:r>
        <w:rPr>
          <w:color w:val="000000" w:themeColor="text1"/>
          <w:lang w:val="fr-FR"/>
        </w:rPr>
        <w:t xml:space="preserve"> sur la base des travaux existants, devra clarifier quelles dispositions doivent être adopt</w:t>
      </w:r>
      <w:r w:rsidR="007A5E55">
        <w:rPr>
          <w:color w:val="000000" w:themeColor="text1"/>
          <w:lang w:val="fr-FR"/>
        </w:rPr>
        <w:t>é</w:t>
      </w:r>
      <w:r>
        <w:rPr>
          <w:color w:val="000000" w:themeColor="text1"/>
          <w:lang w:val="fr-FR"/>
        </w:rPr>
        <w:t>es et incluses dans la réglemen</w:t>
      </w:r>
      <w:r w:rsidR="0095062C">
        <w:rPr>
          <w:color w:val="000000" w:themeColor="text1"/>
          <w:lang w:val="fr-FR"/>
        </w:rPr>
        <w:t>tation. Il devra plus particuliè</w:t>
      </w:r>
      <w:r>
        <w:rPr>
          <w:color w:val="000000" w:themeColor="text1"/>
          <w:lang w:val="fr-FR"/>
        </w:rPr>
        <w:t>rement répondre aux interrogations restantes, notamment v</w:t>
      </w:r>
      <w:r w:rsidR="0095062C">
        <w:rPr>
          <w:color w:val="000000" w:themeColor="text1"/>
          <w:lang w:val="fr-FR"/>
        </w:rPr>
        <w:t>is-à-vis</w:t>
      </w:r>
      <w:r>
        <w:rPr>
          <w:color w:val="000000" w:themeColor="text1"/>
          <w:lang w:val="fr-FR"/>
        </w:rPr>
        <w:t>:</w:t>
      </w:r>
    </w:p>
    <w:p w14:paraId="0DECAC60" w14:textId="35DCFBD5" w:rsidR="005A52AB" w:rsidRDefault="005A52AB" w:rsidP="00732341">
      <w:pPr>
        <w:spacing w:before="120" w:after="120"/>
        <w:ind w:left="1701" w:right="1134" w:firstLine="567"/>
        <w:jc w:val="both"/>
        <w:rPr>
          <w:color w:val="000000" w:themeColor="text1"/>
          <w:lang w:val="fr-FR"/>
        </w:rPr>
      </w:pPr>
      <w:r>
        <w:rPr>
          <w:color w:val="000000" w:themeColor="text1"/>
          <w:lang w:val="fr-FR"/>
        </w:rPr>
        <w:t>-</w:t>
      </w:r>
      <w:r>
        <w:rPr>
          <w:color w:val="000000" w:themeColor="text1"/>
          <w:lang w:val="fr-FR"/>
        </w:rPr>
        <w:tab/>
        <w:t>des règles d’échantillon</w:t>
      </w:r>
      <w:r w:rsidR="0095062C">
        <w:rPr>
          <w:color w:val="000000" w:themeColor="text1"/>
          <w:lang w:val="fr-FR"/>
        </w:rPr>
        <w:t>n</w:t>
      </w:r>
      <w:r>
        <w:rPr>
          <w:color w:val="000000" w:themeColor="text1"/>
          <w:lang w:val="fr-FR"/>
        </w:rPr>
        <w:t>age</w:t>
      </w:r>
      <w:r w:rsidR="0095062C">
        <w:rPr>
          <w:color w:val="000000" w:themeColor="text1"/>
          <w:lang w:val="fr-FR"/>
        </w:rPr>
        <w:t>;</w:t>
      </w:r>
      <w:r>
        <w:rPr>
          <w:color w:val="000000" w:themeColor="text1"/>
          <w:lang w:val="fr-FR"/>
        </w:rPr>
        <w:t> </w:t>
      </w:r>
    </w:p>
    <w:p w14:paraId="4B9D9EA3" w14:textId="44050CF7" w:rsidR="005A52AB" w:rsidRDefault="005A52AB" w:rsidP="00732341">
      <w:pPr>
        <w:spacing w:before="120" w:after="120"/>
        <w:ind w:left="1701" w:right="1134" w:firstLine="567"/>
        <w:jc w:val="both"/>
        <w:rPr>
          <w:color w:val="000000" w:themeColor="text1"/>
          <w:lang w:val="fr-FR"/>
        </w:rPr>
      </w:pPr>
      <w:r>
        <w:rPr>
          <w:color w:val="000000" w:themeColor="text1"/>
          <w:lang w:val="fr-FR"/>
        </w:rPr>
        <w:t>-</w:t>
      </w:r>
      <w:r>
        <w:rPr>
          <w:color w:val="000000" w:themeColor="text1"/>
          <w:lang w:val="fr-FR"/>
        </w:rPr>
        <w:tab/>
        <w:t xml:space="preserve">de la définition </w:t>
      </w:r>
      <w:proofErr w:type="gramStart"/>
      <w:r>
        <w:rPr>
          <w:color w:val="000000" w:themeColor="text1"/>
          <w:lang w:val="fr-FR"/>
        </w:rPr>
        <w:t>d’une possible</w:t>
      </w:r>
      <w:proofErr w:type="gramEnd"/>
      <w:r>
        <w:rPr>
          <w:color w:val="000000" w:themeColor="text1"/>
          <w:lang w:val="fr-FR"/>
        </w:rPr>
        <w:t xml:space="preserve"> durée de vie en service en lien avec les dégradations potentielles et le vieillissement pour les caractéristiques pouvant affecter la sé</w:t>
      </w:r>
      <w:r w:rsidR="0095062C">
        <w:rPr>
          <w:color w:val="000000" w:themeColor="text1"/>
          <w:lang w:val="fr-FR"/>
        </w:rPr>
        <w:t>curité des récipients concernés</w:t>
      </w:r>
      <w:r>
        <w:rPr>
          <w:color w:val="000000" w:themeColor="text1"/>
          <w:lang w:val="fr-FR"/>
        </w:rPr>
        <w:t>;</w:t>
      </w:r>
    </w:p>
    <w:p w14:paraId="78DBC328" w14:textId="4C33D6ED" w:rsidR="005F7F44" w:rsidRDefault="005A52AB" w:rsidP="00732341">
      <w:pPr>
        <w:spacing w:before="120" w:after="120"/>
        <w:ind w:left="1134" w:right="1134" w:firstLine="567"/>
        <w:jc w:val="both"/>
        <w:rPr>
          <w:color w:val="000000" w:themeColor="text1"/>
          <w:lang w:val="fr-FR"/>
        </w:rPr>
      </w:pPr>
      <w:r>
        <w:rPr>
          <w:color w:val="000000" w:themeColor="text1"/>
          <w:lang w:val="fr-FR"/>
        </w:rPr>
        <w:t>b)</w:t>
      </w:r>
      <w:r>
        <w:rPr>
          <w:color w:val="000000" w:themeColor="text1"/>
          <w:lang w:val="fr-FR"/>
        </w:rPr>
        <w:tab/>
      </w:r>
      <w:r w:rsidR="0095062C">
        <w:rPr>
          <w:color w:val="000000" w:themeColor="text1"/>
          <w:lang w:val="fr-FR"/>
        </w:rPr>
        <w:t>L</w:t>
      </w:r>
      <w:r>
        <w:rPr>
          <w:color w:val="000000" w:themeColor="text1"/>
          <w:lang w:val="fr-FR"/>
        </w:rPr>
        <w:t>e groupe de travail informel reprécisera les niveaux de confiance et niveaux de risques acceptables;</w:t>
      </w:r>
    </w:p>
    <w:p w14:paraId="21DABD9C" w14:textId="010F56F6" w:rsidR="005A52AB" w:rsidRDefault="0095062C" w:rsidP="00732341">
      <w:pPr>
        <w:spacing w:before="120" w:after="120"/>
        <w:ind w:left="1134" w:right="1134" w:firstLine="567"/>
        <w:jc w:val="both"/>
        <w:rPr>
          <w:color w:val="000000" w:themeColor="text1"/>
          <w:lang w:val="fr-FR"/>
        </w:rPr>
      </w:pPr>
      <w:r>
        <w:rPr>
          <w:color w:val="000000" w:themeColor="text1"/>
          <w:lang w:val="fr-FR"/>
        </w:rPr>
        <w:t>c)</w:t>
      </w:r>
      <w:r>
        <w:rPr>
          <w:color w:val="000000" w:themeColor="text1"/>
          <w:lang w:val="fr-FR"/>
        </w:rPr>
        <w:tab/>
        <w:t>I</w:t>
      </w:r>
      <w:r w:rsidR="005A52AB">
        <w:rPr>
          <w:color w:val="000000" w:themeColor="text1"/>
          <w:lang w:val="fr-FR"/>
        </w:rPr>
        <w:t>l pourra en complément de ces travaux définir les principes directeurs techniques pouvant permettre la mise en œuvre des méthodes alternatives de contrôl</w:t>
      </w:r>
      <w:r>
        <w:rPr>
          <w:color w:val="000000" w:themeColor="text1"/>
          <w:lang w:val="fr-FR"/>
        </w:rPr>
        <w:t>e</w:t>
      </w:r>
      <w:r w:rsidR="007A5E55">
        <w:rPr>
          <w:color w:val="000000" w:themeColor="text1"/>
          <w:lang w:val="fr-FR"/>
        </w:rPr>
        <w:t>. C</w:t>
      </w:r>
      <w:r w:rsidR="005A52AB">
        <w:rPr>
          <w:color w:val="000000" w:themeColor="text1"/>
          <w:lang w:val="fr-FR"/>
        </w:rPr>
        <w:t xml:space="preserve">omme l’introduction </w:t>
      </w:r>
      <w:r w:rsidR="00CC349E">
        <w:rPr>
          <w:color w:val="000000" w:themeColor="text1"/>
          <w:lang w:val="fr-FR"/>
        </w:rPr>
        <w:t>de ces principes directeurs dans</w:t>
      </w:r>
      <w:r w:rsidR="005A52AB">
        <w:rPr>
          <w:color w:val="000000" w:themeColor="text1"/>
          <w:lang w:val="fr-FR"/>
        </w:rPr>
        <w:t xml:space="preserve"> la réglementation fait l’objet d’avis divers, elle sera vue par le groupe de travail informel et devra être décidée par la Réunion commune ultérieurement.</w:t>
      </w:r>
    </w:p>
    <w:p w14:paraId="5FA8C8AF" w14:textId="77777777" w:rsidR="005F7F44" w:rsidRDefault="005F7F44" w:rsidP="005F7F44">
      <w:pPr>
        <w:pStyle w:val="H1G"/>
        <w:rPr>
          <w:color w:val="000000" w:themeColor="text1"/>
        </w:rPr>
      </w:pPr>
      <w:r w:rsidRPr="00A01122">
        <w:rPr>
          <w:color w:val="000000" w:themeColor="text1"/>
        </w:rPr>
        <w:lastRenderedPageBreak/>
        <w:tab/>
      </w:r>
      <w:r>
        <w:rPr>
          <w:color w:val="000000" w:themeColor="text1"/>
        </w:rPr>
        <w:t>B</w:t>
      </w:r>
      <w:r w:rsidRPr="00A01122">
        <w:rPr>
          <w:color w:val="000000" w:themeColor="text1"/>
        </w:rPr>
        <w:t>.</w:t>
      </w:r>
      <w:r w:rsidRPr="00A01122">
        <w:rPr>
          <w:color w:val="000000" w:themeColor="text1"/>
        </w:rPr>
        <w:tab/>
      </w:r>
      <w:proofErr w:type="spellStart"/>
      <w:r>
        <w:rPr>
          <w:color w:val="000000" w:themeColor="text1"/>
        </w:rPr>
        <w:t>Groupe</w:t>
      </w:r>
      <w:proofErr w:type="spellEnd"/>
      <w:r>
        <w:rPr>
          <w:color w:val="000000" w:themeColor="text1"/>
        </w:rPr>
        <w:t xml:space="preserve"> de travail </w:t>
      </w:r>
      <w:proofErr w:type="spellStart"/>
      <w:r>
        <w:rPr>
          <w:color w:val="000000" w:themeColor="text1"/>
        </w:rPr>
        <w:t>informel</w:t>
      </w:r>
      <w:proofErr w:type="spellEnd"/>
      <w:r>
        <w:rPr>
          <w:color w:val="000000" w:themeColor="text1"/>
        </w:rPr>
        <w:t xml:space="preserve"> sur la </w:t>
      </w:r>
      <w:proofErr w:type="spellStart"/>
      <w:r>
        <w:rPr>
          <w:color w:val="000000" w:themeColor="text1"/>
        </w:rPr>
        <w:t>réduction</w:t>
      </w:r>
      <w:proofErr w:type="spellEnd"/>
      <w:r>
        <w:rPr>
          <w:color w:val="000000" w:themeColor="text1"/>
        </w:rPr>
        <w:t xml:space="preserve"> du </w:t>
      </w:r>
      <w:proofErr w:type="spellStart"/>
      <w:r>
        <w:rPr>
          <w:color w:val="000000" w:themeColor="text1"/>
        </w:rPr>
        <w:t>risque</w:t>
      </w:r>
      <w:proofErr w:type="spellEnd"/>
      <w:r>
        <w:rPr>
          <w:color w:val="000000" w:themeColor="text1"/>
        </w:rPr>
        <w:t xml:space="preserve"> de BLEVE pendant le transport de </w:t>
      </w:r>
      <w:proofErr w:type="spellStart"/>
      <w:r>
        <w:rPr>
          <w:color w:val="000000" w:themeColor="text1"/>
        </w:rPr>
        <w:t>marchandises</w:t>
      </w:r>
      <w:proofErr w:type="spellEnd"/>
      <w:r>
        <w:rPr>
          <w:color w:val="000000" w:themeColor="text1"/>
        </w:rPr>
        <w:t xml:space="preserve"> </w:t>
      </w:r>
      <w:proofErr w:type="spellStart"/>
      <w:r>
        <w:rPr>
          <w:color w:val="000000" w:themeColor="text1"/>
        </w:rPr>
        <w:t>dangereuses</w:t>
      </w:r>
      <w:proofErr w:type="spellEnd"/>
    </w:p>
    <w:p w14:paraId="6927D88F" w14:textId="77777777" w:rsidR="005F7F44" w:rsidRDefault="005F7F44" w:rsidP="005F7F44">
      <w:pPr>
        <w:pStyle w:val="SingleTxtG"/>
        <w:tabs>
          <w:tab w:val="left" w:pos="3100"/>
        </w:tabs>
        <w:rPr>
          <w:color w:val="000000" w:themeColor="text1"/>
          <w:lang w:val="fr-FR"/>
        </w:rPr>
      </w:pPr>
      <w:r w:rsidRPr="00A01122">
        <w:rPr>
          <w:i/>
          <w:color w:val="000000" w:themeColor="text1"/>
          <w:lang w:val="fr-FR"/>
        </w:rPr>
        <w:t>Document informel:</w:t>
      </w:r>
      <w:r>
        <w:rPr>
          <w:color w:val="000000" w:themeColor="text1"/>
          <w:lang w:val="fr-FR"/>
        </w:rPr>
        <w:tab/>
      </w:r>
      <w:r>
        <w:rPr>
          <w:color w:val="000000" w:themeColor="text1"/>
          <w:lang w:val="fr-FR"/>
        </w:rPr>
        <w:tab/>
        <w:t>INF.15</w:t>
      </w:r>
      <w:r w:rsidRPr="00A01122">
        <w:rPr>
          <w:color w:val="000000" w:themeColor="text1"/>
          <w:lang w:val="fr-FR"/>
        </w:rPr>
        <w:t xml:space="preserve"> (</w:t>
      </w:r>
      <w:r>
        <w:rPr>
          <w:color w:val="000000" w:themeColor="text1"/>
          <w:lang w:val="fr-FR"/>
        </w:rPr>
        <w:t>France</w:t>
      </w:r>
      <w:r w:rsidRPr="00A01122">
        <w:rPr>
          <w:color w:val="000000" w:themeColor="text1"/>
          <w:lang w:val="fr-FR"/>
        </w:rPr>
        <w:t>)</w:t>
      </w:r>
    </w:p>
    <w:p w14:paraId="38ABD0DF" w14:textId="03E456A7" w:rsidR="005F7F44" w:rsidRDefault="00DD5ECB" w:rsidP="005F7F44">
      <w:pPr>
        <w:pStyle w:val="SingleTxtG"/>
        <w:rPr>
          <w:color w:val="000000" w:themeColor="text1"/>
          <w:lang w:val="fr-FR"/>
        </w:rPr>
      </w:pPr>
      <w:r>
        <w:rPr>
          <w:color w:val="000000" w:themeColor="text1"/>
          <w:lang w:val="fr-FR"/>
        </w:rPr>
        <w:t>43</w:t>
      </w:r>
      <w:r w:rsidR="005F7F44">
        <w:rPr>
          <w:color w:val="000000" w:themeColor="text1"/>
          <w:lang w:val="fr-FR"/>
        </w:rPr>
        <w:t>.</w:t>
      </w:r>
      <w:r w:rsidR="005F7F44">
        <w:rPr>
          <w:color w:val="000000" w:themeColor="text1"/>
          <w:lang w:val="fr-FR"/>
        </w:rPr>
        <w:tab/>
        <w:t xml:space="preserve">La Réunion commune a été informée des résultats des travaux effectués par l’Institut National de l’Environnement Industriel et des Risques (INERIS) à la demande du Gouvernement de la France dans le cadre des travaux du Groupe de travail informel sur la réduction du risque de BLEVE pendant le transport de marchandises dangereuses. Il s’agissait notamment d’utiliser un outil de prédiction de l’INERIS pour prévoir le comportement de citernes à GPL lorsqu’elles sont exposées au feu, suivant qu’elles sont équipées de soupapes de sécurité seulement, d’un revêtement protecteur seulement, ou de soupapes de sécurité et d’un revêtement protecteur, pour différents types de géométrie de citernes et différents types de revêtements protecteurs. Les résultats obtenus sont cohérents avec ceux obtenus par les tests expérimentaux sur </w:t>
      </w:r>
      <w:proofErr w:type="gramStart"/>
      <w:r w:rsidR="005F7F44">
        <w:rPr>
          <w:color w:val="000000" w:themeColor="text1"/>
          <w:lang w:val="fr-FR"/>
        </w:rPr>
        <w:t>des citernes effectués</w:t>
      </w:r>
      <w:proofErr w:type="gramEnd"/>
      <w:r w:rsidR="005F7F44">
        <w:rPr>
          <w:color w:val="000000" w:themeColor="text1"/>
          <w:lang w:val="fr-FR"/>
        </w:rPr>
        <w:t xml:space="preserve"> par le BAM (Allemagne) en 1998 et en 2013-2014. Le modèle numérique de prédiction a l’avantage de pouvoir traiter une grande variété de scénarios sans avoir à effe</w:t>
      </w:r>
      <w:r w:rsidR="00740884">
        <w:rPr>
          <w:color w:val="000000" w:themeColor="text1"/>
          <w:lang w:val="fr-FR"/>
        </w:rPr>
        <w:t>ctuer des essais destructifs coû</w:t>
      </w:r>
      <w:r w:rsidR="005F7F44">
        <w:rPr>
          <w:color w:val="000000" w:themeColor="text1"/>
          <w:lang w:val="fr-FR"/>
        </w:rPr>
        <w:t xml:space="preserve">teux. Des essais expérimentaux supplémentaires </w:t>
      </w:r>
      <w:r>
        <w:rPr>
          <w:color w:val="000000" w:themeColor="text1"/>
          <w:lang w:val="fr-FR"/>
        </w:rPr>
        <w:t xml:space="preserve">pourraient </w:t>
      </w:r>
      <w:r w:rsidR="005F7F44">
        <w:rPr>
          <w:color w:val="000000" w:themeColor="text1"/>
          <w:lang w:val="fr-FR"/>
        </w:rPr>
        <w:t xml:space="preserve">cependant </w:t>
      </w:r>
      <w:r>
        <w:rPr>
          <w:color w:val="000000" w:themeColor="text1"/>
          <w:lang w:val="fr-FR"/>
        </w:rPr>
        <w:t xml:space="preserve">être nécessaires </w:t>
      </w:r>
      <w:r w:rsidR="005F7F44">
        <w:rPr>
          <w:color w:val="000000" w:themeColor="text1"/>
          <w:lang w:val="fr-FR"/>
        </w:rPr>
        <w:t>pour la validation finale du modèle et pour étudier la réaction des soupapes de sécurité lorsqu’elles sont directement exposées au feu.</w:t>
      </w:r>
    </w:p>
    <w:p w14:paraId="3278DC92" w14:textId="34A66926" w:rsidR="005F7F44" w:rsidRDefault="00DD5ECB" w:rsidP="005F7F44">
      <w:pPr>
        <w:pStyle w:val="SingleTxtG"/>
        <w:rPr>
          <w:color w:val="000000" w:themeColor="text1"/>
          <w:lang w:val="fr-FR"/>
        </w:rPr>
      </w:pPr>
      <w:r>
        <w:rPr>
          <w:color w:val="000000" w:themeColor="text1"/>
          <w:lang w:val="fr-FR"/>
        </w:rPr>
        <w:t>44</w:t>
      </w:r>
      <w:r w:rsidR="005F7F44">
        <w:rPr>
          <w:color w:val="000000" w:themeColor="text1"/>
          <w:lang w:val="fr-FR"/>
        </w:rPr>
        <w:t>.</w:t>
      </w:r>
      <w:r w:rsidR="005F7F44">
        <w:rPr>
          <w:color w:val="000000" w:themeColor="text1"/>
          <w:lang w:val="fr-FR"/>
        </w:rPr>
        <w:tab/>
        <w:t>La Réunion commune s’est félicitée des résultats de ces travaux. Plusieurs délégations ont indiqué qu’elles pourraient fournir également des données expérimentales supplémentaires qui pourraient aider à la validation du modèle.</w:t>
      </w:r>
    </w:p>
    <w:p w14:paraId="61B2938B" w14:textId="577BC19A" w:rsidR="005F7F44" w:rsidRDefault="00DD5ECB" w:rsidP="005F7F44">
      <w:pPr>
        <w:pStyle w:val="SingleTxtG"/>
        <w:rPr>
          <w:color w:val="000000" w:themeColor="text1"/>
          <w:lang w:val="fr-FR"/>
        </w:rPr>
      </w:pPr>
      <w:r>
        <w:rPr>
          <w:color w:val="000000" w:themeColor="text1"/>
          <w:lang w:val="fr-FR"/>
        </w:rPr>
        <w:t>45</w:t>
      </w:r>
      <w:r w:rsidR="005F7F44">
        <w:rPr>
          <w:color w:val="000000" w:themeColor="text1"/>
          <w:lang w:val="fr-FR"/>
        </w:rPr>
        <w:t>.</w:t>
      </w:r>
      <w:r w:rsidR="005F7F44">
        <w:rPr>
          <w:color w:val="000000" w:themeColor="text1"/>
          <w:lang w:val="fr-FR"/>
        </w:rPr>
        <w:tab/>
        <w:t xml:space="preserve">Il s’est ensuivi un débat technique sur les mérites respectifs des différents moyens de prévenir les BLEVE, avec des réserves de certaines délégations sur l’utilisation des isolations thermiques compte tenu des inconvénients qu’elles peuvent présenter tant du point de vue économique (coût et diminution de la charge utile) que du point de vue sécurité (risque d’endommagement, corrosion </w:t>
      </w:r>
      <w:proofErr w:type="spellStart"/>
      <w:r w:rsidR="005F7F44">
        <w:rPr>
          <w:color w:val="000000" w:themeColor="text1"/>
          <w:lang w:val="fr-FR"/>
        </w:rPr>
        <w:t>etc</w:t>
      </w:r>
      <w:proofErr w:type="spellEnd"/>
      <w:r w:rsidR="005F7F44">
        <w:rPr>
          <w:color w:val="000000" w:themeColor="text1"/>
          <w:lang w:val="fr-FR"/>
        </w:rPr>
        <w:t>). Il a été cependant rappelé que dans le cadre de l’évaluation de risque, tous les éléments pertinents devaient être pris en compte et qu’il serait préférable que les discussions techniques aient lieu au sein du groupe de travail informel.</w:t>
      </w:r>
      <w:r w:rsidR="00CC349E">
        <w:rPr>
          <w:color w:val="000000" w:themeColor="text1"/>
          <w:lang w:val="fr-FR"/>
        </w:rPr>
        <w:t xml:space="preserve"> Le représentant de l’Allemagne a dit que certaines de ces questions avaient déjà abordées par le Groupe de travail informel et que certaines des épreuves d’exposition au feu avaient été effectuées pour étudier les effets en cas de dommage sur le revêtement.</w:t>
      </w:r>
    </w:p>
    <w:p w14:paraId="1AD338C7" w14:textId="653A96A3" w:rsidR="005F7F44" w:rsidRDefault="00DD5ECB" w:rsidP="005F7F44">
      <w:pPr>
        <w:pStyle w:val="SingleTxtG"/>
        <w:rPr>
          <w:color w:val="000000" w:themeColor="text1"/>
          <w:lang w:val="fr-FR"/>
        </w:rPr>
      </w:pPr>
      <w:r>
        <w:rPr>
          <w:color w:val="000000" w:themeColor="text1"/>
          <w:lang w:val="fr-FR"/>
        </w:rPr>
        <w:t>46</w:t>
      </w:r>
      <w:r w:rsidR="005F7F44">
        <w:rPr>
          <w:color w:val="000000" w:themeColor="text1"/>
          <w:lang w:val="fr-FR"/>
        </w:rPr>
        <w:t>.</w:t>
      </w:r>
      <w:r w:rsidR="005F7F44">
        <w:rPr>
          <w:color w:val="000000" w:themeColor="text1"/>
          <w:lang w:val="fr-FR"/>
        </w:rPr>
        <w:tab/>
        <w:t xml:space="preserve">L’intervenant de l’INERIS a confirmé que la modélisation pouvait tenir compte de différents paramètres, par exemple feux </w:t>
      </w:r>
      <w:r>
        <w:rPr>
          <w:color w:val="000000" w:themeColor="text1"/>
          <w:lang w:val="fr-FR"/>
        </w:rPr>
        <w:t>localisés</w:t>
      </w:r>
      <w:r w:rsidR="005F7F44">
        <w:rPr>
          <w:color w:val="000000" w:themeColor="text1"/>
          <w:lang w:val="fr-FR"/>
        </w:rPr>
        <w:t xml:space="preserve">, marchandises autres que le GPL, autres types de récipients (par exemple réservoir de véhicules), diminution d’épaisseur des revêtements, </w:t>
      </w:r>
      <w:r>
        <w:rPr>
          <w:color w:val="000000" w:themeColor="text1"/>
          <w:lang w:val="fr-FR"/>
        </w:rPr>
        <w:t>endommagement des revêtements,</w:t>
      </w:r>
      <w:r w:rsidR="00740884">
        <w:rPr>
          <w:color w:val="000000" w:themeColor="text1"/>
          <w:lang w:val="fr-FR"/>
        </w:rPr>
        <w:t xml:space="preserve"> </w:t>
      </w:r>
      <w:r w:rsidR="005F7F44">
        <w:rPr>
          <w:color w:val="000000" w:themeColor="text1"/>
          <w:lang w:val="fr-FR"/>
        </w:rPr>
        <w:t>maillage aluminium des citernes pour permettre les transferts de chaleur entre phase liquide et solide etc.</w:t>
      </w:r>
    </w:p>
    <w:p w14:paraId="3435F8BE" w14:textId="5595384C" w:rsidR="005F7F44" w:rsidRDefault="00DD5ECB" w:rsidP="005F7F44">
      <w:pPr>
        <w:pStyle w:val="SingleTxtG"/>
        <w:rPr>
          <w:color w:val="000000" w:themeColor="text1"/>
          <w:lang w:val="fr-FR"/>
        </w:rPr>
      </w:pPr>
      <w:r>
        <w:rPr>
          <w:color w:val="000000" w:themeColor="text1"/>
          <w:lang w:val="fr-FR"/>
        </w:rPr>
        <w:t>47</w:t>
      </w:r>
      <w:r w:rsidR="005F7F44">
        <w:rPr>
          <w:color w:val="000000" w:themeColor="text1"/>
          <w:lang w:val="fr-FR"/>
        </w:rPr>
        <w:t>.</w:t>
      </w:r>
      <w:r w:rsidR="005F7F44">
        <w:rPr>
          <w:color w:val="000000" w:themeColor="text1"/>
          <w:lang w:val="fr-FR"/>
        </w:rPr>
        <w:tab/>
        <w:t>Il a donc finalement été décidé de demander aux délégations intéressées d’indiquer avant la fin mai 2017 au représentant de la France les simulations qu’elles souhaiteraient voir effectuées. Les résultats</w:t>
      </w:r>
      <w:r>
        <w:rPr>
          <w:color w:val="000000" w:themeColor="text1"/>
          <w:lang w:val="fr-FR"/>
        </w:rPr>
        <w:t>, qui pourraient en outre aider à améliorer les paramètres du modèle,</w:t>
      </w:r>
      <w:r w:rsidR="005F7F44">
        <w:rPr>
          <w:color w:val="000000" w:themeColor="text1"/>
          <w:lang w:val="fr-FR"/>
        </w:rPr>
        <w:t xml:space="preserve"> seraient transmis à la prochaine session de la Réunion commune où un nouveau mandat pour la poursuite des travaux par le groupe informel pourrait être décidé.</w:t>
      </w:r>
    </w:p>
    <w:p w14:paraId="159471AF" w14:textId="77777777" w:rsidR="005F7F44" w:rsidRPr="00A01122" w:rsidRDefault="005F7F44" w:rsidP="005F7F44">
      <w:pPr>
        <w:pStyle w:val="HChG"/>
        <w:rPr>
          <w:color w:val="000000" w:themeColor="text1"/>
        </w:rPr>
      </w:pPr>
      <w:r>
        <w:tab/>
      </w:r>
      <w:r w:rsidRPr="00A01122">
        <w:rPr>
          <w:color w:val="000000" w:themeColor="text1"/>
        </w:rPr>
        <w:t>VI</w:t>
      </w:r>
      <w:r>
        <w:rPr>
          <w:color w:val="000000" w:themeColor="text1"/>
        </w:rPr>
        <w:t>II</w:t>
      </w:r>
      <w:r w:rsidRPr="00A01122">
        <w:rPr>
          <w:color w:val="000000" w:themeColor="text1"/>
        </w:rPr>
        <w:t>.</w:t>
      </w:r>
      <w:r w:rsidRPr="00A01122">
        <w:rPr>
          <w:color w:val="000000" w:themeColor="text1"/>
        </w:rPr>
        <w:tab/>
      </w:r>
      <w:r>
        <w:rPr>
          <w:color w:val="000000" w:themeColor="text1"/>
        </w:rPr>
        <w:t xml:space="preserve">Accidents </w:t>
      </w:r>
      <w:proofErr w:type="gramStart"/>
      <w:r>
        <w:rPr>
          <w:color w:val="000000" w:themeColor="text1"/>
        </w:rPr>
        <w:t>et</w:t>
      </w:r>
      <w:proofErr w:type="gramEnd"/>
      <w:r>
        <w:rPr>
          <w:color w:val="000000" w:themeColor="text1"/>
        </w:rPr>
        <w:t xml:space="preserve"> management de </w:t>
      </w:r>
      <w:proofErr w:type="spellStart"/>
      <w:r>
        <w:rPr>
          <w:color w:val="000000" w:themeColor="text1"/>
        </w:rPr>
        <w:t>risque</w:t>
      </w:r>
      <w:proofErr w:type="spellEnd"/>
      <w:r w:rsidRPr="00A01122">
        <w:rPr>
          <w:color w:val="000000" w:themeColor="text1"/>
        </w:rPr>
        <w:t xml:space="preserve"> </w:t>
      </w:r>
      <w:r>
        <w:rPr>
          <w:color w:val="000000" w:themeColor="text1"/>
        </w:rPr>
        <w:t xml:space="preserve">(point 7 de </w:t>
      </w:r>
      <w:proofErr w:type="spellStart"/>
      <w:r>
        <w:rPr>
          <w:color w:val="000000" w:themeColor="text1"/>
        </w:rPr>
        <w:t>l’ordre</w:t>
      </w:r>
      <w:proofErr w:type="spellEnd"/>
      <w:r>
        <w:rPr>
          <w:color w:val="000000" w:themeColor="text1"/>
        </w:rPr>
        <w:t xml:space="preserve"> du jour) </w:t>
      </w:r>
    </w:p>
    <w:p w14:paraId="7ADA062F" w14:textId="77777777" w:rsidR="005F7F44" w:rsidRDefault="005F7F44" w:rsidP="005F7F44">
      <w:pPr>
        <w:pStyle w:val="SingleTxtG"/>
        <w:tabs>
          <w:tab w:val="left" w:pos="3100"/>
        </w:tabs>
        <w:rPr>
          <w:color w:val="000000" w:themeColor="text1"/>
          <w:lang w:val="fr-FR"/>
        </w:rPr>
      </w:pPr>
      <w:r w:rsidRPr="00A01122">
        <w:rPr>
          <w:i/>
          <w:color w:val="000000" w:themeColor="text1"/>
          <w:lang w:val="fr-FR"/>
        </w:rPr>
        <w:t>Document informel:</w:t>
      </w:r>
      <w:r>
        <w:rPr>
          <w:color w:val="000000" w:themeColor="text1"/>
          <w:lang w:val="fr-FR"/>
        </w:rPr>
        <w:tab/>
      </w:r>
      <w:r>
        <w:rPr>
          <w:color w:val="000000" w:themeColor="text1"/>
          <w:lang w:val="fr-FR"/>
        </w:rPr>
        <w:tab/>
        <w:t>INF.20</w:t>
      </w:r>
      <w:r w:rsidRPr="00A01122">
        <w:rPr>
          <w:color w:val="000000" w:themeColor="text1"/>
          <w:lang w:val="fr-FR"/>
        </w:rPr>
        <w:t xml:space="preserve"> (</w:t>
      </w:r>
      <w:r>
        <w:rPr>
          <w:color w:val="000000" w:themeColor="text1"/>
          <w:lang w:val="fr-FR"/>
        </w:rPr>
        <w:t>ERA</w:t>
      </w:r>
      <w:r w:rsidRPr="00A01122">
        <w:rPr>
          <w:color w:val="000000" w:themeColor="text1"/>
          <w:lang w:val="fr-FR"/>
        </w:rPr>
        <w:t>)</w:t>
      </w:r>
    </w:p>
    <w:p w14:paraId="192C4172" w14:textId="589D9718" w:rsidR="005F7F44" w:rsidRDefault="004535C5" w:rsidP="005F7F44">
      <w:pPr>
        <w:pStyle w:val="SingleTxtG"/>
        <w:rPr>
          <w:color w:val="000000" w:themeColor="text1"/>
          <w:lang w:val="fr-FR"/>
        </w:rPr>
      </w:pPr>
      <w:r>
        <w:rPr>
          <w:color w:val="000000" w:themeColor="text1"/>
          <w:lang w:val="fr-FR"/>
        </w:rPr>
        <w:lastRenderedPageBreak/>
        <w:t>48</w:t>
      </w:r>
      <w:r w:rsidR="005F7F44" w:rsidRPr="00232842">
        <w:rPr>
          <w:color w:val="000000" w:themeColor="text1"/>
          <w:lang w:val="fr-FR"/>
        </w:rPr>
        <w:t>.</w:t>
      </w:r>
      <w:r w:rsidR="005F7F44" w:rsidRPr="00232842">
        <w:rPr>
          <w:color w:val="000000" w:themeColor="text1"/>
          <w:lang w:val="fr-FR"/>
        </w:rPr>
        <w:tab/>
      </w:r>
      <w:r w:rsidR="005F7F44">
        <w:rPr>
          <w:color w:val="000000" w:themeColor="text1"/>
          <w:lang w:val="fr-FR"/>
        </w:rPr>
        <w:t>La Réunion commune a pris note du rapport de l’ERA sur les huitième et neuvième sessions de l’Atelier sur la feuille de route sur le management du risque dans le contexte du transport des marchandises dangereuses par route, chemin de fer et voies navigables.</w:t>
      </w:r>
    </w:p>
    <w:p w14:paraId="52CB06B4" w14:textId="56420FB2" w:rsidR="005F7F44" w:rsidRDefault="004535C5" w:rsidP="005F7F44">
      <w:pPr>
        <w:pStyle w:val="SingleTxtG"/>
        <w:rPr>
          <w:color w:val="000000"/>
          <w:lang w:val="en-US" w:eastAsia="en-GB"/>
        </w:rPr>
      </w:pPr>
      <w:r>
        <w:rPr>
          <w:color w:val="000000" w:themeColor="text1"/>
          <w:lang w:val="fr-FR"/>
        </w:rPr>
        <w:t>49</w:t>
      </w:r>
      <w:r w:rsidR="005F7F44">
        <w:rPr>
          <w:color w:val="000000" w:themeColor="text1"/>
          <w:lang w:val="fr-FR"/>
        </w:rPr>
        <w:t>.</w:t>
      </w:r>
      <w:r w:rsidR="005F7F44">
        <w:rPr>
          <w:color w:val="000000" w:themeColor="text1"/>
          <w:lang w:val="fr-FR"/>
        </w:rPr>
        <w:tab/>
        <w:t>Il a été rappelé qu’à l’origine, ces ateliers avaient été mis en place pour répondre à un besoin d’harmonisation des procédures de management de risque au sein de l’Union européenne et que les résultats pourraient être reflétés dans une directive européenne</w:t>
      </w:r>
      <w:r w:rsidR="007A5E55">
        <w:rPr>
          <w:color w:val="000000" w:themeColor="text1"/>
          <w:lang w:val="fr-FR"/>
        </w:rPr>
        <w:t>.</w:t>
      </w:r>
      <w:r w:rsidR="005F7F44" w:rsidRPr="00A8024D">
        <w:rPr>
          <w:color w:val="000000"/>
          <w:lang w:val="en-US" w:eastAsia="en-GB"/>
        </w:rPr>
        <w:t xml:space="preserve"> </w:t>
      </w:r>
      <w:r w:rsidR="005F7F44">
        <w:rPr>
          <w:color w:val="000000"/>
          <w:lang w:val="en-US" w:eastAsia="en-GB"/>
        </w:rPr>
        <w:t xml:space="preserve">La </w:t>
      </w:r>
      <w:proofErr w:type="spellStart"/>
      <w:r w:rsidR="005F7F44">
        <w:rPr>
          <w:color w:val="000000"/>
          <w:lang w:val="en-US" w:eastAsia="en-GB"/>
        </w:rPr>
        <w:t>Réunion</w:t>
      </w:r>
      <w:proofErr w:type="spellEnd"/>
      <w:r w:rsidR="005F7F44">
        <w:rPr>
          <w:color w:val="000000"/>
          <w:lang w:val="en-US" w:eastAsia="en-GB"/>
        </w:rPr>
        <w:t xml:space="preserve"> commune </w:t>
      </w:r>
      <w:proofErr w:type="spellStart"/>
      <w:r>
        <w:rPr>
          <w:color w:val="000000"/>
          <w:lang w:val="en-US" w:eastAsia="en-GB"/>
        </w:rPr>
        <w:t>avait</w:t>
      </w:r>
      <w:proofErr w:type="spellEnd"/>
      <w:r>
        <w:rPr>
          <w:color w:val="000000"/>
          <w:lang w:val="en-US" w:eastAsia="en-GB"/>
        </w:rPr>
        <w:t xml:space="preserve"> </w:t>
      </w:r>
      <w:proofErr w:type="spellStart"/>
      <w:r>
        <w:rPr>
          <w:color w:val="000000"/>
          <w:lang w:val="en-US" w:eastAsia="en-GB"/>
        </w:rPr>
        <w:t>suivi</w:t>
      </w:r>
      <w:proofErr w:type="spellEnd"/>
      <w:r>
        <w:rPr>
          <w:color w:val="000000"/>
          <w:lang w:val="en-US" w:eastAsia="en-GB"/>
        </w:rPr>
        <w:t xml:space="preserve"> les</w:t>
      </w:r>
      <w:r w:rsidR="005F7F44">
        <w:rPr>
          <w:color w:val="000000"/>
          <w:lang w:val="en-US" w:eastAsia="en-GB"/>
        </w:rPr>
        <w:t xml:space="preserve"> </w:t>
      </w:r>
      <w:proofErr w:type="spellStart"/>
      <w:r w:rsidR="005F7F44">
        <w:rPr>
          <w:color w:val="000000"/>
          <w:lang w:val="en-US" w:eastAsia="en-GB"/>
        </w:rPr>
        <w:t>travaux</w:t>
      </w:r>
      <w:proofErr w:type="spellEnd"/>
      <w:r w:rsidR="005F7F44">
        <w:rPr>
          <w:color w:val="000000"/>
          <w:lang w:val="en-US" w:eastAsia="en-GB"/>
        </w:rPr>
        <w:t xml:space="preserve"> </w:t>
      </w:r>
      <w:r>
        <w:rPr>
          <w:color w:val="000000"/>
          <w:lang w:val="en-US" w:eastAsia="en-GB"/>
        </w:rPr>
        <w:t xml:space="preserve">et </w:t>
      </w:r>
      <w:proofErr w:type="spellStart"/>
      <w:r>
        <w:rPr>
          <w:color w:val="000000"/>
          <w:lang w:val="en-US" w:eastAsia="en-GB"/>
        </w:rPr>
        <w:t>plusieurs</w:t>
      </w:r>
      <w:proofErr w:type="spellEnd"/>
      <w:r>
        <w:rPr>
          <w:color w:val="000000"/>
          <w:lang w:val="en-US" w:eastAsia="en-GB"/>
        </w:rPr>
        <w:t xml:space="preserve"> </w:t>
      </w:r>
      <w:proofErr w:type="spellStart"/>
      <w:r>
        <w:rPr>
          <w:color w:val="000000"/>
          <w:lang w:val="en-US" w:eastAsia="en-GB"/>
        </w:rPr>
        <w:t>délégations</w:t>
      </w:r>
      <w:proofErr w:type="spellEnd"/>
      <w:r>
        <w:rPr>
          <w:color w:val="000000"/>
          <w:lang w:val="en-US" w:eastAsia="en-GB"/>
        </w:rPr>
        <w:t xml:space="preserve"> </w:t>
      </w:r>
      <w:proofErr w:type="spellStart"/>
      <w:r>
        <w:rPr>
          <w:color w:val="000000"/>
          <w:lang w:val="en-US" w:eastAsia="en-GB"/>
        </w:rPr>
        <w:t>avaient</w:t>
      </w:r>
      <w:proofErr w:type="spellEnd"/>
      <w:r>
        <w:rPr>
          <w:color w:val="000000"/>
          <w:lang w:val="en-US" w:eastAsia="en-GB"/>
        </w:rPr>
        <w:t xml:space="preserve"> </w:t>
      </w:r>
      <w:proofErr w:type="spellStart"/>
      <w:r>
        <w:rPr>
          <w:color w:val="000000"/>
          <w:lang w:val="en-US" w:eastAsia="en-GB"/>
        </w:rPr>
        <w:t>participé</w:t>
      </w:r>
      <w:proofErr w:type="spellEnd"/>
      <w:r>
        <w:rPr>
          <w:color w:val="000000"/>
          <w:lang w:val="en-US" w:eastAsia="en-GB"/>
        </w:rPr>
        <w:t xml:space="preserve"> aux ateliers </w:t>
      </w:r>
      <w:r w:rsidR="005F7F44">
        <w:rPr>
          <w:color w:val="000000"/>
          <w:lang w:val="en-US" w:eastAsia="en-GB"/>
        </w:rPr>
        <w:t xml:space="preserve">car </w:t>
      </w:r>
      <w:r>
        <w:rPr>
          <w:color w:val="000000"/>
          <w:lang w:val="en-US" w:eastAsia="en-GB"/>
        </w:rPr>
        <w:t xml:space="preserve">les </w:t>
      </w:r>
      <w:proofErr w:type="spellStart"/>
      <w:r w:rsidR="005F7F44">
        <w:rPr>
          <w:color w:val="000000"/>
          <w:lang w:val="en-US" w:eastAsia="en-GB"/>
        </w:rPr>
        <w:t>résultats</w:t>
      </w:r>
      <w:proofErr w:type="spellEnd"/>
      <w:r w:rsidR="005F7F44">
        <w:rPr>
          <w:color w:val="000000"/>
          <w:lang w:val="en-US" w:eastAsia="en-GB"/>
        </w:rPr>
        <w:t xml:space="preserve"> </w:t>
      </w:r>
      <w:proofErr w:type="spellStart"/>
      <w:r w:rsidR="005F7F44">
        <w:rPr>
          <w:color w:val="000000"/>
          <w:lang w:val="en-US" w:eastAsia="en-GB"/>
        </w:rPr>
        <w:t>pourraient</w:t>
      </w:r>
      <w:proofErr w:type="spellEnd"/>
      <w:r w:rsidR="005F7F44">
        <w:rPr>
          <w:color w:val="000000"/>
          <w:lang w:val="en-US" w:eastAsia="en-GB"/>
        </w:rPr>
        <w:t xml:space="preserve"> </w:t>
      </w:r>
      <w:proofErr w:type="spellStart"/>
      <w:r w:rsidR="005F7F44">
        <w:rPr>
          <w:color w:val="000000"/>
          <w:lang w:val="en-US" w:eastAsia="en-GB"/>
        </w:rPr>
        <w:t>être</w:t>
      </w:r>
      <w:proofErr w:type="spellEnd"/>
      <w:r w:rsidR="005F7F44">
        <w:rPr>
          <w:color w:val="000000"/>
          <w:lang w:val="en-US" w:eastAsia="en-GB"/>
        </w:rPr>
        <w:t xml:space="preserve"> </w:t>
      </w:r>
      <w:proofErr w:type="spellStart"/>
      <w:r w:rsidR="005F7F44">
        <w:rPr>
          <w:color w:val="000000"/>
          <w:lang w:val="en-US" w:eastAsia="en-GB"/>
        </w:rPr>
        <w:t>utiles</w:t>
      </w:r>
      <w:proofErr w:type="spellEnd"/>
      <w:r w:rsidR="005F7F44">
        <w:rPr>
          <w:color w:val="000000"/>
          <w:lang w:val="en-US" w:eastAsia="en-GB"/>
        </w:rPr>
        <w:t xml:space="preserve"> </w:t>
      </w:r>
      <w:proofErr w:type="spellStart"/>
      <w:r w:rsidR="005F7F44">
        <w:rPr>
          <w:color w:val="000000"/>
          <w:lang w:val="en-US" w:eastAsia="en-GB"/>
        </w:rPr>
        <w:t>dans</w:t>
      </w:r>
      <w:proofErr w:type="spellEnd"/>
      <w:r w:rsidR="005F7F44">
        <w:rPr>
          <w:color w:val="000000"/>
          <w:lang w:val="en-US" w:eastAsia="en-GB"/>
        </w:rPr>
        <w:t xml:space="preserve"> le </w:t>
      </w:r>
      <w:proofErr w:type="spellStart"/>
      <w:r w:rsidR="005F7F44">
        <w:rPr>
          <w:color w:val="000000"/>
          <w:lang w:val="en-US" w:eastAsia="en-GB"/>
        </w:rPr>
        <w:t>contexte</w:t>
      </w:r>
      <w:proofErr w:type="spellEnd"/>
      <w:r w:rsidR="005F7F44">
        <w:rPr>
          <w:color w:val="000000"/>
          <w:lang w:val="en-US" w:eastAsia="en-GB"/>
        </w:rPr>
        <w:t xml:space="preserve"> plus large du RID, ADR et ADN, et </w:t>
      </w:r>
      <w:proofErr w:type="spellStart"/>
      <w:r w:rsidR="005F7F44">
        <w:rPr>
          <w:color w:val="000000"/>
          <w:lang w:val="en-US" w:eastAsia="en-GB"/>
        </w:rPr>
        <w:t>parce</w:t>
      </w:r>
      <w:proofErr w:type="spellEnd"/>
      <w:r w:rsidR="005F7F44">
        <w:rPr>
          <w:color w:val="000000"/>
          <w:lang w:val="en-US" w:eastAsia="en-GB"/>
        </w:rPr>
        <w:t xml:space="preserve"> que </w:t>
      </w:r>
      <w:proofErr w:type="spellStart"/>
      <w:r w:rsidR="005F7F44">
        <w:rPr>
          <w:color w:val="000000"/>
          <w:lang w:val="en-US" w:eastAsia="en-GB"/>
        </w:rPr>
        <w:t>ces</w:t>
      </w:r>
      <w:proofErr w:type="spellEnd"/>
      <w:r w:rsidR="005F7F44">
        <w:rPr>
          <w:color w:val="000000"/>
          <w:lang w:val="en-US" w:eastAsia="en-GB"/>
        </w:rPr>
        <w:t xml:space="preserve"> </w:t>
      </w:r>
      <w:proofErr w:type="spellStart"/>
      <w:r w:rsidR="005F7F44">
        <w:rPr>
          <w:color w:val="000000"/>
          <w:lang w:val="en-US" w:eastAsia="en-GB"/>
        </w:rPr>
        <w:t>procédures</w:t>
      </w:r>
      <w:proofErr w:type="spellEnd"/>
      <w:r w:rsidR="005F7F44">
        <w:rPr>
          <w:color w:val="000000"/>
          <w:lang w:val="en-US" w:eastAsia="en-GB"/>
        </w:rPr>
        <w:t xml:space="preserve"> </w:t>
      </w:r>
      <w:proofErr w:type="spellStart"/>
      <w:r>
        <w:rPr>
          <w:color w:val="000000"/>
          <w:lang w:val="en-US" w:eastAsia="en-GB"/>
        </w:rPr>
        <w:t>devraient</w:t>
      </w:r>
      <w:proofErr w:type="spellEnd"/>
      <w:r>
        <w:rPr>
          <w:color w:val="000000"/>
          <w:lang w:val="en-US" w:eastAsia="en-GB"/>
        </w:rPr>
        <w:t xml:space="preserve"> </w:t>
      </w:r>
      <w:proofErr w:type="spellStart"/>
      <w:r>
        <w:rPr>
          <w:color w:val="000000"/>
          <w:lang w:val="en-US" w:eastAsia="en-GB"/>
        </w:rPr>
        <w:t>être</w:t>
      </w:r>
      <w:proofErr w:type="spellEnd"/>
      <w:r>
        <w:rPr>
          <w:color w:val="000000"/>
          <w:lang w:val="en-US" w:eastAsia="en-GB"/>
        </w:rPr>
        <w:t xml:space="preserve"> </w:t>
      </w:r>
      <w:proofErr w:type="spellStart"/>
      <w:r>
        <w:rPr>
          <w:color w:val="000000"/>
          <w:lang w:val="en-US" w:eastAsia="en-GB"/>
        </w:rPr>
        <w:t>complétées</w:t>
      </w:r>
      <w:proofErr w:type="spellEnd"/>
      <w:r>
        <w:rPr>
          <w:color w:val="000000"/>
          <w:lang w:val="en-US" w:eastAsia="en-GB"/>
        </w:rPr>
        <w:t xml:space="preserve"> par </w:t>
      </w:r>
      <w:proofErr w:type="spellStart"/>
      <w:r>
        <w:rPr>
          <w:color w:val="000000"/>
          <w:lang w:val="en-US" w:eastAsia="en-GB"/>
        </w:rPr>
        <w:t>une</w:t>
      </w:r>
      <w:proofErr w:type="spellEnd"/>
      <w:r>
        <w:rPr>
          <w:color w:val="000000"/>
          <w:lang w:val="en-US" w:eastAsia="en-GB"/>
        </w:rPr>
        <w:t xml:space="preserve"> </w:t>
      </w:r>
      <w:proofErr w:type="spellStart"/>
      <w:r>
        <w:rPr>
          <w:color w:val="000000"/>
          <w:lang w:val="en-US" w:eastAsia="en-GB"/>
        </w:rPr>
        <w:t>am</w:t>
      </w:r>
      <w:r w:rsidR="00CC349E">
        <w:rPr>
          <w:color w:val="000000"/>
          <w:lang w:val="en-US" w:eastAsia="en-GB"/>
        </w:rPr>
        <w:t>é</w:t>
      </w:r>
      <w:r>
        <w:rPr>
          <w:color w:val="000000"/>
          <w:lang w:val="en-US" w:eastAsia="en-GB"/>
        </w:rPr>
        <w:t>lioration</w:t>
      </w:r>
      <w:proofErr w:type="spellEnd"/>
      <w:r>
        <w:rPr>
          <w:color w:val="000000"/>
          <w:lang w:val="en-US" w:eastAsia="en-GB"/>
        </w:rPr>
        <w:t xml:space="preserve"> des</w:t>
      </w:r>
      <w:r w:rsidR="00740884">
        <w:rPr>
          <w:color w:val="000000"/>
          <w:lang w:val="en-US" w:eastAsia="en-GB"/>
        </w:rPr>
        <w:t xml:space="preserve"> </w:t>
      </w:r>
      <w:proofErr w:type="spellStart"/>
      <w:r w:rsidR="005F7F44">
        <w:rPr>
          <w:color w:val="000000"/>
          <w:lang w:val="en-US" w:eastAsia="en-GB"/>
        </w:rPr>
        <w:t>données</w:t>
      </w:r>
      <w:proofErr w:type="spellEnd"/>
      <w:r w:rsidR="005F7F44">
        <w:rPr>
          <w:color w:val="000000"/>
          <w:lang w:val="en-US" w:eastAsia="en-GB"/>
        </w:rPr>
        <w:t xml:space="preserve"> </w:t>
      </w:r>
      <w:proofErr w:type="spellStart"/>
      <w:r w:rsidR="005F7F44">
        <w:rPr>
          <w:color w:val="000000"/>
          <w:lang w:val="en-US" w:eastAsia="en-GB"/>
        </w:rPr>
        <w:t>d’accident</w:t>
      </w:r>
      <w:proofErr w:type="spellEnd"/>
      <w:r w:rsidR="005F7F44">
        <w:rPr>
          <w:color w:val="000000"/>
          <w:lang w:val="en-US" w:eastAsia="en-GB"/>
        </w:rPr>
        <w:t xml:space="preserve"> </w:t>
      </w:r>
      <w:proofErr w:type="spellStart"/>
      <w:r w:rsidR="005F7F44">
        <w:rPr>
          <w:color w:val="000000"/>
          <w:lang w:val="en-US" w:eastAsia="en-GB"/>
        </w:rPr>
        <w:t>ou</w:t>
      </w:r>
      <w:proofErr w:type="spellEnd"/>
      <w:r w:rsidR="005F7F44">
        <w:rPr>
          <w:color w:val="000000"/>
          <w:lang w:val="en-US" w:eastAsia="en-GB"/>
        </w:rPr>
        <w:t xml:space="preserve"> </w:t>
      </w:r>
      <w:proofErr w:type="spellStart"/>
      <w:r w:rsidR="005F7F44">
        <w:rPr>
          <w:color w:val="000000"/>
          <w:lang w:val="en-US" w:eastAsia="en-GB"/>
        </w:rPr>
        <w:t>d’incidents</w:t>
      </w:r>
      <w:proofErr w:type="spellEnd"/>
      <w:r w:rsidR="005F7F44">
        <w:rPr>
          <w:color w:val="000000"/>
          <w:lang w:val="en-US" w:eastAsia="en-GB"/>
        </w:rPr>
        <w:t xml:space="preserve"> </w:t>
      </w:r>
      <w:r>
        <w:rPr>
          <w:color w:val="000000"/>
          <w:lang w:val="en-US" w:eastAsia="en-GB"/>
        </w:rPr>
        <w:t xml:space="preserve">qui </w:t>
      </w:r>
      <w:proofErr w:type="spellStart"/>
      <w:r>
        <w:rPr>
          <w:color w:val="000000"/>
          <w:lang w:val="en-US" w:eastAsia="en-GB"/>
        </w:rPr>
        <w:t>seraient</w:t>
      </w:r>
      <w:proofErr w:type="spellEnd"/>
      <w:r>
        <w:rPr>
          <w:color w:val="000000"/>
          <w:lang w:val="en-US" w:eastAsia="en-GB"/>
        </w:rPr>
        <w:t xml:space="preserve"> </w:t>
      </w:r>
      <w:proofErr w:type="spellStart"/>
      <w:r>
        <w:rPr>
          <w:color w:val="000000"/>
          <w:lang w:val="en-US" w:eastAsia="en-GB"/>
        </w:rPr>
        <w:t>rassemblées</w:t>
      </w:r>
      <w:proofErr w:type="spellEnd"/>
      <w:r w:rsidR="005F7F44">
        <w:rPr>
          <w:color w:val="000000"/>
          <w:lang w:val="en-US" w:eastAsia="en-GB"/>
        </w:rPr>
        <w:t xml:space="preserve"> </w:t>
      </w:r>
      <w:proofErr w:type="spellStart"/>
      <w:r w:rsidR="005F7F44">
        <w:rPr>
          <w:color w:val="000000"/>
          <w:lang w:val="en-US" w:eastAsia="en-GB"/>
        </w:rPr>
        <w:t>dans</w:t>
      </w:r>
      <w:proofErr w:type="spellEnd"/>
      <w:r w:rsidR="005F7F44">
        <w:rPr>
          <w:color w:val="000000"/>
          <w:lang w:val="en-US" w:eastAsia="en-GB"/>
        </w:rPr>
        <w:t xml:space="preserve"> un </w:t>
      </w:r>
      <w:proofErr w:type="spellStart"/>
      <w:r w:rsidR="005F7F44">
        <w:rPr>
          <w:color w:val="000000"/>
          <w:lang w:val="en-US" w:eastAsia="en-GB"/>
        </w:rPr>
        <w:t>proche</w:t>
      </w:r>
      <w:proofErr w:type="spellEnd"/>
      <w:r w:rsidR="005F7F44">
        <w:rPr>
          <w:color w:val="000000"/>
          <w:lang w:val="en-US" w:eastAsia="en-GB"/>
        </w:rPr>
        <w:t xml:space="preserve"> </w:t>
      </w:r>
      <w:proofErr w:type="spellStart"/>
      <w:r w:rsidR="005F7F44">
        <w:rPr>
          <w:color w:val="000000"/>
          <w:lang w:val="en-US" w:eastAsia="en-GB"/>
        </w:rPr>
        <w:t>avenir</w:t>
      </w:r>
      <w:proofErr w:type="spellEnd"/>
      <w:r w:rsidR="005F7F44">
        <w:rPr>
          <w:color w:val="000000"/>
          <w:lang w:val="en-US" w:eastAsia="en-GB"/>
        </w:rPr>
        <w:t xml:space="preserve"> </w:t>
      </w:r>
      <w:proofErr w:type="spellStart"/>
      <w:r w:rsidR="005F7F44">
        <w:rPr>
          <w:color w:val="000000"/>
          <w:lang w:val="en-US" w:eastAsia="en-GB"/>
        </w:rPr>
        <w:t>dans</w:t>
      </w:r>
      <w:proofErr w:type="spellEnd"/>
      <w:r w:rsidR="005F7F44">
        <w:rPr>
          <w:color w:val="000000"/>
          <w:lang w:val="en-US" w:eastAsia="en-GB"/>
        </w:rPr>
        <w:t xml:space="preserve"> </w:t>
      </w:r>
      <w:proofErr w:type="spellStart"/>
      <w:r w:rsidR="005F7F44">
        <w:rPr>
          <w:color w:val="000000"/>
          <w:lang w:val="en-US" w:eastAsia="en-GB"/>
        </w:rPr>
        <w:t>une</w:t>
      </w:r>
      <w:proofErr w:type="spellEnd"/>
      <w:r w:rsidR="005F7F44">
        <w:rPr>
          <w:color w:val="000000"/>
          <w:lang w:val="en-US" w:eastAsia="en-GB"/>
        </w:rPr>
        <w:t xml:space="preserve"> base de </w:t>
      </w:r>
      <w:proofErr w:type="spellStart"/>
      <w:r w:rsidR="005F7F44">
        <w:rPr>
          <w:color w:val="000000"/>
          <w:lang w:val="en-US" w:eastAsia="en-GB"/>
        </w:rPr>
        <w:t>données</w:t>
      </w:r>
      <w:proofErr w:type="spellEnd"/>
      <w:r w:rsidR="005F7F44">
        <w:rPr>
          <w:color w:val="000000"/>
          <w:lang w:val="en-US" w:eastAsia="en-GB"/>
        </w:rPr>
        <w:t xml:space="preserve"> des rapports </w:t>
      </w:r>
      <w:proofErr w:type="spellStart"/>
      <w:r w:rsidR="005F7F44">
        <w:rPr>
          <w:color w:val="000000"/>
          <w:lang w:val="en-US" w:eastAsia="en-GB"/>
        </w:rPr>
        <w:t>d’accidents</w:t>
      </w:r>
      <w:proofErr w:type="spellEnd"/>
      <w:r w:rsidR="005F7F44">
        <w:rPr>
          <w:color w:val="000000"/>
          <w:lang w:val="en-US" w:eastAsia="en-GB"/>
        </w:rPr>
        <w:t>.</w:t>
      </w:r>
    </w:p>
    <w:p w14:paraId="51CCF816" w14:textId="0FFCE674" w:rsidR="005F7F44" w:rsidRDefault="004535C5" w:rsidP="005F7F44">
      <w:pPr>
        <w:pStyle w:val="SingleTxtG"/>
        <w:rPr>
          <w:color w:val="000000" w:themeColor="text1"/>
          <w:lang w:val="fr-FR"/>
        </w:rPr>
      </w:pPr>
      <w:r>
        <w:rPr>
          <w:color w:val="000000" w:themeColor="text1"/>
          <w:lang w:val="fr-FR"/>
        </w:rPr>
        <w:t>50</w:t>
      </w:r>
      <w:r w:rsidR="005F7F44">
        <w:rPr>
          <w:color w:val="000000" w:themeColor="text1"/>
          <w:lang w:val="fr-FR"/>
        </w:rPr>
        <w:t>.</w:t>
      </w:r>
      <w:r w:rsidR="005F7F44">
        <w:rPr>
          <w:color w:val="000000" w:themeColor="text1"/>
          <w:lang w:val="fr-FR"/>
        </w:rPr>
        <w:tab/>
        <w:t xml:space="preserve">Pour que la Réunion commune puisse </w:t>
      </w:r>
      <w:r>
        <w:rPr>
          <w:color w:val="000000" w:themeColor="text1"/>
          <w:lang w:val="fr-FR"/>
        </w:rPr>
        <w:t>discuter la possibilité de mise en œuvre de ces procédures, il a été suggéré que l’ERA fasse une présentation des manuels en préparation à la prochaine session, et qu’elle les soumette formellement ultérieurement</w:t>
      </w:r>
      <w:r w:rsidR="005F7F44">
        <w:rPr>
          <w:color w:val="000000" w:themeColor="text1"/>
          <w:lang w:val="fr-FR"/>
        </w:rPr>
        <w:t>.</w:t>
      </w:r>
    </w:p>
    <w:p w14:paraId="3F5655E2" w14:textId="74219CCC" w:rsidR="005F7F44" w:rsidRDefault="004535C5" w:rsidP="005F7F44">
      <w:pPr>
        <w:pStyle w:val="SingleTxtG"/>
        <w:rPr>
          <w:color w:val="000000" w:themeColor="text1"/>
          <w:lang w:val="fr-FR"/>
        </w:rPr>
      </w:pPr>
      <w:r>
        <w:rPr>
          <w:color w:val="000000" w:themeColor="text1"/>
          <w:lang w:val="fr-FR"/>
        </w:rPr>
        <w:t>51</w:t>
      </w:r>
      <w:r w:rsidR="005F7F44">
        <w:rPr>
          <w:color w:val="000000" w:themeColor="text1"/>
          <w:lang w:val="fr-FR"/>
        </w:rPr>
        <w:t>.</w:t>
      </w:r>
      <w:r w:rsidR="005F7F44">
        <w:rPr>
          <w:color w:val="000000" w:themeColor="text1"/>
          <w:lang w:val="fr-FR"/>
        </w:rPr>
        <w:tab/>
        <w:t>La prochaine session de l’Atelier aura lieu du 13 au 15 juin à Valenciennes et le représentant de l’ERA a encouragé toutes les délégations à lui fournir leurs commentaires éventuels sur le plan d’action proposé pour la période 2018-2021.</w:t>
      </w:r>
    </w:p>
    <w:p w14:paraId="6E299C89" w14:textId="778D810C" w:rsidR="002D0E27" w:rsidRDefault="00D64F4D" w:rsidP="00732341">
      <w:pPr>
        <w:pStyle w:val="HChG"/>
      </w:pPr>
      <w:r>
        <w:tab/>
        <w:t>IX.</w:t>
      </w:r>
      <w:r>
        <w:tab/>
      </w:r>
      <w:proofErr w:type="spellStart"/>
      <w:r w:rsidR="00740884">
        <w:t>Travaux</w:t>
      </w:r>
      <w:proofErr w:type="spellEnd"/>
      <w:r w:rsidR="00740884">
        <w:t xml:space="preserve"> </w:t>
      </w:r>
      <w:proofErr w:type="spellStart"/>
      <w:r w:rsidR="00740884">
        <w:t>futurs</w:t>
      </w:r>
      <w:proofErr w:type="spellEnd"/>
      <w:r w:rsidR="00740884">
        <w:t xml:space="preserve"> (point 8 de </w:t>
      </w:r>
      <w:proofErr w:type="spellStart"/>
      <w:r w:rsidR="00740884">
        <w:t>l’ordre</w:t>
      </w:r>
      <w:proofErr w:type="spellEnd"/>
      <w:r w:rsidR="00740884">
        <w:t xml:space="preserve"> du jour)</w:t>
      </w:r>
    </w:p>
    <w:p w14:paraId="4D672104" w14:textId="77777777" w:rsidR="00D64F4D" w:rsidRPr="00F23EDD" w:rsidRDefault="00D64F4D" w:rsidP="00732341">
      <w:pPr>
        <w:pStyle w:val="SingleTxtG"/>
      </w:pPr>
      <w:r>
        <w:t>52.</w:t>
      </w:r>
      <w:r>
        <w:tab/>
      </w:r>
      <w:r w:rsidR="00F2176D">
        <w:t xml:space="preserve">La </w:t>
      </w:r>
      <w:proofErr w:type="spellStart"/>
      <w:r w:rsidR="00F2176D">
        <w:t>prochaine</w:t>
      </w:r>
      <w:proofErr w:type="spellEnd"/>
      <w:r w:rsidR="00F2176D">
        <w:t xml:space="preserve"> session se </w:t>
      </w:r>
      <w:proofErr w:type="spellStart"/>
      <w:r w:rsidR="00F2176D">
        <w:t>tiendra</w:t>
      </w:r>
      <w:proofErr w:type="spellEnd"/>
      <w:r w:rsidR="00F2176D">
        <w:t xml:space="preserve"> à Genève du 19 au 29 </w:t>
      </w:r>
      <w:proofErr w:type="spellStart"/>
      <w:r w:rsidR="00F2176D">
        <w:t>septembre</w:t>
      </w:r>
      <w:proofErr w:type="spellEnd"/>
      <w:r w:rsidR="00F2176D">
        <w:t xml:space="preserve"> 2017, avec </w:t>
      </w:r>
      <w:proofErr w:type="spellStart"/>
      <w:r w:rsidR="00F2176D">
        <w:t>une</w:t>
      </w:r>
      <w:proofErr w:type="spellEnd"/>
      <w:r w:rsidR="00F2176D">
        <w:t xml:space="preserve"> session du </w:t>
      </w:r>
      <w:proofErr w:type="spellStart"/>
      <w:r w:rsidR="00F2176D">
        <w:t>Groupe</w:t>
      </w:r>
      <w:proofErr w:type="spellEnd"/>
      <w:r w:rsidR="00F2176D">
        <w:t xml:space="preserve"> de travail des </w:t>
      </w:r>
      <w:proofErr w:type="spellStart"/>
      <w:r w:rsidR="00F2176D">
        <w:t>citernes</w:t>
      </w:r>
      <w:proofErr w:type="spellEnd"/>
      <w:r w:rsidR="00F2176D">
        <w:t xml:space="preserve"> du 19 au 21 </w:t>
      </w:r>
      <w:proofErr w:type="spellStart"/>
      <w:r w:rsidR="00F2176D">
        <w:t>septembre</w:t>
      </w:r>
      <w:proofErr w:type="spellEnd"/>
      <w:r w:rsidR="00F2176D">
        <w:t>.</w:t>
      </w:r>
    </w:p>
    <w:p w14:paraId="086A6A00" w14:textId="77777777" w:rsidR="005F7F44" w:rsidRDefault="005F7F44" w:rsidP="005F7F44">
      <w:pPr>
        <w:pStyle w:val="HChG"/>
      </w:pPr>
      <w:r>
        <w:tab/>
        <w:t>X</w:t>
      </w:r>
      <w:r w:rsidRPr="00897EC8">
        <w:t>.</w:t>
      </w:r>
      <w:r w:rsidRPr="00897EC8">
        <w:tab/>
      </w:r>
      <w:r>
        <w:t xml:space="preserve">Questions </w:t>
      </w:r>
      <w:proofErr w:type="spellStart"/>
      <w:r>
        <w:t>diverses</w:t>
      </w:r>
      <w:proofErr w:type="spellEnd"/>
      <w:r>
        <w:t xml:space="preserve"> (point 9 de </w:t>
      </w:r>
      <w:proofErr w:type="spellStart"/>
      <w:r>
        <w:t>l’ordre</w:t>
      </w:r>
      <w:proofErr w:type="spellEnd"/>
      <w:r>
        <w:t xml:space="preserve"> du jour)</w:t>
      </w:r>
    </w:p>
    <w:p w14:paraId="757149C7" w14:textId="77777777" w:rsidR="005F7F44" w:rsidRDefault="005F7F44" w:rsidP="005F7F44">
      <w:pPr>
        <w:pStyle w:val="H1G"/>
      </w:pPr>
      <w:r>
        <w:rPr>
          <w:szCs w:val="24"/>
        </w:rPr>
        <w:t>.</w:t>
      </w:r>
      <w:r w:rsidRPr="00885FB1">
        <w:t xml:space="preserve"> </w:t>
      </w:r>
      <w:r>
        <w:tab/>
        <w:t>A.</w:t>
      </w:r>
      <w:r>
        <w:tab/>
        <w:t xml:space="preserve">Transport de </w:t>
      </w:r>
      <w:proofErr w:type="spellStart"/>
      <w:r>
        <w:t>récipients</w:t>
      </w:r>
      <w:proofErr w:type="spellEnd"/>
      <w:r>
        <w:t xml:space="preserve"> à </w:t>
      </w:r>
      <w:proofErr w:type="spellStart"/>
      <w:r>
        <w:t>pression</w:t>
      </w:r>
      <w:proofErr w:type="spellEnd"/>
      <w:r>
        <w:t xml:space="preserve"> </w:t>
      </w:r>
      <w:proofErr w:type="spellStart"/>
      <w:r>
        <w:t>agréés</w:t>
      </w:r>
      <w:proofErr w:type="spellEnd"/>
      <w:r>
        <w:t xml:space="preserve"> par le </w:t>
      </w:r>
      <w:proofErr w:type="spellStart"/>
      <w:r>
        <w:t>Département</w:t>
      </w:r>
      <w:proofErr w:type="spellEnd"/>
      <w:r>
        <w:t xml:space="preserve"> des transports des </w:t>
      </w:r>
      <w:proofErr w:type="spellStart"/>
      <w:r>
        <w:t>Etats</w:t>
      </w:r>
      <w:proofErr w:type="spellEnd"/>
      <w:r>
        <w:t xml:space="preserve">-Unis </w:t>
      </w:r>
      <w:proofErr w:type="spellStart"/>
      <w:r>
        <w:t>d’Amérique</w:t>
      </w:r>
      <w:proofErr w:type="spellEnd"/>
      <w:r>
        <w:t xml:space="preserve"> (DOT)</w:t>
      </w:r>
    </w:p>
    <w:p w14:paraId="162857F3" w14:textId="77777777" w:rsidR="005F7F44" w:rsidRPr="00C45869" w:rsidRDefault="005F7F44" w:rsidP="005F7F44">
      <w:pPr>
        <w:pStyle w:val="SingleTxtG"/>
        <w:tabs>
          <w:tab w:val="left" w:pos="3100"/>
        </w:tabs>
        <w:rPr>
          <w:i/>
          <w:lang w:val="fr-FR"/>
        </w:rPr>
      </w:pPr>
      <w:r w:rsidRPr="00EA4A82">
        <w:rPr>
          <w:i/>
          <w:lang w:val="fr-FR"/>
        </w:rPr>
        <w:t>Document</w:t>
      </w:r>
      <w:r w:rsidRPr="00E30AEE">
        <w:rPr>
          <w:i/>
          <w:lang w:val="fr-FR"/>
        </w:rPr>
        <w:t>:</w:t>
      </w:r>
      <w:r>
        <w:rPr>
          <w:lang w:val="fr-FR"/>
        </w:rPr>
        <w:tab/>
      </w:r>
      <w:r>
        <w:rPr>
          <w:lang w:val="fr-FR"/>
        </w:rPr>
        <w:tab/>
        <w:t>ECE/TRANS/WP.15/AC.1/2017/14 (EIGA)</w:t>
      </w:r>
    </w:p>
    <w:p w14:paraId="24C2B41C" w14:textId="77777777" w:rsidR="005F7F44" w:rsidRDefault="005F7F44" w:rsidP="005F7F44">
      <w:pPr>
        <w:pStyle w:val="SingleTxtG"/>
        <w:tabs>
          <w:tab w:val="left" w:pos="3100"/>
        </w:tabs>
        <w:rPr>
          <w:lang w:val="fr-FR"/>
        </w:rPr>
      </w:pPr>
      <w:r>
        <w:rPr>
          <w:i/>
          <w:lang w:val="fr-FR"/>
        </w:rPr>
        <w:t>Document informel</w:t>
      </w:r>
      <w:r>
        <w:rPr>
          <w:lang w:val="fr-FR"/>
        </w:rPr>
        <w:t xml:space="preserve">: </w:t>
      </w:r>
      <w:r>
        <w:rPr>
          <w:lang w:val="fr-FR"/>
        </w:rPr>
        <w:tab/>
      </w:r>
      <w:r>
        <w:rPr>
          <w:lang w:val="fr-FR"/>
        </w:rPr>
        <w:tab/>
        <w:t>INF.19 (EIGA)</w:t>
      </w:r>
    </w:p>
    <w:p w14:paraId="5C845DCD" w14:textId="1E795001" w:rsidR="005F7F44" w:rsidRDefault="00F2176D" w:rsidP="005F7F44">
      <w:pPr>
        <w:pStyle w:val="SingleTxtG"/>
        <w:rPr>
          <w:lang w:val="fr-FR"/>
        </w:rPr>
      </w:pPr>
      <w:r>
        <w:rPr>
          <w:lang w:val="fr-FR"/>
        </w:rPr>
        <w:t>53</w:t>
      </w:r>
      <w:r w:rsidR="005F7F44">
        <w:rPr>
          <w:lang w:val="fr-FR"/>
        </w:rPr>
        <w:t>.</w:t>
      </w:r>
      <w:r w:rsidR="005F7F44">
        <w:rPr>
          <w:lang w:val="fr-FR"/>
        </w:rPr>
        <w:tab/>
        <w:t xml:space="preserve">La Réunion commune a accepté en principe </w:t>
      </w:r>
      <w:r>
        <w:rPr>
          <w:lang w:val="fr-FR"/>
        </w:rPr>
        <w:t xml:space="preserve">que le texte correspondant à l’accord multilatéral M299 tel que rédigé dans le document informel INF.19 puisse être </w:t>
      </w:r>
      <w:r w:rsidR="00752543">
        <w:rPr>
          <w:lang w:val="fr-FR"/>
        </w:rPr>
        <w:t>introduit en tant que paragraphe 1.1.4.7 du RID/ADR/ADN sous réserve que la</w:t>
      </w:r>
      <w:proofErr w:type="gramStart"/>
      <w:r w:rsidR="00752543">
        <w:rPr>
          <w:lang w:val="fr-FR"/>
        </w:rPr>
        <w:t xml:space="preserve"> «demande</w:t>
      </w:r>
      <w:proofErr w:type="gramEnd"/>
      <w:r w:rsidR="00752543">
        <w:rPr>
          <w:lang w:val="fr-FR"/>
        </w:rPr>
        <w:t xml:space="preserve"> de réglementation» déposée aux Etats-Unis d’Amérique soit suivie d’effets favorables.</w:t>
      </w:r>
    </w:p>
    <w:p w14:paraId="5D0F7430" w14:textId="77777777" w:rsidR="005F7F44" w:rsidRPr="006D446C" w:rsidRDefault="005F7F44" w:rsidP="005F7F44">
      <w:pPr>
        <w:pStyle w:val="H1G"/>
        <w:rPr>
          <w:szCs w:val="24"/>
          <w:lang w:val="fr-FR"/>
        </w:rPr>
      </w:pPr>
      <w:r w:rsidRPr="006D446C">
        <w:rPr>
          <w:szCs w:val="24"/>
          <w:lang w:val="fr-FR"/>
        </w:rPr>
        <w:tab/>
        <w:t>B.</w:t>
      </w:r>
      <w:r w:rsidRPr="006D446C">
        <w:rPr>
          <w:szCs w:val="24"/>
          <w:lang w:val="fr-FR"/>
        </w:rPr>
        <w:tab/>
      </w:r>
      <w:r w:rsidRPr="006D446C">
        <w:rPr>
          <w:szCs w:val="24"/>
          <w:lang w:val="fr-FR"/>
        </w:rPr>
        <w:tab/>
        <w:t xml:space="preserve">Demande de statut consultatif du Council on </w:t>
      </w:r>
      <w:proofErr w:type="spellStart"/>
      <w:r w:rsidRPr="006D446C">
        <w:rPr>
          <w:szCs w:val="24"/>
          <w:lang w:val="fr-FR"/>
        </w:rPr>
        <w:t>Safe</w:t>
      </w:r>
      <w:proofErr w:type="spellEnd"/>
      <w:r w:rsidRPr="006D446C">
        <w:rPr>
          <w:szCs w:val="24"/>
          <w:lang w:val="fr-FR"/>
        </w:rPr>
        <w:t xml:space="preserve"> Transportation of </w:t>
      </w:r>
      <w:proofErr w:type="spellStart"/>
      <w:r w:rsidRPr="006D446C">
        <w:rPr>
          <w:szCs w:val="24"/>
          <w:lang w:val="fr-FR"/>
        </w:rPr>
        <w:t>Hazardous</w:t>
      </w:r>
      <w:proofErr w:type="spellEnd"/>
      <w:r w:rsidRPr="006D446C">
        <w:rPr>
          <w:szCs w:val="24"/>
          <w:lang w:val="fr-FR"/>
        </w:rPr>
        <w:t xml:space="preserve"> Articles (COSTHA)</w:t>
      </w:r>
    </w:p>
    <w:p w14:paraId="34E932CD" w14:textId="77777777" w:rsidR="005F7F44" w:rsidRPr="00C45869" w:rsidRDefault="005F7F44" w:rsidP="005F7F44">
      <w:pPr>
        <w:pStyle w:val="SingleTxtG"/>
        <w:tabs>
          <w:tab w:val="left" w:pos="3100"/>
        </w:tabs>
        <w:ind w:left="3399" w:hanging="2265"/>
        <w:rPr>
          <w:i/>
          <w:lang w:val="fr-FR"/>
        </w:rPr>
      </w:pPr>
      <w:r w:rsidRPr="00EA4A82">
        <w:rPr>
          <w:i/>
          <w:lang w:val="fr-FR"/>
        </w:rPr>
        <w:t>Document</w:t>
      </w:r>
      <w:r w:rsidRPr="00E30AEE">
        <w:rPr>
          <w:i/>
          <w:lang w:val="fr-FR"/>
        </w:rPr>
        <w:t>:</w:t>
      </w:r>
      <w:r>
        <w:rPr>
          <w:lang w:val="fr-FR"/>
        </w:rPr>
        <w:tab/>
      </w:r>
      <w:r>
        <w:rPr>
          <w:lang w:val="fr-FR"/>
        </w:rPr>
        <w:tab/>
        <w:t xml:space="preserve">ECE/TRANS/WP.15/AC.1/2017/16 (Secrétariat de la </w:t>
      </w:r>
      <w:r>
        <w:rPr>
          <w:lang w:val="fr-FR"/>
        </w:rPr>
        <w:br/>
        <w:t>CEE-ONU)</w:t>
      </w:r>
    </w:p>
    <w:p w14:paraId="714EA262" w14:textId="77777777" w:rsidR="005F7F44" w:rsidRDefault="005F7F44" w:rsidP="005F7F44">
      <w:pPr>
        <w:pStyle w:val="SingleTxtG"/>
        <w:tabs>
          <w:tab w:val="left" w:pos="3100"/>
        </w:tabs>
        <w:jc w:val="left"/>
        <w:rPr>
          <w:lang w:val="fr-FR"/>
        </w:rPr>
      </w:pPr>
      <w:r>
        <w:rPr>
          <w:i/>
          <w:lang w:val="fr-FR"/>
        </w:rPr>
        <w:t>Document informel</w:t>
      </w:r>
      <w:r>
        <w:rPr>
          <w:lang w:val="fr-FR"/>
        </w:rPr>
        <w:t xml:space="preserve">: </w:t>
      </w:r>
      <w:r>
        <w:rPr>
          <w:lang w:val="fr-FR"/>
        </w:rPr>
        <w:tab/>
      </w:r>
      <w:r>
        <w:rPr>
          <w:lang w:val="fr-FR"/>
        </w:rPr>
        <w:tab/>
        <w:t>INF.5 (Secrétariat de la CEE-ONU)</w:t>
      </w:r>
    </w:p>
    <w:p w14:paraId="70B8877A" w14:textId="2EFEFE12" w:rsidR="005F7F44" w:rsidRDefault="00752543" w:rsidP="005F7F44">
      <w:pPr>
        <w:pStyle w:val="SingleTxtG"/>
        <w:rPr>
          <w:lang w:val="fr-FR"/>
        </w:rPr>
      </w:pPr>
      <w:r>
        <w:rPr>
          <w:lang w:val="fr-FR"/>
        </w:rPr>
        <w:t>54</w:t>
      </w:r>
      <w:r w:rsidR="005F7F44">
        <w:rPr>
          <w:lang w:val="fr-FR"/>
        </w:rPr>
        <w:t>.</w:t>
      </w:r>
      <w:r w:rsidR="005F7F44">
        <w:rPr>
          <w:lang w:val="fr-FR"/>
        </w:rPr>
        <w:tab/>
        <w:t>Après quelques discussions et clarifications, la Réunion commune a accepté que COSTHA participe à titre consultatif à ses réunions.</w:t>
      </w:r>
    </w:p>
    <w:p w14:paraId="72325984" w14:textId="77777777" w:rsidR="00752543" w:rsidRPr="00A01122" w:rsidRDefault="00752543" w:rsidP="00752543">
      <w:pPr>
        <w:pStyle w:val="H1G"/>
        <w:spacing w:before="240"/>
        <w:rPr>
          <w:color w:val="000000" w:themeColor="text1"/>
        </w:rPr>
      </w:pPr>
      <w:r w:rsidRPr="00A01122">
        <w:rPr>
          <w:color w:val="000000" w:themeColor="text1"/>
        </w:rPr>
        <w:lastRenderedPageBreak/>
        <w:tab/>
      </w:r>
      <w:r>
        <w:rPr>
          <w:color w:val="000000" w:themeColor="text1"/>
        </w:rPr>
        <w:t>C</w:t>
      </w:r>
      <w:r w:rsidRPr="00A01122">
        <w:rPr>
          <w:color w:val="000000" w:themeColor="text1"/>
        </w:rPr>
        <w:t>.</w:t>
      </w:r>
      <w:r w:rsidRPr="00A01122">
        <w:rPr>
          <w:color w:val="000000" w:themeColor="text1"/>
        </w:rPr>
        <w:tab/>
      </w:r>
      <w:r>
        <w:rPr>
          <w:color w:val="000000" w:themeColor="text1"/>
        </w:rPr>
        <w:t xml:space="preserve">Entrée </w:t>
      </w:r>
      <w:proofErr w:type="spellStart"/>
      <w:r>
        <w:rPr>
          <w:color w:val="000000" w:themeColor="text1"/>
        </w:rPr>
        <w:t>en</w:t>
      </w:r>
      <w:proofErr w:type="spellEnd"/>
      <w:r>
        <w:rPr>
          <w:color w:val="000000" w:themeColor="text1"/>
        </w:rPr>
        <w:t xml:space="preserve"> </w:t>
      </w:r>
      <w:proofErr w:type="spellStart"/>
      <w:r>
        <w:rPr>
          <w:color w:val="000000" w:themeColor="text1"/>
        </w:rPr>
        <w:t>vigueur</w:t>
      </w:r>
      <w:proofErr w:type="spellEnd"/>
      <w:r>
        <w:rPr>
          <w:color w:val="000000" w:themeColor="text1"/>
        </w:rPr>
        <w:t xml:space="preserve"> </w:t>
      </w:r>
      <w:proofErr w:type="spellStart"/>
      <w:r>
        <w:rPr>
          <w:color w:val="000000" w:themeColor="text1"/>
        </w:rPr>
        <w:t>d’une</w:t>
      </w:r>
      <w:proofErr w:type="spellEnd"/>
      <w:r>
        <w:rPr>
          <w:color w:val="000000" w:themeColor="text1"/>
        </w:rPr>
        <w:t xml:space="preserve"> </w:t>
      </w:r>
      <w:proofErr w:type="spellStart"/>
      <w:r>
        <w:rPr>
          <w:color w:val="000000" w:themeColor="text1"/>
        </w:rPr>
        <w:t>loi</w:t>
      </w:r>
      <w:proofErr w:type="spellEnd"/>
      <w:r>
        <w:rPr>
          <w:color w:val="000000" w:themeColor="text1"/>
        </w:rPr>
        <w:t xml:space="preserve"> polonaise </w:t>
      </w:r>
      <w:proofErr w:type="spellStart"/>
      <w:r>
        <w:rPr>
          <w:color w:val="000000" w:themeColor="text1"/>
        </w:rPr>
        <w:t>exigeant</w:t>
      </w:r>
      <w:proofErr w:type="spellEnd"/>
      <w:r>
        <w:rPr>
          <w:color w:val="000000" w:themeColor="text1"/>
        </w:rPr>
        <w:t xml:space="preserve"> la mention du </w:t>
      </w:r>
      <w:proofErr w:type="spellStart"/>
      <w:r>
        <w:rPr>
          <w:color w:val="000000" w:themeColor="text1"/>
        </w:rPr>
        <w:t>propriétaire</w:t>
      </w:r>
      <w:proofErr w:type="spellEnd"/>
      <w:r>
        <w:rPr>
          <w:color w:val="000000" w:themeColor="text1"/>
        </w:rPr>
        <w:t xml:space="preserve"> de la </w:t>
      </w:r>
      <w:proofErr w:type="spellStart"/>
      <w:r>
        <w:rPr>
          <w:color w:val="000000" w:themeColor="text1"/>
        </w:rPr>
        <w:t>marchandise</w:t>
      </w:r>
      <w:proofErr w:type="spellEnd"/>
      <w:r>
        <w:rPr>
          <w:color w:val="000000" w:themeColor="text1"/>
        </w:rPr>
        <w:t xml:space="preserve"> </w:t>
      </w:r>
      <w:proofErr w:type="spellStart"/>
      <w:r>
        <w:rPr>
          <w:color w:val="000000" w:themeColor="text1"/>
        </w:rPr>
        <w:t>dangereuse</w:t>
      </w:r>
      <w:proofErr w:type="spellEnd"/>
      <w:r>
        <w:rPr>
          <w:color w:val="000000" w:themeColor="text1"/>
        </w:rPr>
        <w:t xml:space="preserve"> </w:t>
      </w:r>
      <w:proofErr w:type="spellStart"/>
      <w:r>
        <w:rPr>
          <w:color w:val="000000" w:themeColor="text1"/>
        </w:rPr>
        <w:t>dans</w:t>
      </w:r>
      <w:proofErr w:type="spellEnd"/>
      <w:r>
        <w:rPr>
          <w:color w:val="000000" w:themeColor="text1"/>
        </w:rPr>
        <w:t xml:space="preserve"> le document de transport </w:t>
      </w:r>
      <w:proofErr w:type="spellStart"/>
      <w:r>
        <w:rPr>
          <w:color w:val="000000" w:themeColor="text1"/>
        </w:rPr>
        <w:t>conformément</w:t>
      </w:r>
      <w:proofErr w:type="spellEnd"/>
      <w:r>
        <w:rPr>
          <w:color w:val="000000" w:themeColor="text1"/>
        </w:rPr>
        <w:t xml:space="preserve"> au </w:t>
      </w:r>
      <w:proofErr w:type="spellStart"/>
      <w:r>
        <w:rPr>
          <w:color w:val="000000" w:themeColor="text1"/>
        </w:rPr>
        <w:t>chapitre</w:t>
      </w:r>
      <w:proofErr w:type="spellEnd"/>
      <w:r>
        <w:rPr>
          <w:color w:val="000000" w:themeColor="text1"/>
        </w:rPr>
        <w:t xml:space="preserve"> 5.4</w:t>
      </w:r>
    </w:p>
    <w:p w14:paraId="10A10315" w14:textId="77777777" w:rsidR="00752543" w:rsidRPr="00A01122" w:rsidRDefault="00752543" w:rsidP="00752543">
      <w:pPr>
        <w:pStyle w:val="SingleTxtG"/>
        <w:tabs>
          <w:tab w:val="left" w:pos="3100"/>
        </w:tabs>
        <w:rPr>
          <w:i/>
          <w:color w:val="000000" w:themeColor="text1"/>
          <w:lang w:val="fr-FR"/>
        </w:rPr>
      </w:pPr>
      <w:r w:rsidRPr="00A01122">
        <w:rPr>
          <w:i/>
          <w:color w:val="000000" w:themeColor="text1"/>
          <w:lang w:val="fr-FR"/>
        </w:rPr>
        <w:t>Document:</w:t>
      </w:r>
      <w:r>
        <w:rPr>
          <w:color w:val="000000" w:themeColor="text1"/>
          <w:lang w:val="fr-FR"/>
        </w:rPr>
        <w:tab/>
      </w:r>
      <w:r>
        <w:rPr>
          <w:color w:val="000000" w:themeColor="text1"/>
          <w:lang w:val="fr-FR"/>
        </w:rPr>
        <w:tab/>
        <w:t>ECE/TRANS/WP.15/AC.1/2017/11</w:t>
      </w:r>
      <w:r w:rsidRPr="00A01122">
        <w:rPr>
          <w:color w:val="000000" w:themeColor="text1"/>
          <w:lang w:val="fr-FR"/>
        </w:rPr>
        <w:t xml:space="preserve"> (</w:t>
      </w:r>
      <w:r>
        <w:rPr>
          <w:color w:val="000000" w:themeColor="text1"/>
          <w:lang w:val="fr-FR"/>
        </w:rPr>
        <w:t>UIC, IRU, CEFIC</w:t>
      </w:r>
      <w:r w:rsidRPr="00A01122">
        <w:rPr>
          <w:color w:val="000000" w:themeColor="text1"/>
          <w:lang w:val="fr-FR"/>
        </w:rPr>
        <w:t>)</w:t>
      </w:r>
    </w:p>
    <w:p w14:paraId="0C000649" w14:textId="77777777" w:rsidR="00752543" w:rsidRDefault="00752543" w:rsidP="00752543">
      <w:pPr>
        <w:pStyle w:val="SingleTxtG"/>
        <w:rPr>
          <w:color w:val="000000" w:themeColor="text1"/>
          <w:lang w:val="fr-FR"/>
        </w:rPr>
      </w:pPr>
      <w:r>
        <w:rPr>
          <w:color w:val="000000" w:themeColor="text1"/>
          <w:lang w:val="fr-FR"/>
        </w:rPr>
        <w:t>55.</w:t>
      </w:r>
      <w:r>
        <w:rPr>
          <w:color w:val="000000" w:themeColor="text1"/>
          <w:lang w:val="fr-FR"/>
        </w:rPr>
        <w:tab/>
        <w:t>La Réunion commune a noté que l’exigence de l’indication du propriétaire de la marchandise dans les documents de transport en Pologne était liée à une réglementation fiscale et que le Gouvernement de la Pologne n’y voyait pas de contradiction avec l’ADR compte tenu de l’article 4, paragraphe 1. La Réunion commune a noté également que l’industrie reste très préoccupée par cette exigence qui va à l’encontre de la facilitation des transports, mais que des discussions restent engagées et que la Commission européenne étudie l’aspect juridique dans le cadre du droit de l’Union européenne.</w:t>
      </w:r>
    </w:p>
    <w:p w14:paraId="629B70B5" w14:textId="77777777" w:rsidR="005F7F44" w:rsidRPr="00A01122" w:rsidRDefault="005F7F44" w:rsidP="005F7F44">
      <w:pPr>
        <w:pStyle w:val="H1G"/>
        <w:rPr>
          <w:color w:val="000000" w:themeColor="text1"/>
          <w:szCs w:val="24"/>
          <w:lang w:val="fr-FR"/>
        </w:rPr>
      </w:pPr>
      <w:r w:rsidRPr="00A01122">
        <w:rPr>
          <w:color w:val="000000" w:themeColor="text1"/>
          <w:szCs w:val="24"/>
          <w:lang w:val="fr-FR"/>
        </w:rPr>
        <w:tab/>
      </w:r>
      <w:r>
        <w:rPr>
          <w:color w:val="000000" w:themeColor="text1"/>
          <w:szCs w:val="24"/>
          <w:lang w:val="fr-FR"/>
        </w:rPr>
        <w:t>D</w:t>
      </w:r>
      <w:r w:rsidRPr="00A01122">
        <w:rPr>
          <w:color w:val="000000" w:themeColor="text1"/>
          <w:szCs w:val="24"/>
          <w:lang w:val="fr-FR"/>
        </w:rPr>
        <w:t>.</w:t>
      </w:r>
      <w:r w:rsidRPr="00A01122">
        <w:rPr>
          <w:color w:val="000000" w:themeColor="text1"/>
          <w:szCs w:val="24"/>
          <w:lang w:val="fr-FR"/>
        </w:rPr>
        <w:tab/>
      </w:r>
      <w:r>
        <w:rPr>
          <w:color w:val="000000" w:themeColor="text1"/>
          <w:szCs w:val="24"/>
          <w:lang w:val="fr-FR"/>
        </w:rPr>
        <w:t>Non-adoption des amendements 2017 à l’annexe 2 du SMGS</w:t>
      </w:r>
    </w:p>
    <w:p w14:paraId="003FC03A" w14:textId="77777777" w:rsidR="005F7F44" w:rsidRPr="00A01122" w:rsidRDefault="005F7F44" w:rsidP="005F7F44">
      <w:pPr>
        <w:pStyle w:val="SingleTxtG"/>
        <w:tabs>
          <w:tab w:val="left" w:pos="3100"/>
        </w:tabs>
        <w:jc w:val="left"/>
        <w:rPr>
          <w:color w:val="000000" w:themeColor="text1"/>
          <w:lang w:val="fr-FR"/>
        </w:rPr>
      </w:pPr>
      <w:r w:rsidRPr="00A01122">
        <w:rPr>
          <w:i/>
          <w:color w:val="000000" w:themeColor="text1"/>
          <w:lang w:val="fr-FR"/>
        </w:rPr>
        <w:t>Document informel</w:t>
      </w:r>
      <w:r w:rsidRPr="00A01122">
        <w:rPr>
          <w:color w:val="000000" w:themeColor="text1"/>
          <w:lang w:val="fr-FR"/>
        </w:rPr>
        <w:t xml:space="preserve">: </w:t>
      </w:r>
      <w:r w:rsidRPr="00A01122">
        <w:rPr>
          <w:color w:val="000000" w:themeColor="text1"/>
          <w:lang w:val="fr-FR"/>
        </w:rPr>
        <w:tab/>
      </w:r>
      <w:r w:rsidRPr="00A01122">
        <w:rPr>
          <w:color w:val="000000" w:themeColor="text1"/>
          <w:lang w:val="fr-FR"/>
        </w:rPr>
        <w:tab/>
        <w:t>INF.1</w:t>
      </w:r>
      <w:r>
        <w:rPr>
          <w:color w:val="000000" w:themeColor="text1"/>
          <w:lang w:val="fr-FR"/>
        </w:rPr>
        <w:t>4</w:t>
      </w:r>
      <w:r w:rsidRPr="00A01122">
        <w:rPr>
          <w:color w:val="000000" w:themeColor="text1"/>
          <w:lang w:val="fr-FR"/>
        </w:rPr>
        <w:t xml:space="preserve"> (Secrétariat de </w:t>
      </w:r>
      <w:r>
        <w:rPr>
          <w:color w:val="000000" w:themeColor="text1"/>
          <w:lang w:val="fr-FR"/>
        </w:rPr>
        <w:t>l’OTIF</w:t>
      </w:r>
      <w:r w:rsidRPr="00A01122">
        <w:rPr>
          <w:color w:val="000000" w:themeColor="text1"/>
          <w:lang w:val="fr-FR"/>
        </w:rPr>
        <w:t>)</w:t>
      </w:r>
    </w:p>
    <w:p w14:paraId="28BE16D6" w14:textId="0765CBDD" w:rsidR="005F7F44" w:rsidRDefault="00752543" w:rsidP="005F7F44">
      <w:pPr>
        <w:pStyle w:val="SingleTxtG"/>
        <w:rPr>
          <w:color w:val="000000" w:themeColor="text1"/>
          <w:lang w:val="fr-FR"/>
        </w:rPr>
      </w:pPr>
      <w:r>
        <w:rPr>
          <w:color w:val="000000" w:themeColor="text1"/>
          <w:lang w:val="fr-FR"/>
        </w:rPr>
        <w:t>56</w:t>
      </w:r>
      <w:r w:rsidR="005F7F44">
        <w:rPr>
          <w:color w:val="000000" w:themeColor="text1"/>
          <w:lang w:val="fr-FR"/>
        </w:rPr>
        <w:t>.</w:t>
      </w:r>
      <w:r w:rsidR="005F7F44">
        <w:rPr>
          <w:color w:val="000000" w:themeColor="text1"/>
          <w:lang w:val="fr-FR"/>
        </w:rPr>
        <w:tab/>
        <w:t>La Réunion commune a regretté que les Etats appliquant le SMGS n’aient pas adopté les amendements correspondant aux amendements 2017 au RID. Elle a noté que cette situation était liée au refus de certains pays d’introduire des références à des normes EN ou à des directives européennes, ces pays n’ayant pas l’opportunité de participer au développement de ces normes ou n’y ayant tout simplement pas accès gratuitement.</w:t>
      </w:r>
    </w:p>
    <w:p w14:paraId="1F7ED834" w14:textId="674A9029" w:rsidR="005F7F44" w:rsidRDefault="00752543" w:rsidP="005F7F44">
      <w:pPr>
        <w:pStyle w:val="SingleTxtG"/>
        <w:rPr>
          <w:color w:val="000000" w:themeColor="text1"/>
          <w:lang w:val="fr-FR"/>
        </w:rPr>
      </w:pPr>
      <w:r>
        <w:rPr>
          <w:color w:val="000000" w:themeColor="text1"/>
          <w:lang w:val="fr-FR"/>
        </w:rPr>
        <w:t>57</w:t>
      </w:r>
      <w:r w:rsidR="005F7F44">
        <w:rPr>
          <w:color w:val="000000" w:themeColor="text1"/>
          <w:lang w:val="fr-FR"/>
        </w:rPr>
        <w:t>.</w:t>
      </w:r>
      <w:r w:rsidR="005F7F44">
        <w:rPr>
          <w:color w:val="000000" w:themeColor="text1"/>
          <w:lang w:val="fr-FR"/>
        </w:rPr>
        <w:tab/>
        <w:t>Il a été rappelé cependant qu’il existait un accord de coopération entre le CEN, le CENELEC et ROSSTANDART qui permettait à ROSSTANDART de participer aux travaux du moins à titre d’observateur et d’effectuer les traductions des normes. La Réunion commune a donc souhaité qu’une solution puisse être trouvée à l’avenir à ce niveau.</w:t>
      </w:r>
    </w:p>
    <w:p w14:paraId="6038F730" w14:textId="6FDBF093" w:rsidR="005F7F44" w:rsidRDefault="00752543" w:rsidP="005F7F44">
      <w:pPr>
        <w:pStyle w:val="SingleTxtG"/>
        <w:rPr>
          <w:color w:val="000000" w:themeColor="text1"/>
          <w:lang w:val="fr-FR"/>
        </w:rPr>
      </w:pPr>
      <w:r>
        <w:rPr>
          <w:color w:val="000000" w:themeColor="text1"/>
          <w:lang w:val="fr-FR"/>
        </w:rPr>
        <w:t>58</w:t>
      </w:r>
      <w:r w:rsidR="005F7F44">
        <w:rPr>
          <w:color w:val="000000" w:themeColor="text1"/>
          <w:lang w:val="fr-FR"/>
        </w:rPr>
        <w:t>.</w:t>
      </w:r>
      <w:r w:rsidR="005F7F44">
        <w:rPr>
          <w:color w:val="000000" w:themeColor="text1"/>
          <w:lang w:val="fr-FR"/>
        </w:rPr>
        <w:tab/>
        <w:t>La Réunion commune a souligné que cette situation était préju</w:t>
      </w:r>
      <w:r w:rsidR="00CC349E">
        <w:rPr>
          <w:color w:val="000000" w:themeColor="text1"/>
          <w:lang w:val="fr-FR"/>
        </w:rPr>
        <w:t>diciable aux Etats membres de l’</w:t>
      </w:r>
      <w:r w:rsidR="005F7F44">
        <w:rPr>
          <w:color w:val="000000" w:themeColor="text1"/>
          <w:lang w:val="fr-FR"/>
        </w:rPr>
        <w:t xml:space="preserve">OSJD dans la mesure où le rejet global de ces amendements entrainait des disparités entre la règlementation routière et fluviale (ADR et ADN) et la règlementation ferroviaire (SMGS) dans ces pays non seulement pour la question des récipients à pression mais également pour tous les aspects de la règlementation qui demandent une harmonisation globale sur la base de </w:t>
      </w:r>
      <w:r>
        <w:rPr>
          <w:color w:val="000000" w:themeColor="text1"/>
          <w:lang w:val="fr-FR"/>
        </w:rPr>
        <w:t xml:space="preserve">la </w:t>
      </w:r>
      <w:r w:rsidR="005F7F44">
        <w:rPr>
          <w:color w:val="000000" w:themeColor="text1"/>
          <w:lang w:val="fr-FR"/>
        </w:rPr>
        <w:t>dix-neuvième édition révisée des Recommandations de l’ONU (Règlement type). La Réunion commune a donc espéré que les Etats membres de l’OSJD puissent adopter au moins les amendements qui ne sont pas liés aux travaux de normalisation du CEN et aux directives de l’Union européenne.</w:t>
      </w:r>
    </w:p>
    <w:p w14:paraId="046FE467" w14:textId="7610E5C9" w:rsidR="005F7F44" w:rsidRDefault="00752543" w:rsidP="005F7F44">
      <w:pPr>
        <w:pStyle w:val="SingleTxtG"/>
        <w:rPr>
          <w:color w:val="000000" w:themeColor="text1"/>
          <w:lang w:val="fr-FR"/>
        </w:rPr>
      </w:pPr>
      <w:r>
        <w:rPr>
          <w:color w:val="000000" w:themeColor="text1"/>
          <w:lang w:val="fr-FR"/>
        </w:rPr>
        <w:t>59</w:t>
      </w:r>
      <w:r w:rsidR="005F7F44">
        <w:rPr>
          <w:color w:val="000000" w:themeColor="text1"/>
          <w:lang w:val="fr-FR"/>
        </w:rPr>
        <w:t>.</w:t>
      </w:r>
      <w:r w:rsidR="005F7F44">
        <w:rPr>
          <w:color w:val="000000" w:themeColor="text1"/>
          <w:lang w:val="fr-FR"/>
        </w:rPr>
        <w:tab/>
        <w:t>Pour la question des normes applicables aux récipients à pression, il a également été rappelé que dans le cadre de l’ADR et de l’ADN, les Parties contractantes à ces deux accords ont la possibilité de conclure des accords multilatéraux dérogeant à la règle générale et leur permettant de transporter sur leurs territoires des récipients qui répondent à des normes différentes qu’ils jugent apporter un niveau de sécurité équivalent ou acceptable. Une solution permettant le transport de récipients à pression répondant aux normes EN référencées dans le RID ou ADR ou alternativement à d’autres normes jugées équivalentes par les Etats membres de l’OSJD devrait donc aussi pouvoir être envisagée pour les transports dans le cadre de l’annexe 2 du SMGS.</w:t>
      </w:r>
    </w:p>
    <w:p w14:paraId="5384EDAA" w14:textId="77777777" w:rsidR="005F7F44" w:rsidRPr="00A01122" w:rsidRDefault="005F7F44" w:rsidP="005F7F44">
      <w:pPr>
        <w:pStyle w:val="H1G"/>
        <w:rPr>
          <w:color w:val="000000" w:themeColor="text1"/>
        </w:rPr>
      </w:pPr>
      <w:r w:rsidRPr="00A01122">
        <w:rPr>
          <w:color w:val="000000" w:themeColor="text1"/>
        </w:rPr>
        <w:tab/>
      </w:r>
      <w:r>
        <w:rPr>
          <w:color w:val="000000" w:themeColor="text1"/>
        </w:rPr>
        <w:t>E</w:t>
      </w:r>
      <w:r w:rsidRPr="00A01122">
        <w:rPr>
          <w:color w:val="000000" w:themeColor="text1"/>
        </w:rPr>
        <w:t>.</w:t>
      </w:r>
      <w:r w:rsidRPr="00A01122">
        <w:rPr>
          <w:color w:val="000000" w:themeColor="text1"/>
        </w:rPr>
        <w:tab/>
      </w:r>
      <w:r>
        <w:rPr>
          <w:color w:val="000000" w:themeColor="text1"/>
        </w:rPr>
        <w:t>Propositions de corrections au RID/ADR/ADN</w:t>
      </w:r>
    </w:p>
    <w:p w14:paraId="2D9E8480" w14:textId="77777777" w:rsidR="005F7F44" w:rsidRDefault="005F7F44" w:rsidP="005F7F44">
      <w:pPr>
        <w:pStyle w:val="SingleTxtG"/>
        <w:tabs>
          <w:tab w:val="left" w:pos="3100"/>
        </w:tabs>
        <w:rPr>
          <w:color w:val="000000" w:themeColor="text1"/>
          <w:lang w:val="fr-FR"/>
        </w:rPr>
      </w:pPr>
      <w:r w:rsidRPr="00A01122">
        <w:rPr>
          <w:i/>
          <w:color w:val="000000" w:themeColor="text1"/>
          <w:lang w:val="fr-FR"/>
        </w:rPr>
        <w:t>Document informel:</w:t>
      </w:r>
      <w:r>
        <w:rPr>
          <w:color w:val="000000" w:themeColor="text1"/>
          <w:lang w:val="fr-FR"/>
        </w:rPr>
        <w:tab/>
      </w:r>
      <w:r>
        <w:rPr>
          <w:color w:val="000000" w:themeColor="text1"/>
          <w:lang w:val="fr-FR"/>
        </w:rPr>
        <w:tab/>
        <w:t>INF.33</w:t>
      </w:r>
      <w:r w:rsidRPr="00A01122">
        <w:rPr>
          <w:color w:val="000000" w:themeColor="text1"/>
          <w:lang w:val="fr-FR"/>
        </w:rPr>
        <w:t xml:space="preserve"> (</w:t>
      </w:r>
      <w:r>
        <w:rPr>
          <w:color w:val="000000" w:themeColor="text1"/>
          <w:lang w:val="fr-FR"/>
        </w:rPr>
        <w:t>Secrétariat</w:t>
      </w:r>
      <w:r w:rsidRPr="00A01122">
        <w:rPr>
          <w:color w:val="000000" w:themeColor="text1"/>
          <w:lang w:val="fr-FR"/>
        </w:rPr>
        <w:t>)</w:t>
      </w:r>
    </w:p>
    <w:p w14:paraId="354DF200" w14:textId="71ED0F9D" w:rsidR="005F7F44" w:rsidRDefault="00704FD8" w:rsidP="005F7F44">
      <w:pPr>
        <w:spacing w:before="120" w:after="120"/>
        <w:ind w:left="1134" w:right="1134"/>
        <w:jc w:val="both"/>
        <w:rPr>
          <w:color w:val="000000" w:themeColor="text1"/>
          <w:lang w:val="fr-FR"/>
        </w:rPr>
      </w:pPr>
      <w:r>
        <w:rPr>
          <w:color w:val="000000" w:themeColor="text1"/>
          <w:lang w:val="fr-FR"/>
        </w:rPr>
        <w:t>60</w:t>
      </w:r>
      <w:r w:rsidR="005F7F44">
        <w:rPr>
          <w:color w:val="000000" w:themeColor="text1"/>
          <w:lang w:val="fr-FR"/>
        </w:rPr>
        <w:t>.</w:t>
      </w:r>
      <w:r w:rsidR="005F7F44">
        <w:rPr>
          <w:color w:val="000000" w:themeColor="text1"/>
          <w:lang w:val="fr-FR"/>
        </w:rPr>
        <w:tab/>
        <w:t xml:space="preserve">La Réunion commune a noté que les Recommandations relatives au transport des marchandises dangereuses, Règlement type de l’ONU comportait des erreurs qui avaient été </w:t>
      </w:r>
      <w:r w:rsidR="005F7F44">
        <w:rPr>
          <w:color w:val="000000" w:themeColor="text1"/>
          <w:lang w:val="fr-FR"/>
        </w:rPr>
        <w:lastRenderedPageBreak/>
        <w:t>corrigées par le Sous-Comité d’experts de l’ONU. Ces erreurs ont été reprises dans le RID, l’ADR, l’ADN, le Code IMDG et les Instructions techniques de l’OACI et il convient donc de les corriger. Les secrétariats de la CEE-ONU et de l’OTIF ont été priés d’engager le plus rapidement possible les procédures de correction</w:t>
      </w:r>
      <w:r>
        <w:rPr>
          <w:color w:val="000000" w:themeColor="text1"/>
          <w:lang w:val="fr-FR"/>
        </w:rPr>
        <w:t xml:space="preserve"> (voir annexe II</w:t>
      </w:r>
      <w:r w:rsidR="007A5E55">
        <w:rPr>
          <w:color w:val="000000" w:themeColor="text1"/>
          <w:lang w:val="fr-FR"/>
        </w:rPr>
        <w:t>I</w:t>
      </w:r>
      <w:r>
        <w:rPr>
          <w:color w:val="000000" w:themeColor="text1"/>
          <w:lang w:val="fr-FR"/>
        </w:rPr>
        <w:t>)</w:t>
      </w:r>
      <w:r w:rsidR="005F7F44">
        <w:rPr>
          <w:color w:val="000000" w:themeColor="text1"/>
          <w:lang w:val="fr-FR"/>
        </w:rPr>
        <w:t>.</w:t>
      </w:r>
    </w:p>
    <w:p w14:paraId="0A49B921" w14:textId="77777777" w:rsidR="005F7F44" w:rsidRPr="00A01122" w:rsidRDefault="005F7F44" w:rsidP="005F7F44">
      <w:pPr>
        <w:pStyle w:val="HChG"/>
        <w:rPr>
          <w:color w:val="000000" w:themeColor="text1"/>
        </w:rPr>
      </w:pPr>
      <w:r>
        <w:tab/>
      </w:r>
      <w:r>
        <w:rPr>
          <w:color w:val="000000" w:themeColor="text1"/>
        </w:rPr>
        <w:t>XI</w:t>
      </w:r>
      <w:r w:rsidRPr="00A01122">
        <w:rPr>
          <w:color w:val="000000" w:themeColor="text1"/>
        </w:rPr>
        <w:t>.</w:t>
      </w:r>
      <w:r w:rsidRPr="00A01122">
        <w:rPr>
          <w:color w:val="000000" w:themeColor="text1"/>
        </w:rPr>
        <w:tab/>
      </w:r>
      <w:r>
        <w:rPr>
          <w:color w:val="000000" w:themeColor="text1"/>
        </w:rPr>
        <w:t>Adoption du rapport</w:t>
      </w:r>
      <w:r w:rsidRPr="00A01122">
        <w:rPr>
          <w:color w:val="000000" w:themeColor="text1"/>
        </w:rPr>
        <w:t xml:space="preserve"> </w:t>
      </w:r>
      <w:r>
        <w:rPr>
          <w:color w:val="000000" w:themeColor="text1"/>
        </w:rPr>
        <w:t xml:space="preserve">(point 10 de </w:t>
      </w:r>
      <w:proofErr w:type="spellStart"/>
      <w:r>
        <w:rPr>
          <w:color w:val="000000" w:themeColor="text1"/>
        </w:rPr>
        <w:t>l’ordre</w:t>
      </w:r>
      <w:proofErr w:type="spellEnd"/>
      <w:r>
        <w:rPr>
          <w:color w:val="000000" w:themeColor="text1"/>
        </w:rPr>
        <w:t xml:space="preserve"> du jour)</w:t>
      </w:r>
    </w:p>
    <w:p w14:paraId="494FD345" w14:textId="77777777" w:rsidR="005F7F44" w:rsidRDefault="005F7F44" w:rsidP="005F7F44">
      <w:pPr>
        <w:pStyle w:val="SingleTxtG"/>
        <w:rPr>
          <w:color w:val="000000" w:themeColor="text1"/>
          <w:lang w:val="fr-FR"/>
        </w:rPr>
      </w:pPr>
      <w:r>
        <w:rPr>
          <w:color w:val="000000" w:themeColor="text1"/>
          <w:lang w:val="fr-FR"/>
        </w:rPr>
        <w:t>61.</w:t>
      </w:r>
      <w:r>
        <w:rPr>
          <w:color w:val="000000" w:themeColor="text1"/>
          <w:lang w:val="fr-FR"/>
        </w:rPr>
        <w:tab/>
        <w:t>La Réunion commune a adopté le rapport sur sa session de printemps 2017 et ses annexes sur la base d’un projet établi par le secrétariat.</w:t>
      </w:r>
    </w:p>
    <w:p w14:paraId="1668E552" w14:textId="108BE378" w:rsidR="00C65322" w:rsidRDefault="00C65322">
      <w:pPr>
        <w:suppressAutoHyphens w:val="0"/>
        <w:spacing w:line="240" w:lineRule="auto"/>
      </w:pPr>
      <w:r>
        <w:br w:type="page"/>
      </w:r>
    </w:p>
    <w:p w14:paraId="7E8B01C7" w14:textId="20F420BF" w:rsidR="00C65322" w:rsidRDefault="00C65322" w:rsidP="00C65322">
      <w:pPr>
        <w:pStyle w:val="HChG"/>
      </w:pPr>
      <w:r>
        <w:lastRenderedPageBreak/>
        <w:tab/>
        <w:t>Annexe I</w:t>
      </w:r>
    </w:p>
    <w:p w14:paraId="35D0218F" w14:textId="77777777" w:rsidR="00C65322" w:rsidRDefault="00C65322" w:rsidP="00C65322">
      <w:pPr>
        <w:pStyle w:val="HChG"/>
      </w:pPr>
      <w:r>
        <w:tab/>
      </w:r>
      <w:r>
        <w:tab/>
      </w:r>
      <w:proofErr w:type="gramStart"/>
      <w:r>
        <w:t>Rapport  du</w:t>
      </w:r>
      <w:proofErr w:type="gramEnd"/>
      <w:r>
        <w:t xml:space="preserve"> </w:t>
      </w:r>
      <w:proofErr w:type="spellStart"/>
      <w:r>
        <w:t>Groupe</w:t>
      </w:r>
      <w:proofErr w:type="spellEnd"/>
      <w:r>
        <w:t xml:space="preserve"> de travail sur les </w:t>
      </w:r>
      <w:proofErr w:type="spellStart"/>
      <w:r>
        <w:t>citernes</w:t>
      </w:r>
      <w:proofErr w:type="spellEnd"/>
    </w:p>
    <w:p w14:paraId="0CA444F1" w14:textId="25FA4BAC" w:rsidR="00C65322" w:rsidRPr="00E74C5F" w:rsidRDefault="00C65322" w:rsidP="00C65322">
      <w:r>
        <w:tab/>
      </w:r>
      <w:r>
        <w:tab/>
      </w:r>
      <w:r w:rsidRPr="00E74C5F">
        <w:t>(</w:t>
      </w:r>
      <w:proofErr w:type="gramStart"/>
      <w:r w:rsidRPr="00E74C5F">
        <w:t>voir</w:t>
      </w:r>
      <w:proofErr w:type="gramEnd"/>
      <w:r w:rsidRPr="00E74C5F">
        <w:t xml:space="preserve"> ECE/TRANS/WP.15/AC.1/14</w:t>
      </w:r>
      <w:r>
        <w:t>6</w:t>
      </w:r>
      <w:r w:rsidRPr="00E74C5F">
        <w:t>/Add.1)</w:t>
      </w:r>
    </w:p>
    <w:p w14:paraId="61A21F66" w14:textId="4F2500E6" w:rsidR="00C65322" w:rsidRDefault="00C65322">
      <w:pPr>
        <w:suppressAutoHyphens w:val="0"/>
        <w:spacing w:line="240" w:lineRule="auto"/>
      </w:pPr>
      <w:r>
        <w:br w:type="page"/>
      </w:r>
    </w:p>
    <w:p w14:paraId="76740436" w14:textId="3673098C" w:rsidR="0082186B" w:rsidRPr="00750773" w:rsidRDefault="00D33540" w:rsidP="0082186B">
      <w:pPr>
        <w:pStyle w:val="HChG"/>
        <w:rPr>
          <w:lang w:val="fr-FR"/>
        </w:rPr>
      </w:pPr>
      <w:r>
        <w:lastRenderedPageBreak/>
        <w:tab/>
      </w:r>
      <w:r w:rsidR="0082186B" w:rsidRPr="00750773">
        <w:rPr>
          <w:lang w:val="fr-FR"/>
        </w:rPr>
        <w:t>Annexe II</w:t>
      </w:r>
    </w:p>
    <w:p w14:paraId="5BD28E37" w14:textId="77777777" w:rsidR="0082186B" w:rsidRPr="00750773" w:rsidRDefault="0082186B" w:rsidP="0082186B">
      <w:pPr>
        <w:pStyle w:val="HChG"/>
        <w:rPr>
          <w:lang w:val="fr-FR"/>
        </w:rPr>
      </w:pPr>
      <w:r w:rsidRPr="00750773">
        <w:rPr>
          <w:lang w:val="fr-FR"/>
        </w:rPr>
        <w:tab/>
      </w:r>
      <w:r w:rsidRPr="00750773">
        <w:rPr>
          <w:lang w:val="fr-FR"/>
        </w:rPr>
        <w:tab/>
        <w:t xml:space="preserve">Projet d’amendements au RID, à l’ADR et à l’ADN pour </w:t>
      </w:r>
      <w:proofErr w:type="spellStart"/>
      <w:r w:rsidRPr="00750773">
        <w:rPr>
          <w:lang w:val="fr-FR"/>
        </w:rPr>
        <w:t>entrée</w:t>
      </w:r>
      <w:proofErr w:type="spellEnd"/>
      <w:r w:rsidRPr="00750773">
        <w:rPr>
          <w:lang w:val="fr-FR"/>
        </w:rPr>
        <w:t xml:space="preserve"> en vigueur le 1</w:t>
      </w:r>
      <w:r w:rsidRPr="00750773">
        <w:rPr>
          <w:vertAlign w:val="superscript"/>
          <w:lang w:val="fr-FR"/>
        </w:rPr>
        <w:t>er</w:t>
      </w:r>
      <w:r w:rsidRPr="00750773">
        <w:rPr>
          <w:lang w:val="fr-FR"/>
        </w:rPr>
        <w:t xml:space="preserve"> janvier 2019</w:t>
      </w:r>
    </w:p>
    <w:p w14:paraId="37A6C4E6" w14:textId="77777777" w:rsidR="0082186B" w:rsidRPr="001A5477" w:rsidRDefault="0082186B" w:rsidP="0082186B">
      <w:pPr>
        <w:pStyle w:val="H1G"/>
      </w:pPr>
      <w:r>
        <w:tab/>
      </w:r>
      <w:r>
        <w:tab/>
      </w:r>
      <w:proofErr w:type="spellStart"/>
      <w:r w:rsidRPr="00896077">
        <w:t>Chapitre</w:t>
      </w:r>
      <w:proofErr w:type="spellEnd"/>
      <w:r w:rsidRPr="00896077">
        <w:t xml:space="preserve"> 1.2</w:t>
      </w:r>
    </w:p>
    <w:p w14:paraId="13DC7B22" w14:textId="4C588A55" w:rsidR="0082186B" w:rsidRDefault="0082186B" w:rsidP="0082186B">
      <w:pPr>
        <w:pStyle w:val="SingleTxtG"/>
        <w:rPr>
          <w:b/>
        </w:rPr>
      </w:pPr>
      <w:r>
        <w:t>1.2.1</w:t>
      </w:r>
      <w:r>
        <w:tab/>
      </w:r>
      <w:r w:rsidRPr="00E754BF">
        <w:tab/>
      </w:r>
      <w:r w:rsidRPr="008D7BD1">
        <w:t xml:space="preserve">Modifier </w:t>
      </w:r>
      <w:r>
        <w:t xml:space="preserve">la </w:t>
      </w:r>
      <w:proofErr w:type="spellStart"/>
      <w:r>
        <w:t>définition</w:t>
      </w:r>
      <w:proofErr w:type="spellEnd"/>
      <w:r>
        <w:t xml:space="preserve"> de «</w:t>
      </w:r>
      <w:proofErr w:type="spellStart"/>
      <w:r>
        <w:t>citerne</w:t>
      </w:r>
      <w:proofErr w:type="spellEnd"/>
      <w:r>
        <w:t xml:space="preserve"> </w:t>
      </w:r>
      <w:proofErr w:type="spellStart"/>
      <w:r>
        <w:t>fermée</w:t>
      </w:r>
      <w:proofErr w:type="spellEnd"/>
      <w:r>
        <w:t xml:space="preserve"> </w:t>
      </w:r>
      <w:proofErr w:type="spellStart"/>
      <w:r>
        <w:t>hermétiquement</w:t>
      </w:r>
      <w:proofErr w:type="spellEnd"/>
      <w:r>
        <w:t xml:space="preserve">» </w:t>
      </w:r>
      <w:r w:rsidR="00CC349E">
        <w:t xml:space="preserve">pour lire </w:t>
      </w:r>
      <w:proofErr w:type="spellStart"/>
      <w:r>
        <w:t>comme</w:t>
      </w:r>
      <w:proofErr w:type="spellEnd"/>
      <w:r>
        <w:t xml:space="preserve"> </w:t>
      </w:r>
      <w:proofErr w:type="gramStart"/>
      <w:r>
        <w:t>suit :</w:t>
      </w:r>
      <w:proofErr w:type="gramEnd"/>
    </w:p>
    <w:p w14:paraId="0C6C7716" w14:textId="77777777" w:rsidR="0082186B" w:rsidRPr="001A5477" w:rsidRDefault="0082186B" w:rsidP="0082186B">
      <w:pPr>
        <w:pStyle w:val="SingleTxtG"/>
      </w:pPr>
      <w:r>
        <w:t>«</w:t>
      </w:r>
      <w:r w:rsidRPr="00E24BE8">
        <w:rPr>
          <w:i/>
          <w:iCs/>
        </w:rPr>
        <w:t>"</w:t>
      </w:r>
      <w:proofErr w:type="spellStart"/>
      <w:proofErr w:type="gramStart"/>
      <w:r w:rsidRPr="00CB1EF9">
        <w:rPr>
          <w:bCs/>
          <w:i/>
          <w:iCs/>
        </w:rPr>
        <w:t>citerne</w:t>
      </w:r>
      <w:proofErr w:type="spellEnd"/>
      <w:proofErr w:type="gramEnd"/>
      <w:r w:rsidRPr="00CB1EF9">
        <w:rPr>
          <w:bCs/>
          <w:i/>
          <w:iCs/>
        </w:rPr>
        <w:t xml:space="preserve"> </w:t>
      </w:r>
      <w:proofErr w:type="spellStart"/>
      <w:r w:rsidRPr="00CB1EF9">
        <w:rPr>
          <w:bCs/>
          <w:i/>
          <w:iCs/>
        </w:rPr>
        <w:t>fermée</w:t>
      </w:r>
      <w:proofErr w:type="spellEnd"/>
      <w:r w:rsidRPr="00CB1EF9">
        <w:rPr>
          <w:bCs/>
          <w:i/>
          <w:iCs/>
        </w:rPr>
        <w:t xml:space="preserve"> </w:t>
      </w:r>
      <w:proofErr w:type="spellStart"/>
      <w:r w:rsidRPr="00CB1EF9">
        <w:rPr>
          <w:bCs/>
          <w:i/>
          <w:iCs/>
        </w:rPr>
        <w:t>hermétiquement</w:t>
      </w:r>
      <w:proofErr w:type="spellEnd"/>
      <w:r w:rsidRPr="00E24BE8">
        <w:rPr>
          <w:i/>
          <w:iCs/>
        </w:rPr>
        <w:t>"</w:t>
      </w:r>
      <w:r>
        <w:t xml:space="preserve">, </w:t>
      </w:r>
      <w:proofErr w:type="spellStart"/>
      <w:r w:rsidRPr="001A5477">
        <w:t>une</w:t>
      </w:r>
      <w:proofErr w:type="spellEnd"/>
      <w:r w:rsidRPr="001A5477">
        <w:t xml:space="preserve"> </w:t>
      </w:r>
      <w:proofErr w:type="spellStart"/>
      <w:r w:rsidRPr="001A5477">
        <w:t>citerne</w:t>
      </w:r>
      <w:proofErr w:type="spellEnd"/>
      <w:r w:rsidRPr="001A5477">
        <w:t xml:space="preserve"> qui:</w:t>
      </w:r>
    </w:p>
    <w:p w14:paraId="38212F28" w14:textId="77777777" w:rsidR="0082186B" w:rsidRPr="001A5477" w:rsidRDefault="0082186B" w:rsidP="0082186B">
      <w:pPr>
        <w:pStyle w:val="SingleTxtG"/>
        <w:rPr>
          <w:lang w:val="fr-FR"/>
        </w:rPr>
      </w:pPr>
      <w:r w:rsidRPr="001A5477">
        <w:rPr>
          <w:lang w:val="fr-FR"/>
        </w:rPr>
        <w:t>‒</w:t>
      </w:r>
      <w:r w:rsidRPr="001A5477">
        <w:rPr>
          <w:lang w:val="fr-FR"/>
        </w:rPr>
        <w:tab/>
        <w:t xml:space="preserve">n’est pas équipée de </w:t>
      </w:r>
      <w:r w:rsidRPr="001A5477">
        <w:rPr>
          <w:iCs/>
          <w:lang w:val="fr-FR"/>
        </w:rPr>
        <w:t>soupapes de sécurité</w:t>
      </w:r>
      <w:r w:rsidRPr="001A5477">
        <w:rPr>
          <w:lang w:val="fr-FR"/>
        </w:rPr>
        <w:t xml:space="preserve">, de disques de rupture, d’autres dispositifs semblables de sécurité ou de </w:t>
      </w:r>
      <w:r w:rsidRPr="001A5477">
        <w:rPr>
          <w:iCs/>
          <w:lang w:val="fr-FR"/>
        </w:rPr>
        <w:t>soupapes de dépression</w:t>
      </w:r>
      <w:r w:rsidRPr="001A5477">
        <w:rPr>
          <w:lang w:val="fr-FR"/>
        </w:rPr>
        <w:t xml:space="preserve"> &lt; (RID seulement:) ou de </w:t>
      </w:r>
      <w:r w:rsidRPr="001A5477">
        <w:rPr>
          <w:iCs/>
          <w:lang w:val="fr-FR"/>
        </w:rPr>
        <w:t>dispositifs de mise à l’atmosphère commandés par contrainte</w:t>
      </w:r>
      <w:r w:rsidRPr="001A5477">
        <w:rPr>
          <w:lang w:val="fr-FR"/>
        </w:rPr>
        <w:t xml:space="preserve"> &gt;; </w:t>
      </w:r>
      <w:proofErr w:type="gramStart"/>
      <w:r w:rsidRPr="001A5477">
        <w:rPr>
          <w:lang w:val="fr-FR"/>
        </w:rPr>
        <w:t>ou</w:t>
      </w:r>
      <w:proofErr w:type="gramEnd"/>
    </w:p>
    <w:p w14:paraId="6C1AD2CB" w14:textId="77777777" w:rsidR="0082186B" w:rsidRPr="001A5477" w:rsidRDefault="0082186B" w:rsidP="0082186B">
      <w:pPr>
        <w:pStyle w:val="SingleTxtG"/>
        <w:rPr>
          <w:lang w:val="fr-FR"/>
        </w:rPr>
      </w:pPr>
      <w:r w:rsidRPr="001A5477">
        <w:rPr>
          <w:lang w:val="fr-FR"/>
        </w:rPr>
        <w:t>‒</w:t>
      </w:r>
      <w:r w:rsidRPr="001A5477">
        <w:rPr>
          <w:lang w:val="fr-FR"/>
        </w:rPr>
        <w:tab/>
        <w:t xml:space="preserve">est équipée de </w:t>
      </w:r>
      <w:r w:rsidRPr="001A5477">
        <w:rPr>
          <w:iCs/>
          <w:lang w:val="fr-FR"/>
        </w:rPr>
        <w:t xml:space="preserve">soupapes de </w:t>
      </w:r>
      <w:proofErr w:type="spellStart"/>
      <w:r w:rsidRPr="001A5477">
        <w:rPr>
          <w:iCs/>
          <w:lang w:val="fr-FR"/>
        </w:rPr>
        <w:t>sécurite</w:t>
      </w:r>
      <w:proofErr w:type="spellEnd"/>
      <w:r w:rsidRPr="001A5477">
        <w:rPr>
          <w:iCs/>
          <w:lang w:val="fr-FR"/>
        </w:rPr>
        <w:t>́</w:t>
      </w:r>
      <w:r w:rsidRPr="001A5477">
        <w:rPr>
          <w:lang w:val="fr-FR"/>
        </w:rPr>
        <w:t xml:space="preserve"> </w:t>
      </w:r>
      <w:proofErr w:type="spellStart"/>
      <w:r w:rsidRPr="001A5477">
        <w:rPr>
          <w:lang w:val="fr-FR"/>
        </w:rPr>
        <w:t>précédées</w:t>
      </w:r>
      <w:proofErr w:type="spellEnd"/>
      <w:r w:rsidRPr="001A5477">
        <w:rPr>
          <w:lang w:val="fr-FR"/>
        </w:rPr>
        <w:t xml:space="preserve"> d’un disque de rupture </w:t>
      </w:r>
      <w:proofErr w:type="spellStart"/>
      <w:r w:rsidRPr="001A5477">
        <w:rPr>
          <w:lang w:val="fr-FR"/>
        </w:rPr>
        <w:t>conformément</w:t>
      </w:r>
      <w:proofErr w:type="spellEnd"/>
      <w:r w:rsidRPr="001A5477">
        <w:rPr>
          <w:lang w:val="fr-FR"/>
        </w:rPr>
        <w:t xml:space="preserve"> au 6.8.2.2.10, mais n’est pas </w:t>
      </w:r>
      <w:proofErr w:type="spellStart"/>
      <w:r w:rsidRPr="001A5477">
        <w:rPr>
          <w:lang w:val="fr-FR"/>
        </w:rPr>
        <w:t>équipée</w:t>
      </w:r>
      <w:proofErr w:type="spellEnd"/>
      <w:r w:rsidRPr="001A5477">
        <w:rPr>
          <w:lang w:val="fr-FR"/>
        </w:rPr>
        <w:t xml:space="preserve"> de </w:t>
      </w:r>
      <w:r w:rsidRPr="001A5477">
        <w:rPr>
          <w:iCs/>
          <w:lang w:val="fr-FR"/>
        </w:rPr>
        <w:t xml:space="preserve">soupapes de </w:t>
      </w:r>
      <w:proofErr w:type="spellStart"/>
      <w:r w:rsidRPr="001A5477">
        <w:rPr>
          <w:iCs/>
          <w:lang w:val="fr-FR"/>
        </w:rPr>
        <w:t>dépression</w:t>
      </w:r>
      <w:proofErr w:type="spellEnd"/>
      <w:r w:rsidRPr="001A5477">
        <w:rPr>
          <w:lang w:val="fr-FR"/>
        </w:rPr>
        <w:t xml:space="preserve"> &lt; (RID seulement:) ou de </w:t>
      </w:r>
      <w:r w:rsidRPr="001A5477">
        <w:rPr>
          <w:iCs/>
          <w:lang w:val="fr-FR"/>
        </w:rPr>
        <w:t>dispositifs de mise à l’atmosphère commandés par contrainte</w:t>
      </w:r>
      <w:r w:rsidRPr="001A5477">
        <w:rPr>
          <w:lang w:val="fr-FR"/>
        </w:rPr>
        <w:t>&gt;.</w:t>
      </w:r>
    </w:p>
    <w:p w14:paraId="5C15979A" w14:textId="7D15C529" w:rsidR="0082186B" w:rsidRPr="001A5477" w:rsidRDefault="0082186B" w:rsidP="0082186B">
      <w:pPr>
        <w:pStyle w:val="SingleTxtG"/>
        <w:rPr>
          <w:lang w:val="fr-FR"/>
        </w:rPr>
      </w:pPr>
      <w:r w:rsidRPr="001A5477">
        <w:rPr>
          <w:lang w:val="fr-FR"/>
        </w:rPr>
        <w:t xml:space="preserve">Une citerne </w:t>
      </w:r>
      <w:proofErr w:type="spellStart"/>
      <w:r w:rsidRPr="001A5477">
        <w:rPr>
          <w:lang w:val="fr-FR"/>
        </w:rPr>
        <w:t>destinée</w:t>
      </w:r>
      <w:proofErr w:type="spellEnd"/>
      <w:r w:rsidRPr="001A5477">
        <w:rPr>
          <w:lang w:val="fr-FR"/>
        </w:rPr>
        <w:t xml:space="preserve"> au transport de </w:t>
      </w:r>
      <w:r w:rsidRPr="001A5477">
        <w:rPr>
          <w:iCs/>
          <w:lang w:val="fr-FR"/>
        </w:rPr>
        <w:t>liquides</w:t>
      </w:r>
      <w:r w:rsidRPr="001A5477">
        <w:rPr>
          <w:lang w:val="fr-FR"/>
        </w:rPr>
        <w:t xml:space="preserve"> ayant une </w:t>
      </w:r>
      <w:r w:rsidRPr="001A5477">
        <w:rPr>
          <w:iCs/>
          <w:lang w:val="fr-FR"/>
        </w:rPr>
        <w:t>pression de calcul</w:t>
      </w:r>
      <w:r w:rsidRPr="001A5477">
        <w:rPr>
          <w:lang w:val="fr-FR"/>
        </w:rPr>
        <w:t xml:space="preserve"> d’au moins 4 bar ou </w:t>
      </w:r>
      <w:proofErr w:type="spellStart"/>
      <w:r w:rsidRPr="001A5477">
        <w:rPr>
          <w:lang w:val="fr-FR"/>
        </w:rPr>
        <w:t>destinée</w:t>
      </w:r>
      <w:proofErr w:type="spellEnd"/>
      <w:r w:rsidRPr="001A5477">
        <w:rPr>
          <w:lang w:val="fr-FR"/>
        </w:rPr>
        <w:t xml:space="preserve"> au transport de matières </w:t>
      </w:r>
      <w:r w:rsidRPr="001A5477">
        <w:rPr>
          <w:iCs/>
          <w:lang w:val="fr-FR"/>
        </w:rPr>
        <w:t>solides</w:t>
      </w:r>
      <w:r w:rsidRPr="001A5477">
        <w:rPr>
          <w:lang w:val="fr-FR"/>
        </w:rPr>
        <w:t xml:space="preserve"> (</w:t>
      </w:r>
      <w:proofErr w:type="spellStart"/>
      <w:r w:rsidRPr="001A5477">
        <w:rPr>
          <w:lang w:val="fr-FR"/>
        </w:rPr>
        <w:t>pulvérulentes</w:t>
      </w:r>
      <w:proofErr w:type="spellEnd"/>
      <w:r w:rsidRPr="001A5477">
        <w:rPr>
          <w:lang w:val="fr-FR"/>
        </w:rPr>
        <w:t xml:space="preserve"> ou granulaires) quelle que soit sa </w:t>
      </w:r>
      <w:r w:rsidRPr="001A5477">
        <w:rPr>
          <w:iCs/>
          <w:lang w:val="fr-FR"/>
        </w:rPr>
        <w:t>pression de calcul</w:t>
      </w:r>
      <w:r w:rsidRPr="001A5477">
        <w:rPr>
          <w:lang w:val="fr-FR"/>
        </w:rPr>
        <w:t>, est aussi considérée comme étant fermée hermétiquement si:</w:t>
      </w:r>
    </w:p>
    <w:p w14:paraId="4365D17A" w14:textId="4BDA78EC" w:rsidR="0082186B" w:rsidRPr="001A5477" w:rsidRDefault="0082186B" w:rsidP="0082186B">
      <w:pPr>
        <w:pStyle w:val="SingleTxtG"/>
        <w:rPr>
          <w:lang w:val="fr-FR"/>
        </w:rPr>
      </w:pPr>
      <w:r w:rsidRPr="001A5477">
        <w:rPr>
          <w:lang w:val="fr-FR"/>
        </w:rPr>
        <w:t>‒</w:t>
      </w:r>
      <w:r w:rsidRPr="001A5477">
        <w:rPr>
          <w:lang w:val="fr-FR"/>
        </w:rPr>
        <w:tab/>
      </w:r>
      <w:r w:rsidR="00CC349E">
        <w:rPr>
          <w:lang w:val="fr-FR"/>
        </w:rPr>
        <w:t xml:space="preserve">Elle </w:t>
      </w:r>
      <w:r w:rsidRPr="001A5477">
        <w:rPr>
          <w:lang w:val="fr-FR"/>
        </w:rPr>
        <w:t xml:space="preserve">est </w:t>
      </w:r>
      <w:proofErr w:type="spellStart"/>
      <w:r w:rsidRPr="001A5477">
        <w:rPr>
          <w:lang w:val="fr-FR"/>
        </w:rPr>
        <w:t>équipée</w:t>
      </w:r>
      <w:proofErr w:type="spellEnd"/>
      <w:r w:rsidRPr="001A5477">
        <w:rPr>
          <w:lang w:val="fr-FR"/>
        </w:rPr>
        <w:t xml:space="preserve"> de </w:t>
      </w:r>
      <w:r w:rsidRPr="001A5477">
        <w:rPr>
          <w:iCs/>
          <w:lang w:val="fr-FR"/>
        </w:rPr>
        <w:t xml:space="preserve">soupapes de </w:t>
      </w:r>
      <w:proofErr w:type="spellStart"/>
      <w:r w:rsidRPr="001A5477">
        <w:rPr>
          <w:iCs/>
          <w:lang w:val="fr-FR"/>
        </w:rPr>
        <w:t>sécurite</w:t>
      </w:r>
      <w:proofErr w:type="spellEnd"/>
      <w:r w:rsidRPr="001A5477">
        <w:rPr>
          <w:iCs/>
          <w:lang w:val="fr-FR"/>
        </w:rPr>
        <w:t xml:space="preserve">́ </w:t>
      </w:r>
      <w:proofErr w:type="spellStart"/>
      <w:r w:rsidRPr="001A5477">
        <w:rPr>
          <w:iCs/>
          <w:lang w:val="fr-FR"/>
        </w:rPr>
        <w:t>précédées</w:t>
      </w:r>
      <w:proofErr w:type="spellEnd"/>
      <w:r w:rsidRPr="001A5477">
        <w:rPr>
          <w:lang w:val="fr-FR"/>
        </w:rPr>
        <w:t xml:space="preserve"> d’un disque de rupture </w:t>
      </w:r>
      <w:proofErr w:type="spellStart"/>
      <w:r w:rsidRPr="001A5477">
        <w:rPr>
          <w:lang w:val="fr-FR"/>
        </w:rPr>
        <w:t>conformément</w:t>
      </w:r>
      <w:proofErr w:type="spellEnd"/>
      <w:r w:rsidRPr="001A5477">
        <w:rPr>
          <w:lang w:val="fr-FR"/>
        </w:rPr>
        <w:t xml:space="preserve"> au 6.8.2.2.10, et de </w:t>
      </w:r>
      <w:r w:rsidRPr="001A5477">
        <w:rPr>
          <w:iCs/>
          <w:lang w:val="fr-FR"/>
        </w:rPr>
        <w:t xml:space="preserve">soupapes de </w:t>
      </w:r>
      <w:proofErr w:type="spellStart"/>
      <w:r w:rsidRPr="001A5477">
        <w:rPr>
          <w:iCs/>
          <w:lang w:val="fr-FR"/>
        </w:rPr>
        <w:t>dépression</w:t>
      </w:r>
      <w:proofErr w:type="spellEnd"/>
      <w:r w:rsidRPr="001A5477">
        <w:rPr>
          <w:lang w:val="fr-FR"/>
        </w:rPr>
        <w:t xml:space="preserve"> &lt; (RID seulement:) ou de </w:t>
      </w:r>
      <w:r w:rsidRPr="001A5477">
        <w:rPr>
          <w:iCs/>
          <w:lang w:val="fr-FR"/>
        </w:rPr>
        <w:t>dispositifs de mise à l’atmosphère commandés par contrainte</w:t>
      </w:r>
      <w:r w:rsidRPr="001A5477">
        <w:rPr>
          <w:lang w:val="fr-FR"/>
        </w:rPr>
        <w:t xml:space="preserve"> &gt; </w:t>
      </w:r>
      <w:proofErr w:type="spellStart"/>
      <w:r w:rsidRPr="001A5477">
        <w:rPr>
          <w:lang w:val="fr-FR"/>
        </w:rPr>
        <w:t>conformément</w:t>
      </w:r>
      <w:proofErr w:type="spellEnd"/>
      <w:r w:rsidRPr="001A5477">
        <w:rPr>
          <w:lang w:val="fr-FR"/>
        </w:rPr>
        <w:t xml:space="preserve"> aux prescriptions du 6.8.2.2.3; </w:t>
      </w:r>
      <w:proofErr w:type="gramStart"/>
      <w:r w:rsidRPr="001A5477">
        <w:rPr>
          <w:lang w:val="fr-FR"/>
        </w:rPr>
        <w:t>ou</w:t>
      </w:r>
      <w:proofErr w:type="gramEnd"/>
    </w:p>
    <w:p w14:paraId="342209B1" w14:textId="2E6ACCD8" w:rsidR="0082186B" w:rsidRPr="001A5477" w:rsidRDefault="0082186B" w:rsidP="0082186B">
      <w:pPr>
        <w:pStyle w:val="SingleTxtG"/>
        <w:rPr>
          <w:bCs/>
        </w:rPr>
      </w:pPr>
      <w:r w:rsidRPr="001A5477">
        <w:rPr>
          <w:lang w:val="fr-FR"/>
        </w:rPr>
        <w:t>‒</w:t>
      </w:r>
      <w:r w:rsidRPr="001A5477">
        <w:rPr>
          <w:lang w:val="fr-FR"/>
        </w:rPr>
        <w:tab/>
      </w:r>
      <w:r w:rsidR="00CC349E">
        <w:rPr>
          <w:lang w:val="fr-FR"/>
        </w:rPr>
        <w:t xml:space="preserve">Elle </w:t>
      </w:r>
      <w:proofErr w:type="spellStart"/>
      <w:r w:rsidRPr="001A5477">
        <w:t>n’est</w:t>
      </w:r>
      <w:proofErr w:type="spellEnd"/>
      <w:r w:rsidRPr="001A5477">
        <w:t xml:space="preserve"> pas </w:t>
      </w:r>
      <w:proofErr w:type="spellStart"/>
      <w:r w:rsidRPr="001A5477">
        <w:t>équipée</w:t>
      </w:r>
      <w:proofErr w:type="spellEnd"/>
      <w:r w:rsidRPr="001A5477">
        <w:t xml:space="preserve"> de </w:t>
      </w:r>
      <w:proofErr w:type="spellStart"/>
      <w:r w:rsidRPr="001A5477">
        <w:rPr>
          <w:iCs/>
        </w:rPr>
        <w:t>soupapes</w:t>
      </w:r>
      <w:proofErr w:type="spellEnd"/>
      <w:r w:rsidRPr="001A5477">
        <w:rPr>
          <w:iCs/>
        </w:rPr>
        <w:t xml:space="preserve"> de </w:t>
      </w:r>
      <w:proofErr w:type="spellStart"/>
      <w:r w:rsidRPr="001A5477">
        <w:rPr>
          <w:iCs/>
        </w:rPr>
        <w:t>sécurite</w:t>
      </w:r>
      <w:proofErr w:type="spellEnd"/>
      <w:r w:rsidRPr="001A5477">
        <w:rPr>
          <w:iCs/>
        </w:rPr>
        <w:t>́</w:t>
      </w:r>
      <w:r w:rsidRPr="001A5477">
        <w:t xml:space="preserve">, de </w:t>
      </w:r>
      <w:proofErr w:type="spellStart"/>
      <w:r w:rsidRPr="001A5477">
        <w:t>disques</w:t>
      </w:r>
      <w:proofErr w:type="spellEnd"/>
      <w:r w:rsidRPr="001A5477">
        <w:t xml:space="preserve"> de rupture </w:t>
      </w:r>
      <w:proofErr w:type="spellStart"/>
      <w:r w:rsidRPr="001A5477">
        <w:t>ou</w:t>
      </w:r>
      <w:proofErr w:type="spellEnd"/>
      <w:r w:rsidRPr="001A5477">
        <w:t xml:space="preserve"> </w:t>
      </w:r>
      <w:proofErr w:type="spellStart"/>
      <w:r w:rsidRPr="001A5477">
        <w:t>d’autres</w:t>
      </w:r>
      <w:proofErr w:type="spellEnd"/>
      <w:r w:rsidRPr="001A5477">
        <w:t xml:space="preserve"> </w:t>
      </w:r>
      <w:proofErr w:type="spellStart"/>
      <w:r w:rsidRPr="001A5477">
        <w:t>dispositifs</w:t>
      </w:r>
      <w:proofErr w:type="spellEnd"/>
      <w:r w:rsidRPr="001A5477">
        <w:t xml:space="preserve"> </w:t>
      </w:r>
      <w:proofErr w:type="spellStart"/>
      <w:r w:rsidRPr="001A5477">
        <w:t>semblables</w:t>
      </w:r>
      <w:proofErr w:type="spellEnd"/>
      <w:r w:rsidRPr="001A5477">
        <w:t xml:space="preserve"> de </w:t>
      </w:r>
      <w:proofErr w:type="spellStart"/>
      <w:r w:rsidRPr="001A5477">
        <w:t>sécurite</w:t>
      </w:r>
      <w:proofErr w:type="spellEnd"/>
      <w:r w:rsidRPr="001A5477">
        <w:t xml:space="preserve">́, </w:t>
      </w:r>
      <w:proofErr w:type="spellStart"/>
      <w:r w:rsidRPr="001A5477">
        <w:t>mais</w:t>
      </w:r>
      <w:proofErr w:type="spellEnd"/>
      <w:r w:rsidRPr="001A5477">
        <w:t xml:space="preserve"> </w:t>
      </w:r>
      <w:proofErr w:type="spellStart"/>
      <w:r w:rsidRPr="001A5477">
        <w:t>est</w:t>
      </w:r>
      <w:proofErr w:type="spellEnd"/>
      <w:r w:rsidRPr="001A5477">
        <w:t xml:space="preserve"> </w:t>
      </w:r>
      <w:proofErr w:type="spellStart"/>
      <w:r w:rsidRPr="001A5477">
        <w:t>équipée</w:t>
      </w:r>
      <w:proofErr w:type="spellEnd"/>
      <w:r w:rsidRPr="001A5477">
        <w:t xml:space="preserve"> de </w:t>
      </w:r>
      <w:proofErr w:type="spellStart"/>
      <w:r w:rsidRPr="001A5477">
        <w:rPr>
          <w:iCs/>
        </w:rPr>
        <w:t>soupapes</w:t>
      </w:r>
      <w:proofErr w:type="spellEnd"/>
      <w:r w:rsidRPr="001A5477">
        <w:rPr>
          <w:iCs/>
        </w:rPr>
        <w:t xml:space="preserve"> de </w:t>
      </w:r>
      <w:proofErr w:type="spellStart"/>
      <w:r w:rsidRPr="001A5477">
        <w:rPr>
          <w:iCs/>
        </w:rPr>
        <w:t>dépression</w:t>
      </w:r>
      <w:proofErr w:type="spellEnd"/>
      <w:r w:rsidRPr="001A5477">
        <w:t xml:space="preserve"> </w:t>
      </w:r>
      <w:r w:rsidRPr="001A5477">
        <w:rPr>
          <w:lang w:val="fr-FR"/>
        </w:rPr>
        <w:t xml:space="preserve">&lt; (RID seulement:) ou de </w:t>
      </w:r>
      <w:r w:rsidRPr="001A5477">
        <w:rPr>
          <w:iCs/>
          <w:lang w:val="fr-FR"/>
        </w:rPr>
        <w:t xml:space="preserve">dispositifs de mise à l’atmosphère commandés par contrainte </w:t>
      </w:r>
      <w:r w:rsidRPr="001A5477">
        <w:rPr>
          <w:lang w:val="fr-FR"/>
        </w:rPr>
        <w:t xml:space="preserve">&gt; </w:t>
      </w:r>
      <w:proofErr w:type="spellStart"/>
      <w:r w:rsidRPr="001A5477">
        <w:t>conformément</w:t>
      </w:r>
      <w:proofErr w:type="spellEnd"/>
      <w:r w:rsidRPr="001A5477">
        <w:t xml:space="preserve"> aux prescriptions du 6.8.2.2.3</w:t>
      </w:r>
      <w:r w:rsidRPr="001A5477">
        <w:rPr>
          <w:bCs/>
        </w:rPr>
        <w:t>.».</w:t>
      </w:r>
    </w:p>
    <w:p w14:paraId="18DA9303" w14:textId="77777777" w:rsidR="0082186B" w:rsidRPr="008D7BD1" w:rsidRDefault="0082186B" w:rsidP="0082186B">
      <w:pPr>
        <w:pStyle w:val="SingleTxtG"/>
        <w:rPr>
          <w:lang w:val="fr-FR"/>
        </w:rPr>
      </w:pPr>
      <w:r w:rsidRPr="00E754BF">
        <w:rPr>
          <w:i/>
          <w:iCs/>
          <w:lang w:val="fr-FR"/>
        </w:rPr>
        <w:t>(</w:t>
      </w:r>
      <w:r w:rsidRPr="00E754BF">
        <w:rPr>
          <w:i/>
        </w:rPr>
        <w:t>Document</w:t>
      </w:r>
      <w:r>
        <w:rPr>
          <w:i/>
        </w:rPr>
        <w:t>s</w:t>
      </w:r>
      <w:r w:rsidRPr="00E754BF">
        <w:rPr>
          <w:i/>
        </w:rPr>
        <w:t xml:space="preserve"> </w:t>
      </w:r>
      <w:r w:rsidRPr="00E754BF">
        <w:rPr>
          <w:i/>
          <w:iCs/>
          <w:lang w:val="fr-FR"/>
        </w:rPr>
        <w:t xml:space="preserve">de référence: </w:t>
      </w:r>
      <w:r>
        <w:rPr>
          <w:i/>
          <w:iCs/>
          <w:lang w:val="fr-FR"/>
        </w:rPr>
        <w:t xml:space="preserve">ECE/TRANS/WP.15/AC.1/2017/17 et </w:t>
      </w:r>
      <w:r w:rsidRPr="00E754BF">
        <w:rPr>
          <w:i/>
          <w:iCs/>
          <w:lang w:val="fr-FR"/>
        </w:rPr>
        <w:t>document informel</w:t>
      </w:r>
      <w:r>
        <w:rPr>
          <w:i/>
          <w:iCs/>
          <w:lang w:val="fr-FR"/>
        </w:rPr>
        <w:t xml:space="preserve"> INF.34</w:t>
      </w:r>
      <w:r w:rsidRPr="00E754BF">
        <w:rPr>
          <w:i/>
          <w:iCs/>
          <w:lang w:val="fr-FR"/>
        </w:rPr>
        <w:t>)</w:t>
      </w:r>
    </w:p>
    <w:p w14:paraId="1446870D" w14:textId="77777777" w:rsidR="0082186B" w:rsidRPr="008D7BD1" w:rsidRDefault="0082186B" w:rsidP="0082186B">
      <w:pPr>
        <w:pStyle w:val="SingleTxtG"/>
      </w:pPr>
      <w:r>
        <w:t>1.2.1</w:t>
      </w:r>
      <w:r>
        <w:tab/>
      </w:r>
      <w:proofErr w:type="spellStart"/>
      <w:r w:rsidRPr="008D7BD1">
        <w:t>Insérer</w:t>
      </w:r>
      <w:proofErr w:type="spellEnd"/>
      <w:r w:rsidRPr="008D7BD1">
        <w:t xml:space="preserve"> la </w:t>
      </w:r>
      <w:r w:rsidRPr="008D7BD1">
        <w:rPr>
          <w:lang w:val="fr-FR"/>
        </w:rPr>
        <w:t>nouvelle</w:t>
      </w:r>
      <w:r w:rsidRPr="008D7BD1">
        <w:t xml:space="preserve"> </w:t>
      </w:r>
      <w:proofErr w:type="spellStart"/>
      <w:r w:rsidRPr="008D7BD1">
        <w:t>définition</w:t>
      </w:r>
      <w:proofErr w:type="spellEnd"/>
      <w:r w:rsidRPr="008D7BD1">
        <w:t xml:space="preserve"> </w:t>
      </w:r>
      <w:proofErr w:type="spellStart"/>
      <w:r w:rsidRPr="008D7BD1">
        <w:t>suivante</w:t>
      </w:r>
      <w:proofErr w:type="spellEnd"/>
      <w:r w:rsidRPr="008D7BD1">
        <w:t xml:space="preserve"> </w:t>
      </w:r>
      <w:proofErr w:type="spellStart"/>
      <w:r w:rsidRPr="008D7BD1">
        <w:t>dans</w:t>
      </w:r>
      <w:proofErr w:type="spellEnd"/>
      <w:r w:rsidRPr="008D7BD1">
        <w:t xml:space="preserve"> </w:t>
      </w:r>
      <w:proofErr w:type="spellStart"/>
      <w:r w:rsidRPr="008D7BD1">
        <w:t>l'ordre</w:t>
      </w:r>
      <w:proofErr w:type="spellEnd"/>
      <w:r w:rsidRPr="008D7BD1">
        <w:t xml:space="preserve"> </w:t>
      </w:r>
      <w:proofErr w:type="spellStart"/>
      <w:proofErr w:type="gramStart"/>
      <w:r w:rsidRPr="008D7BD1">
        <w:t>alphabétique</w:t>
      </w:r>
      <w:proofErr w:type="spellEnd"/>
      <w:r w:rsidRPr="008D7BD1">
        <w:t> :</w:t>
      </w:r>
      <w:proofErr w:type="gramEnd"/>
    </w:p>
    <w:p w14:paraId="70B7B099" w14:textId="73D6D4E1" w:rsidR="0082186B" w:rsidRPr="00E754BF" w:rsidRDefault="0082186B" w:rsidP="0082186B">
      <w:pPr>
        <w:pStyle w:val="SingleTxtG"/>
      </w:pPr>
      <w:proofErr w:type="gramStart"/>
      <w:r>
        <w:rPr>
          <w:lang w:val="fr-FR"/>
        </w:rPr>
        <w:t>«</w:t>
      </w:r>
      <w:r>
        <w:rPr>
          <w:bCs/>
          <w:i/>
          <w:iCs/>
          <w:lang w:val="fr-FR"/>
        </w:rPr>
        <w:t>D</w:t>
      </w:r>
      <w:r w:rsidRPr="00CB1EF9">
        <w:rPr>
          <w:bCs/>
          <w:i/>
          <w:iCs/>
          <w:lang w:val="fr-FR"/>
        </w:rPr>
        <w:t>iamètre</w:t>
      </w:r>
      <w:proofErr w:type="gramEnd"/>
      <w:r w:rsidRPr="00FD0E53">
        <w:rPr>
          <w:lang w:val="fr-FR"/>
        </w:rPr>
        <w:t xml:space="preserve"> (</w:t>
      </w:r>
      <w:r w:rsidR="00CC349E">
        <w:rPr>
          <w:lang w:val="fr-FR"/>
        </w:rPr>
        <w:t>pour les réservoirs de</w:t>
      </w:r>
      <w:r w:rsidRPr="001A5477">
        <w:rPr>
          <w:lang w:val="fr-FR"/>
        </w:rPr>
        <w:t xml:space="preserve"> citernes</w:t>
      </w:r>
      <w:r w:rsidRPr="00FD0E53">
        <w:rPr>
          <w:lang w:val="fr-FR"/>
        </w:rPr>
        <w:t>)</w:t>
      </w:r>
      <w:r w:rsidRPr="00D86D93">
        <w:rPr>
          <w:i/>
          <w:lang w:val="fr-FR"/>
        </w:rPr>
        <w:t>,</w:t>
      </w:r>
      <w:r>
        <w:rPr>
          <w:i/>
          <w:lang w:val="fr-FR"/>
        </w:rPr>
        <w:t xml:space="preserve"> </w:t>
      </w:r>
      <w:r w:rsidRPr="00F07349">
        <w:rPr>
          <w:lang w:val="fr-FR"/>
        </w:rPr>
        <w:t xml:space="preserve">le diamètre intérieur du </w:t>
      </w:r>
      <w:r w:rsidRPr="00CB1EF9">
        <w:rPr>
          <w:iCs/>
          <w:lang w:val="fr-FR"/>
        </w:rPr>
        <w:t>réservoir</w:t>
      </w:r>
      <w:r w:rsidRPr="00F07349">
        <w:rPr>
          <w:lang w:val="fr-FR"/>
        </w:rPr>
        <w:t>.</w:t>
      </w:r>
      <w:r>
        <w:rPr>
          <w:lang w:val="fr-FR"/>
        </w:rPr>
        <w:t>».</w:t>
      </w:r>
    </w:p>
    <w:p w14:paraId="51FEC43C" w14:textId="77777777" w:rsidR="0082186B" w:rsidRPr="002E222D" w:rsidRDefault="0082186B" w:rsidP="0082186B">
      <w:pPr>
        <w:pStyle w:val="SingleTxtG"/>
      </w:pPr>
      <w:r w:rsidRPr="00E754BF">
        <w:rPr>
          <w:i/>
          <w:iCs/>
          <w:lang w:val="fr-FR"/>
        </w:rPr>
        <w:t>(</w:t>
      </w:r>
      <w:r w:rsidRPr="00E754BF">
        <w:rPr>
          <w:i/>
        </w:rPr>
        <w:t>Document</w:t>
      </w:r>
      <w:r>
        <w:rPr>
          <w:i/>
        </w:rPr>
        <w:t>s</w:t>
      </w:r>
      <w:r w:rsidRPr="00E754BF">
        <w:rPr>
          <w:i/>
        </w:rPr>
        <w:t xml:space="preserve"> </w:t>
      </w:r>
      <w:r w:rsidRPr="00E754BF">
        <w:rPr>
          <w:i/>
          <w:iCs/>
          <w:lang w:val="fr-FR"/>
        </w:rPr>
        <w:t xml:space="preserve">de référence: </w:t>
      </w:r>
      <w:r>
        <w:rPr>
          <w:i/>
          <w:iCs/>
          <w:lang w:val="fr-FR"/>
        </w:rPr>
        <w:t xml:space="preserve">ECE/TRANS/WP.15/AC.1/2017/3 et </w:t>
      </w:r>
      <w:r w:rsidRPr="00E754BF">
        <w:rPr>
          <w:i/>
          <w:iCs/>
          <w:lang w:val="fr-FR"/>
        </w:rPr>
        <w:t>document informel</w:t>
      </w:r>
      <w:r>
        <w:rPr>
          <w:i/>
          <w:iCs/>
          <w:lang w:val="fr-FR"/>
        </w:rPr>
        <w:t xml:space="preserve"> INF.34</w:t>
      </w:r>
      <w:r w:rsidRPr="00E754BF">
        <w:rPr>
          <w:i/>
          <w:iCs/>
          <w:lang w:val="fr-FR"/>
        </w:rPr>
        <w:t>)</w:t>
      </w:r>
    </w:p>
    <w:p w14:paraId="35BB05F1" w14:textId="77777777" w:rsidR="0082186B" w:rsidRDefault="0082186B" w:rsidP="0082186B">
      <w:pPr>
        <w:pStyle w:val="H1G"/>
        <w:rPr>
          <w:lang w:val="fr-FR"/>
        </w:rPr>
      </w:pPr>
      <w:r>
        <w:rPr>
          <w:lang w:val="fr-FR"/>
        </w:rPr>
        <w:tab/>
      </w:r>
      <w:r>
        <w:rPr>
          <w:lang w:val="fr-FR"/>
        </w:rPr>
        <w:tab/>
      </w:r>
      <w:r w:rsidRPr="0047399D">
        <w:rPr>
          <w:lang w:val="fr-FR"/>
        </w:rPr>
        <w:t>Chapitre 1.6</w:t>
      </w:r>
    </w:p>
    <w:p w14:paraId="62DFC7B7" w14:textId="77777777" w:rsidR="0082186B" w:rsidRDefault="0082186B" w:rsidP="0082186B">
      <w:pPr>
        <w:pStyle w:val="SingleTxtG"/>
      </w:pPr>
      <w:r w:rsidRPr="00A8569A">
        <w:rPr>
          <w:bCs/>
        </w:rPr>
        <w:t>1.6.3</w:t>
      </w:r>
      <w:r w:rsidRPr="00A8569A">
        <w:rPr>
          <w:bCs/>
        </w:rPr>
        <w:tab/>
      </w:r>
      <w:r>
        <w:rPr>
          <w:b/>
        </w:rPr>
        <w:tab/>
      </w:r>
      <w:proofErr w:type="spellStart"/>
      <w:r w:rsidRPr="0074415A">
        <w:t>Ajouter</w:t>
      </w:r>
      <w:proofErr w:type="spellEnd"/>
      <w:r w:rsidRPr="0074415A">
        <w:t xml:space="preserve"> l</w:t>
      </w:r>
      <w:r>
        <w:t>es</w:t>
      </w:r>
      <w:r w:rsidRPr="0074415A">
        <w:t xml:space="preserve"> </w:t>
      </w:r>
      <w:proofErr w:type="spellStart"/>
      <w:r w:rsidRPr="0074415A">
        <w:t>nouvelle</w:t>
      </w:r>
      <w:r>
        <w:t>s</w:t>
      </w:r>
      <w:proofErr w:type="spellEnd"/>
      <w:r w:rsidRPr="0074415A">
        <w:t xml:space="preserve"> </w:t>
      </w:r>
      <w:proofErr w:type="spellStart"/>
      <w:r w:rsidRPr="0074415A">
        <w:t>mesure</w:t>
      </w:r>
      <w:r>
        <w:t>s</w:t>
      </w:r>
      <w:proofErr w:type="spellEnd"/>
      <w:r w:rsidRPr="0074415A">
        <w:t xml:space="preserve"> </w:t>
      </w:r>
      <w:proofErr w:type="spellStart"/>
      <w:r w:rsidRPr="0074415A">
        <w:t>transitoire</w:t>
      </w:r>
      <w:r>
        <w:t>s</w:t>
      </w:r>
      <w:proofErr w:type="spellEnd"/>
      <w:r w:rsidRPr="0074415A">
        <w:t xml:space="preserve"> </w:t>
      </w:r>
      <w:proofErr w:type="spellStart"/>
      <w:proofErr w:type="gramStart"/>
      <w:r w:rsidRPr="0074415A">
        <w:t>suivante</w:t>
      </w:r>
      <w:r>
        <w:t>s</w:t>
      </w:r>
      <w:proofErr w:type="spellEnd"/>
      <w:r w:rsidRPr="0074415A">
        <w:t> :</w:t>
      </w:r>
      <w:proofErr w:type="gramEnd"/>
    </w:p>
    <w:p w14:paraId="3DFD972A" w14:textId="77777777" w:rsidR="0082186B" w:rsidRDefault="0082186B" w:rsidP="0082186B">
      <w:pPr>
        <w:pStyle w:val="SingleTxtG"/>
      </w:pPr>
      <w:r w:rsidRPr="00FF7AA3">
        <w:t>«</w:t>
      </w:r>
      <w:r w:rsidRPr="00A8569A">
        <w:rPr>
          <w:bCs/>
        </w:rPr>
        <w:t>1.6.3.49</w:t>
      </w:r>
      <w:r w:rsidRPr="00FF7AA3">
        <w:rPr>
          <w:b/>
        </w:rPr>
        <w:tab/>
      </w:r>
      <w:r>
        <w:t>Les</w:t>
      </w:r>
      <w:r w:rsidRPr="00FF7AA3">
        <w:t xml:space="preserve"> wagons-</w:t>
      </w:r>
      <w:proofErr w:type="spellStart"/>
      <w:r w:rsidRPr="00FF7AA3">
        <w:t>citernes</w:t>
      </w:r>
      <w:proofErr w:type="spellEnd"/>
      <w:r>
        <w:t xml:space="preserve">/ </w:t>
      </w:r>
      <w:r w:rsidRPr="00FF7AA3">
        <w:t xml:space="preserve">Les </w:t>
      </w:r>
      <w:proofErr w:type="spellStart"/>
      <w:r w:rsidRPr="00FF7AA3">
        <w:t>citernes</w:t>
      </w:r>
      <w:proofErr w:type="spellEnd"/>
      <w:r w:rsidRPr="00FF7AA3">
        <w:t xml:space="preserve"> fixes (</w:t>
      </w:r>
      <w:proofErr w:type="spellStart"/>
      <w:r w:rsidRPr="00FF7AA3">
        <w:t>véhicules-citernes</w:t>
      </w:r>
      <w:proofErr w:type="spellEnd"/>
      <w:r w:rsidRPr="00FF7AA3">
        <w:t xml:space="preserve">) et </w:t>
      </w:r>
      <w:proofErr w:type="spellStart"/>
      <w:r w:rsidRPr="00FF7AA3">
        <w:t>citernes</w:t>
      </w:r>
      <w:proofErr w:type="spellEnd"/>
      <w:r>
        <w:t xml:space="preserve"> </w:t>
      </w:r>
      <w:proofErr w:type="spellStart"/>
      <w:r w:rsidRPr="00FF7AA3">
        <w:t>démontables</w:t>
      </w:r>
      <w:proofErr w:type="spellEnd"/>
      <w:r>
        <w:t xml:space="preserve"> </w:t>
      </w:r>
      <w:proofErr w:type="spellStart"/>
      <w:proofErr w:type="gramStart"/>
      <w:r>
        <w:t>construit</w:t>
      </w:r>
      <w:proofErr w:type="spellEnd"/>
      <w:r>
        <w:t>(</w:t>
      </w:r>
      <w:proofErr w:type="gramEnd"/>
      <w:r>
        <w:t xml:space="preserve">e)s </w:t>
      </w:r>
      <w:proofErr w:type="spellStart"/>
      <w:r w:rsidRPr="00FF7AA3">
        <w:t>avant</w:t>
      </w:r>
      <w:proofErr w:type="spellEnd"/>
      <w:r w:rsidRPr="00FF7AA3">
        <w:t xml:space="preserve"> le 1</w:t>
      </w:r>
      <w:r w:rsidRPr="00FF7AA3">
        <w:rPr>
          <w:vertAlign w:val="superscript"/>
        </w:rPr>
        <w:t>er</w:t>
      </w:r>
      <w:r w:rsidRPr="00FF7AA3">
        <w:t> </w:t>
      </w:r>
      <w:proofErr w:type="spellStart"/>
      <w:r w:rsidRPr="00FF7AA3">
        <w:t>janvier</w:t>
      </w:r>
      <w:proofErr w:type="spellEnd"/>
      <w:r w:rsidRPr="00FF7AA3">
        <w:t xml:space="preserve"> 2019 </w:t>
      </w:r>
      <w:proofErr w:type="spellStart"/>
      <w:r w:rsidRPr="00FF7AA3">
        <w:t>conformément</w:t>
      </w:r>
      <w:proofErr w:type="spellEnd"/>
      <w:r w:rsidRPr="00FF7AA3">
        <w:t xml:space="preserve"> aux prescriptions </w:t>
      </w:r>
      <w:proofErr w:type="spellStart"/>
      <w:r>
        <w:t>applicables</w:t>
      </w:r>
      <w:proofErr w:type="spellEnd"/>
      <w:r w:rsidRPr="00FF7AA3">
        <w:t xml:space="preserve"> </w:t>
      </w:r>
      <w:proofErr w:type="spellStart"/>
      <w:r w:rsidRPr="00FF7AA3">
        <w:t>jusqu’au</w:t>
      </w:r>
      <w:proofErr w:type="spellEnd"/>
      <w:r w:rsidRPr="00FF7AA3">
        <w:t xml:space="preserve"> 31 </w:t>
      </w:r>
      <w:proofErr w:type="spellStart"/>
      <w:r w:rsidRPr="00FF7AA3">
        <w:t>décembre</w:t>
      </w:r>
      <w:proofErr w:type="spellEnd"/>
      <w:r w:rsidRPr="00FF7AA3">
        <w:t xml:space="preserve"> 2018</w:t>
      </w:r>
      <w:r>
        <w:t>,</w:t>
      </w:r>
      <w:r w:rsidRPr="00FF7AA3">
        <w:t xml:space="preserve"> </w:t>
      </w:r>
      <w:proofErr w:type="spellStart"/>
      <w:r w:rsidRPr="00FF7AA3">
        <w:t>mais</w:t>
      </w:r>
      <w:proofErr w:type="spellEnd"/>
      <w:r w:rsidRPr="00FF7AA3">
        <w:t xml:space="preserve"> qui ne </w:t>
      </w:r>
      <w:proofErr w:type="spellStart"/>
      <w:r w:rsidRPr="00FF7AA3">
        <w:t>sont</w:t>
      </w:r>
      <w:proofErr w:type="spellEnd"/>
      <w:r w:rsidRPr="00FF7AA3">
        <w:t xml:space="preserve"> pas </w:t>
      </w:r>
      <w:proofErr w:type="spellStart"/>
      <w:r w:rsidRPr="00FF7AA3">
        <w:t>conformes</w:t>
      </w:r>
      <w:proofErr w:type="spellEnd"/>
      <w:r w:rsidRPr="00FF7AA3">
        <w:t xml:space="preserve"> aux prescriptions du 6.8.2.2.10 </w:t>
      </w:r>
      <w:r>
        <w:t>relatives à</w:t>
      </w:r>
      <w:r w:rsidRPr="00FF7AA3">
        <w:t xml:space="preserve"> la </w:t>
      </w:r>
      <w:proofErr w:type="spellStart"/>
      <w:r w:rsidRPr="00FF7AA3">
        <w:t>pression</w:t>
      </w:r>
      <w:proofErr w:type="spellEnd"/>
      <w:r w:rsidRPr="00FF7AA3">
        <w:t xml:space="preserve"> </w:t>
      </w:r>
      <w:proofErr w:type="spellStart"/>
      <w:r w:rsidRPr="00FF7AA3">
        <w:t>nominale</w:t>
      </w:r>
      <w:proofErr w:type="spellEnd"/>
      <w:r w:rsidRPr="00FF7AA3">
        <w:t xml:space="preserve"> du </w:t>
      </w:r>
      <w:proofErr w:type="spellStart"/>
      <w:r w:rsidRPr="00FF7AA3">
        <w:t>disque</w:t>
      </w:r>
      <w:proofErr w:type="spellEnd"/>
      <w:r w:rsidRPr="00FF7AA3">
        <w:t xml:space="preserve"> de rupture </w:t>
      </w:r>
      <w:proofErr w:type="spellStart"/>
      <w:r>
        <w:t>applicables</w:t>
      </w:r>
      <w:proofErr w:type="spellEnd"/>
      <w:r>
        <w:t xml:space="preserve"> à </w:t>
      </w:r>
      <w:proofErr w:type="spellStart"/>
      <w:r>
        <w:t>partir</w:t>
      </w:r>
      <w:proofErr w:type="spellEnd"/>
      <w:r>
        <w:t xml:space="preserve"> du 1</w:t>
      </w:r>
      <w:r w:rsidRPr="00C2682D">
        <w:rPr>
          <w:vertAlign w:val="superscript"/>
        </w:rPr>
        <w:t>er</w:t>
      </w:r>
      <w:r>
        <w:t xml:space="preserve"> </w:t>
      </w:r>
      <w:proofErr w:type="spellStart"/>
      <w:r>
        <w:t>janvier</w:t>
      </w:r>
      <w:proofErr w:type="spellEnd"/>
      <w:r>
        <w:t xml:space="preserve"> 2019 </w:t>
      </w:r>
      <w:proofErr w:type="spellStart"/>
      <w:r w:rsidRPr="00FF7AA3">
        <w:t>p</w:t>
      </w:r>
      <w:r>
        <w:t>ourront</w:t>
      </w:r>
      <w:proofErr w:type="spellEnd"/>
      <w:r>
        <w:t xml:space="preserve"> encore</w:t>
      </w:r>
      <w:r w:rsidRPr="00FF7AA3">
        <w:t xml:space="preserve"> </w:t>
      </w:r>
      <w:proofErr w:type="spellStart"/>
      <w:r w:rsidRPr="00FF7AA3">
        <w:t>être</w:t>
      </w:r>
      <w:proofErr w:type="spellEnd"/>
      <w:r>
        <w:t xml:space="preserve"> </w:t>
      </w:r>
      <w:proofErr w:type="spellStart"/>
      <w:r w:rsidRPr="00FF7AA3">
        <w:t>utilisé</w:t>
      </w:r>
      <w:proofErr w:type="spellEnd"/>
      <w:r>
        <w:t>(e)</w:t>
      </w:r>
      <w:r w:rsidRPr="00FF7AA3">
        <w:t xml:space="preserve">s </w:t>
      </w:r>
      <w:r>
        <w:t>[</w:t>
      </w:r>
      <w:proofErr w:type="spellStart"/>
      <w:r w:rsidRPr="00FF7AA3">
        <w:t>jusqu’au</w:t>
      </w:r>
      <w:proofErr w:type="spellEnd"/>
      <w:r w:rsidRPr="00FF7AA3">
        <w:t xml:space="preserve"> prochain </w:t>
      </w:r>
      <w:proofErr w:type="spellStart"/>
      <w:r w:rsidRPr="00FF7AA3">
        <w:t>contrôle</w:t>
      </w:r>
      <w:proofErr w:type="spellEnd"/>
      <w:r w:rsidRPr="00FF7AA3">
        <w:t xml:space="preserve"> </w:t>
      </w:r>
      <w:proofErr w:type="spellStart"/>
      <w:r w:rsidRPr="00FF7AA3">
        <w:t>périodique</w:t>
      </w:r>
      <w:proofErr w:type="spellEnd"/>
      <w:r>
        <w:t>]</w:t>
      </w:r>
      <w:r w:rsidRPr="00FF7AA3">
        <w:t>.».</w:t>
      </w:r>
    </w:p>
    <w:p w14:paraId="449CFE60" w14:textId="77777777" w:rsidR="0082186B" w:rsidRPr="00FF7AA3" w:rsidRDefault="0082186B" w:rsidP="0082186B">
      <w:pPr>
        <w:pStyle w:val="SingleTxtG"/>
      </w:pPr>
      <w:r w:rsidRPr="00E754BF">
        <w:rPr>
          <w:i/>
          <w:iCs/>
          <w:lang w:val="fr-FR"/>
        </w:rPr>
        <w:t>(</w:t>
      </w:r>
      <w:r w:rsidRPr="00E754BF">
        <w:rPr>
          <w:i/>
        </w:rPr>
        <w:t>Document</w:t>
      </w:r>
      <w:r>
        <w:rPr>
          <w:i/>
        </w:rPr>
        <w:t>s</w:t>
      </w:r>
      <w:r w:rsidRPr="00E754BF">
        <w:rPr>
          <w:i/>
        </w:rPr>
        <w:t xml:space="preserve"> </w:t>
      </w:r>
      <w:r w:rsidRPr="00E754BF">
        <w:rPr>
          <w:i/>
          <w:iCs/>
          <w:lang w:val="fr-FR"/>
        </w:rPr>
        <w:t xml:space="preserve">de référence : </w:t>
      </w:r>
      <w:r>
        <w:rPr>
          <w:i/>
          <w:iCs/>
          <w:lang w:val="fr-FR"/>
        </w:rPr>
        <w:t xml:space="preserve">ECE/TRANS/WP.15/AC.1/2017/17 et </w:t>
      </w:r>
      <w:r w:rsidRPr="00E754BF">
        <w:rPr>
          <w:i/>
          <w:iCs/>
          <w:lang w:val="fr-FR"/>
        </w:rPr>
        <w:t>document informel</w:t>
      </w:r>
      <w:r>
        <w:rPr>
          <w:i/>
          <w:iCs/>
          <w:lang w:val="fr-FR"/>
        </w:rPr>
        <w:t xml:space="preserve"> INF.34</w:t>
      </w:r>
      <w:r w:rsidRPr="00E754BF">
        <w:rPr>
          <w:i/>
          <w:iCs/>
          <w:lang w:val="fr-FR"/>
        </w:rPr>
        <w:t>)</w:t>
      </w:r>
    </w:p>
    <w:p w14:paraId="55D773BA" w14:textId="77777777" w:rsidR="0082186B" w:rsidRPr="006B724C" w:rsidRDefault="0082186B" w:rsidP="0082186B">
      <w:pPr>
        <w:pStyle w:val="SingleTxtG"/>
      </w:pPr>
      <w:r w:rsidRPr="00D16CBE">
        <w:t>«</w:t>
      </w:r>
      <w:r w:rsidRPr="00A8569A">
        <w:rPr>
          <w:bCs/>
        </w:rPr>
        <w:t>1.6.3.50</w:t>
      </w:r>
      <w:r>
        <w:rPr>
          <w:b/>
        </w:rPr>
        <w:tab/>
      </w:r>
      <w:r>
        <w:t>Les</w:t>
      </w:r>
      <w:r w:rsidRPr="00FF7AA3">
        <w:t xml:space="preserve"> wagons-</w:t>
      </w:r>
      <w:proofErr w:type="spellStart"/>
      <w:r w:rsidRPr="00FF7AA3">
        <w:t>citernes</w:t>
      </w:r>
      <w:proofErr w:type="spellEnd"/>
      <w:r>
        <w:t>/</w:t>
      </w:r>
      <w:r>
        <w:rPr>
          <w:b/>
        </w:rPr>
        <w:t xml:space="preserve"> </w:t>
      </w:r>
      <w:r w:rsidRPr="00FF7AA3">
        <w:t xml:space="preserve">Les </w:t>
      </w:r>
      <w:proofErr w:type="spellStart"/>
      <w:r w:rsidRPr="00FF7AA3">
        <w:t>citernes</w:t>
      </w:r>
      <w:proofErr w:type="spellEnd"/>
      <w:r w:rsidRPr="00FF7AA3">
        <w:t xml:space="preserve"> fixes (</w:t>
      </w:r>
      <w:proofErr w:type="spellStart"/>
      <w:r w:rsidRPr="00FF7AA3">
        <w:t>véhicules-citernes</w:t>
      </w:r>
      <w:proofErr w:type="spellEnd"/>
      <w:r w:rsidRPr="00FF7AA3">
        <w:t xml:space="preserve">) et </w:t>
      </w:r>
      <w:proofErr w:type="spellStart"/>
      <w:r w:rsidRPr="00FF7AA3">
        <w:t>citernes</w:t>
      </w:r>
      <w:proofErr w:type="spellEnd"/>
      <w:r>
        <w:t xml:space="preserve"> </w:t>
      </w:r>
      <w:proofErr w:type="spellStart"/>
      <w:r w:rsidRPr="00FF7AA3">
        <w:t>démontables</w:t>
      </w:r>
      <w:proofErr w:type="spellEnd"/>
      <w:r>
        <w:t xml:space="preserve"> </w:t>
      </w:r>
      <w:proofErr w:type="spellStart"/>
      <w:proofErr w:type="gramStart"/>
      <w:r>
        <w:t>construit</w:t>
      </w:r>
      <w:proofErr w:type="spellEnd"/>
      <w:r>
        <w:t>(</w:t>
      </w:r>
      <w:proofErr w:type="gramEnd"/>
      <w:r>
        <w:t xml:space="preserve">e)s </w:t>
      </w:r>
      <w:proofErr w:type="spellStart"/>
      <w:r w:rsidRPr="00D16CBE">
        <w:t>avant</w:t>
      </w:r>
      <w:proofErr w:type="spellEnd"/>
      <w:r w:rsidRPr="00D16CBE">
        <w:t xml:space="preserve"> le 1</w:t>
      </w:r>
      <w:r w:rsidRPr="00D16CBE">
        <w:rPr>
          <w:vertAlign w:val="superscript"/>
        </w:rPr>
        <w:t>er</w:t>
      </w:r>
      <w:r>
        <w:t> </w:t>
      </w:r>
      <w:proofErr w:type="spellStart"/>
      <w:r w:rsidRPr="00D16CBE">
        <w:t>juillet</w:t>
      </w:r>
      <w:proofErr w:type="spellEnd"/>
      <w:r w:rsidRPr="00D16CBE">
        <w:t xml:space="preserve"> 2019 </w:t>
      </w:r>
      <w:proofErr w:type="spellStart"/>
      <w:r w:rsidRPr="00D16CBE">
        <w:t>conformément</w:t>
      </w:r>
      <w:proofErr w:type="spellEnd"/>
      <w:r w:rsidRPr="00D16CBE">
        <w:t xml:space="preserve"> aux prescriptions </w:t>
      </w:r>
      <w:r>
        <w:t xml:space="preserve">du 6.8.2.2.3 </w:t>
      </w:r>
      <w:proofErr w:type="spellStart"/>
      <w:r>
        <w:t>applicables</w:t>
      </w:r>
      <w:proofErr w:type="spellEnd"/>
      <w:r>
        <w:t xml:space="preserve"> </w:t>
      </w:r>
      <w:proofErr w:type="spellStart"/>
      <w:r w:rsidRPr="00D16CBE">
        <w:t>jusqu’au</w:t>
      </w:r>
      <w:proofErr w:type="spellEnd"/>
      <w:r w:rsidRPr="00D16CBE">
        <w:t xml:space="preserve"> 31 </w:t>
      </w:r>
      <w:proofErr w:type="spellStart"/>
      <w:r w:rsidRPr="00D16CBE">
        <w:t>décembre</w:t>
      </w:r>
      <w:proofErr w:type="spellEnd"/>
      <w:r w:rsidRPr="00D16CBE">
        <w:t xml:space="preserve"> 2018</w:t>
      </w:r>
      <w:r>
        <w:t>,</w:t>
      </w:r>
      <w:r w:rsidRPr="00D16CBE">
        <w:t xml:space="preserve"> </w:t>
      </w:r>
      <w:proofErr w:type="spellStart"/>
      <w:r w:rsidRPr="00D16CBE">
        <w:t>mais</w:t>
      </w:r>
      <w:proofErr w:type="spellEnd"/>
      <w:r w:rsidRPr="00D16CBE">
        <w:t xml:space="preserve"> qui ne </w:t>
      </w:r>
      <w:proofErr w:type="spellStart"/>
      <w:r w:rsidRPr="00D16CBE">
        <w:t>sont</w:t>
      </w:r>
      <w:proofErr w:type="spellEnd"/>
      <w:r w:rsidRPr="00D16CBE">
        <w:t xml:space="preserve"> pas </w:t>
      </w:r>
      <w:proofErr w:type="spellStart"/>
      <w:r w:rsidRPr="00D16CBE">
        <w:t>conformes</w:t>
      </w:r>
      <w:proofErr w:type="spellEnd"/>
      <w:r w:rsidRPr="00D16CBE">
        <w:t xml:space="preserve"> aux </w:t>
      </w:r>
      <w:r w:rsidRPr="00D16CBE">
        <w:lastRenderedPageBreak/>
        <w:t xml:space="preserve">prescriptions </w:t>
      </w:r>
      <w:r>
        <w:t xml:space="preserve">du </w:t>
      </w:r>
      <w:proofErr w:type="spellStart"/>
      <w:r>
        <w:t>dernier</w:t>
      </w:r>
      <w:proofErr w:type="spellEnd"/>
      <w:r>
        <w:t xml:space="preserve"> </w:t>
      </w:r>
      <w:proofErr w:type="spellStart"/>
      <w:r w:rsidRPr="008F6E4F">
        <w:t>paragraphe</w:t>
      </w:r>
      <w:proofErr w:type="spellEnd"/>
      <w:r>
        <w:t xml:space="preserve"> du 6.8.2.2.3 </w:t>
      </w:r>
      <w:r w:rsidRPr="00D16CBE">
        <w:t>relati</w:t>
      </w:r>
      <w:r w:rsidRPr="006B724C">
        <w:t xml:space="preserve">ves aux </w:t>
      </w:r>
      <w:proofErr w:type="spellStart"/>
      <w:r w:rsidRPr="006B724C">
        <w:t>arrête-flammes</w:t>
      </w:r>
      <w:proofErr w:type="spellEnd"/>
      <w:r w:rsidRPr="006B724C">
        <w:t xml:space="preserve"> pour les </w:t>
      </w:r>
      <w:proofErr w:type="spellStart"/>
      <w:r w:rsidRPr="006B724C">
        <w:t>dispositifs</w:t>
      </w:r>
      <w:proofErr w:type="spellEnd"/>
      <w:r w:rsidRPr="006B724C">
        <w:t xml:space="preserve"> de respiration </w:t>
      </w:r>
      <w:proofErr w:type="spellStart"/>
      <w:r w:rsidRPr="006B724C">
        <w:t>applicables</w:t>
      </w:r>
      <w:proofErr w:type="spellEnd"/>
      <w:r w:rsidRPr="006B724C">
        <w:t xml:space="preserve"> à </w:t>
      </w:r>
      <w:proofErr w:type="spellStart"/>
      <w:r w:rsidRPr="006B724C">
        <w:t>partir</w:t>
      </w:r>
      <w:proofErr w:type="spellEnd"/>
      <w:r w:rsidRPr="006B724C">
        <w:t xml:space="preserve"> du 1</w:t>
      </w:r>
      <w:r w:rsidRPr="006B724C">
        <w:rPr>
          <w:vertAlign w:val="superscript"/>
        </w:rPr>
        <w:t>er</w:t>
      </w:r>
      <w:r w:rsidRPr="006B724C">
        <w:t> </w:t>
      </w:r>
      <w:proofErr w:type="spellStart"/>
      <w:r w:rsidRPr="006B724C">
        <w:t>janvier</w:t>
      </w:r>
      <w:proofErr w:type="spellEnd"/>
      <w:r w:rsidRPr="006B724C">
        <w:t xml:space="preserve"> 2019 </w:t>
      </w:r>
      <w:proofErr w:type="spellStart"/>
      <w:r w:rsidRPr="006B724C">
        <w:t>pourront</w:t>
      </w:r>
      <w:proofErr w:type="spellEnd"/>
      <w:r w:rsidRPr="006B724C">
        <w:t xml:space="preserve"> encore </w:t>
      </w:r>
      <w:proofErr w:type="spellStart"/>
      <w:r w:rsidRPr="006B724C">
        <w:t>être</w:t>
      </w:r>
      <w:proofErr w:type="spellEnd"/>
      <w:r w:rsidRPr="006B724C">
        <w:t xml:space="preserve"> </w:t>
      </w:r>
      <w:proofErr w:type="spellStart"/>
      <w:r w:rsidRPr="006B724C">
        <w:t>utilisé</w:t>
      </w:r>
      <w:proofErr w:type="spellEnd"/>
      <w:r>
        <w:t>(e)</w:t>
      </w:r>
      <w:r w:rsidRPr="006B724C">
        <w:t>s.».</w:t>
      </w:r>
    </w:p>
    <w:p w14:paraId="457F9204" w14:textId="77777777" w:rsidR="0082186B" w:rsidRPr="006B724C" w:rsidRDefault="0082186B" w:rsidP="0082186B">
      <w:pPr>
        <w:pStyle w:val="SingleTxtG"/>
        <w:rPr>
          <w:b/>
        </w:rPr>
      </w:pPr>
      <w:r w:rsidRPr="006B724C">
        <w:rPr>
          <w:i/>
          <w:iCs/>
          <w:lang w:val="fr-FR"/>
        </w:rPr>
        <w:t>(</w:t>
      </w:r>
      <w:r w:rsidRPr="006B724C">
        <w:rPr>
          <w:i/>
        </w:rPr>
        <w:t xml:space="preserve">Documents </w:t>
      </w:r>
      <w:r w:rsidRPr="006B724C">
        <w:rPr>
          <w:i/>
          <w:iCs/>
          <w:lang w:val="fr-FR"/>
        </w:rPr>
        <w:t>de référence : ECE/TRANS/WP.15/AC.1/2017/18 et document informel INF.34)</w:t>
      </w:r>
    </w:p>
    <w:p w14:paraId="4A118F6D" w14:textId="77777777" w:rsidR="0082186B" w:rsidRDefault="0082186B" w:rsidP="0082186B">
      <w:pPr>
        <w:pStyle w:val="SingleTxtG"/>
      </w:pPr>
      <w:r w:rsidRPr="006B724C">
        <w:t>«</w:t>
      </w:r>
      <w:r w:rsidRPr="00A8569A">
        <w:rPr>
          <w:bCs/>
        </w:rPr>
        <w:t>1.6.3.51</w:t>
      </w:r>
      <w:r w:rsidRPr="006B724C">
        <w:rPr>
          <w:b/>
        </w:rPr>
        <w:tab/>
      </w:r>
      <w:r w:rsidRPr="006B724C">
        <w:t>Les wagons-</w:t>
      </w:r>
      <w:proofErr w:type="spellStart"/>
      <w:r w:rsidRPr="006B724C">
        <w:t>citernes</w:t>
      </w:r>
      <w:proofErr w:type="spellEnd"/>
      <w:r>
        <w:t>/</w:t>
      </w:r>
      <w:r w:rsidRPr="006B724C">
        <w:rPr>
          <w:b/>
        </w:rPr>
        <w:t xml:space="preserve"> </w:t>
      </w:r>
      <w:r w:rsidRPr="006B724C">
        <w:t xml:space="preserve">Les </w:t>
      </w:r>
      <w:proofErr w:type="spellStart"/>
      <w:r w:rsidRPr="006B724C">
        <w:t>citernes</w:t>
      </w:r>
      <w:proofErr w:type="spellEnd"/>
      <w:r w:rsidRPr="006B724C">
        <w:t xml:space="preserve"> fixes (</w:t>
      </w:r>
      <w:proofErr w:type="spellStart"/>
      <w:r w:rsidRPr="006B724C">
        <w:t>véhicules-citernes</w:t>
      </w:r>
      <w:proofErr w:type="spellEnd"/>
      <w:r w:rsidRPr="006B724C">
        <w:t xml:space="preserve">) et </w:t>
      </w:r>
      <w:proofErr w:type="spellStart"/>
      <w:r w:rsidRPr="006B724C">
        <w:t>citernes</w:t>
      </w:r>
      <w:proofErr w:type="spellEnd"/>
      <w:r w:rsidRPr="006B724C">
        <w:t xml:space="preserve"> </w:t>
      </w:r>
      <w:proofErr w:type="spellStart"/>
      <w:r w:rsidRPr="006B724C">
        <w:t>démontables</w:t>
      </w:r>
      <w:proofErr w:type="spellEnd"/>
      <w:r w:rsidRPr="006B724C">
        <w:t xml:space="preserve"> </w:t>
      </w:r>
      <w:proofErr w:type="spellStart"/>
      <w:proofErr w:type="gramStart"/>
      <w:r w:rsidRPr="006B724C">
        <w:t>construit</w:t>
      </w:r>
      <w:proofErr w:type="spellEnd"/>
      <w:r>
        <w:t>(</w:t>
      </w:r>
      <w:proofErr w:type="gramEnd"/>
      <w:r w:rsidRPr="006B724C">
        <w:t>e</w:t>
      </w:r>
      <w:r>
        <w:t>)</w:t>
      </w:r>
      <w:r w:rsidRPr="006B724C">
        <w:t xml:space="preserve">s </w:t>
      </w:r>
      <w:proofErr w:type="spellStart"/>
      <w:r w:rsidRPr="006B724C">
        <w:t>avant</w:t>
      </w:r>
      <w:proofErr w:type="spellEnd"/>
      <w:r w:rsidRPr="006B724C">
        <w:t xml:space="preserve"> le 1</w:t>
      </w:r>
      <w:r w:rsidRPr="006B724C">
        <w:rPr>
          <w:vertAlign w:val="superscript"/>
        </w:rPr>
        <w:t>er</w:t>
      </w:r>
      <w:r w:rsidRPr="006B724C">
        <w:t> </w:t>
      </w:r>
      <w:proofErr w:type="spellStart"/>
      <w:r w:rsidRPr="006B724C">
        <w:t>juillet</w:t>
      </w:r>
      <w:proofErr w:type="spellEnd"/>
      <w:r w:rsidRPr="006B724C">
        <w:t xml:space="preserve"> 2019 </w:t>
      </w:r>
      <w:proofErr w:type="spellStart"/>
      <w:r w:rsidRPr="006B724C">
        <w:t>conformément</w:t>
      </w:r>
      <w:proofErr w:type="spellEnd"/>
      <w:r w:rsidRPr="006B724C">
        <w:t xml:space="preserve"> aux prescriptions </w:t>
      </w:r>
      <w:proofErr w:type="spellStart"/>
      <w:r w:rsidRPr="006B724C">
        <w:t>applicables</w:t>
      </w:r>
      <w:proofErr w:type="spellEnd"/>
      <w:r w:rsidRPr="006B724C">
        <w:t xml:space="preserve"> </w:t>
      </w:r>
      <w:proofErr w:type="spellStart"/>
      <w:r w:rsidRPr="006B724C">
        <w:t>jusqu’au</w:t>
      </w:r>
      <w:proofErr w:type="spellEnd"/>
      <w:r w:rsidRPr="006B724C">
        <w:t xml:space="preserve"> 31 </w:t>
      </w:r>
      <w:proofErr w:type="spellStart"/>
      <w:r w:rsidRPr="006B724C">
        <w:t>décembre</w:t>
      </w:r>
      <w:proofErr w:type="spellEnd"/>
      <w:r w:rsidRPr="006B724C">
        <w:t xml:space="preserve"> 2018, </w:t>
      </w:r>
      <w:proofErr w:type="spellStart"/>
      <w:r w:rsidRPr="006B724C">
        <w:t>mais</w:t>
      </w:r>
      <w:proofErr w:type="spellEnd"/>
      <w:r w:rsidRPr="006B724C">
        <w:t xml:space="preserve"> qui ne </w:t>
      </w:r>
      <w:proofErr w:type="spellStart"/>
      <w:r w:rsidRPr="006B724C">
        <w:t>sont</w:t>
      </w:r>
      <w:proofErr w:type="spellEnd"/>
      <w:r w:rsidRPr="006B724C">
        <w:t xml:space="preserve"> pas </w:t>
      </w:r>
      <w:proofErr w:type="spellStart"/>
      <w:r w:rsidRPr="006B724C">
        <w:t>conformes</w:t>
      </w:r>
      <w:proofErr w:type="spellEnd"/>
      <w:r w:rsidRPr="006B724C">
        <w:t xml:space="preserve"> aux prescriptions du 6.8.2.1.23 </w:t>
      </w:r>
      <w:proofErr w:type="spellStart"/>
      <w:r w:rsidRPr="006B724C">
        <w:t>en</w:t>
      </w:r>
      <w:proofErr w:type="spellEnd"/>
      <w:r w:rsidRPr="006B724C">
        <w:t xml:space="preserve"> </w:t>
      </w:r>
      <w:proofErr w:type="spellStart"/>
      <w:r w:rsidRPr="006B724C">
        <w:t>ce</w:t>
      </w:r>
      <w:proofErr w:type="spellEnd"/>
      <w:r w:rsidRPr="006B724C">
        <w:t xml:space="preserve"> qui </w:t>
      </w:r>
      <w:proofErr w:type="spellStart"/>
      <w:r w:rsidRPr="006B724C">
        <w:t>concerne</w:t>
      </w:r>
      <w:proofErr w:type="spellEnd"/>
      <w:r w:rsidRPr="006B724C">
        <w:t xml:space="preserve"> le </w:t>
      </w:r>
      <w:proofErr w:type="spellStart"/>
      <w:r w:rsidRPr="006B724C">
        <w:t>contrôle</w:t>
      </w:r>
      <w:proofErr w:type="spellEnd"/>
      <w:r w:rsidRPr="006B724C">
        <w:t xml:space="preserve"> des </w:t>
      </w:r>
      <w:proofErr w:type="spellStart"/>
      <w:r w:rsidRPr="006B724C">
        <w:t>soudures</w:t>
      </w:r>
      <w:proofErr w:type="spellEnd"/>
      <w:r w:rsidRPr="006B724C">
        <w:t xml:space="preserve"> </w:t>
      </w:r>
      <w:proofErr w:type="spellStart"/>
      <w:r w:rsidRPr="006B724C">
        <w:t>dans</w:t>
      </w:r>
      <w:proofErr w:type="spellEnd"/>
      <w:r w:rsidRPr="006B724C">
        <w:t xml:space="preserve"> la </w:t>
      </w:r>
      <w:proofErr w:type="spellStart"/>
      <w:r w:rsidRPr="006B724C">
        <w:t>carre</w:t>
      </w:r>
      <w:proofErr w:type="spellEnd"/>
      <w:r w:rsidRPr="006B724C">
        <w:t xml:space="preserve"> des </w:t>
      </w:r>
      <w:proofErr w:type="spellStart"/>
      <w:r w:rsidRPr="006B724C">
        <w:t>fonds</w:t>
      </w:r>
      <w:proofErr w:type="spellEnd"/>
      <w:r w:rsidRPr="006B724C">
        <w:t xml:space="preserve"> de la </w:t>
      </w:r>
      <w:proofErr w:type="spellStart"/>
      <w:r w:rsidRPr="006B724C">
        <w:t>citerne</w:t>
      </w:r>
      <w:proofErr w:type="spellEnd"/>
      <w:r w:rsidRPr="006B724C">
        <w:t xml:space="preserve"> </w:t>
      </w:r>
      <w:proofErr w:type="spellStart"/>
      <w:r w:rsidRPr="006B724C">
        <w:t>applicab</w:t>
      </w:r>
      <w:r w:rsidRPr="00951780">
        <w:t>les</w:t>
      </w:r>
      <w:proofErr w:type="spellEnd"/>
      <w:r w:rsidRPr="00951780">
        <w:t xml:space="preserve"> à </w:t>
      </w:r>
      <w:proofErr w:type="spellStart"/>
      <w:r w:rsidRPr="00951780">
        <w:t>partir</w:t>
      </w:r>
      <w:proofErr w:type="spellEnd"/>
      <w:r w:rsidRPr="00951780">
        <w:t xml:space="preserve"> du 1</w:t>
      </w:r>
      <w:r w:rsidRPr="00951780">
        <w:rPr>
          <w:vertAlign w:val="superscript"/>
        </w:rPr>
        <w:t>er</w:t>
      </w:r>
      <w:r w:rsidRPr="00951780">
        <w:t> </w:t>
      </w:r>
      <w:proofErr w:type="spellStart"/>
      <w:r w:rsidRPr="00951780">
        <w:t>janvier</w:t>
      </w:r>
      <w:proofErr w:type="spellEnd"/>
      <w:r w:rsidRPr="00951780">
        <w:t xml:space="preserve"> 2019 </w:t>
      </w:r>
      <w:proofErr w:type="spellStart"/>
      <w:r w:rsidRPr="00951780">
        <w:t>peuvent</w:t>
      </w:r>
      <w:proofErr w:type="spellEnd"/>
      <w:r w:rsidRPr="00951780">
        <w:t xml:space="preserve"> continuer à </w:t>
      </w:r>
      <w:proofErr w:type="spellStart"/>
      <w:r w:rsidRPr="00951780">
        <w:t>être</w:t>
      </w:r>
      <w:proofErr w:type="spellEnd"/>
      <w:r w:rsidRPr="00951780">
        <w:t xml:space="preserve"> </w:t>
      </w:r>
      <w:proofErr w:type="spellStart"/>
      <w:r w:rsidRPr="00FF7AA3">
        <w:t>utilisé</w:t>
      </w:r>
      <w:proofErr w:type="spellEnd"/>
      <w:r>
        <w:t>(e)</w:t>
      </w:r>
      <w:r w:rsidRPr="00FF7AA3">
        <w:t>s</w:t>
      </w:r>
      <w:r w:rsidRPr="00951780">
        <w:t>.».</w:t>
      </w:r>
    </w:p>
    <w:p w14:paraId="1EB818A0" w14:textId="77777777" w:rsidR="0082186B" w:rsidRDefault="0082186B" w:rsidP="0082186B">
      <w:pPr>
        <w:pStyle w:val="SingleTxtG"/>
        <w:rPr>
          <w:b/>
        </w:rPr>
      </w:pPr>
      <w:r w:rsidRPr="00E754BF">
        <w:rPr>
          <w:i/>
          <w:iCs/>
          <w:lang w:val="fr-FR"/>
        </w:rPr>
        <w:t>(</w:t>
      </w:r>
      <w:r w:rsidRPr="00E754BF">
        <w:rPr>
          <w:i/>
        </w:rPr>
        <w:t>Document</w:t>
      </w:r>
      <w:r>
        <w:rPr>
          <w:i/>
        </w:rPr>
        <w:t>s</w:t>
      </w:r>
      <w:r w:rsidRPr="00E754BF">
        <w:rPr>
          <w:i/>
        </w:rPr>
        <w:t xml:space="preserve"> </w:t>
      </w:r>
      <w:r w:rsidRPr="00E754BF">
        <w:rPr>
          <w:i/>
          <w:iCs/>
          <w:lang w:val="fr-FR"/>
        </w:rPr>
        <w:t xml:space="preserve">de référence : </w:t>
      </w:r>
      <w:r>
        <w:rPr>
          <w:i/>
          <w:iCs/>
          <w:lang w:val="fr-FR"/>
        </w:rPr>
        <w:t xml:space="preserve">ECE/TRANS/WP.15/AC.1/2017/19 et </w:t>
      </w:r>
      <w:r w:rsidRPr="00E754BF">
        <w:rPr>
          <w:i/>
          <w:iCs/>
          <w:lang w:val="fr-FR"/>
        </w:rPr>
        <w:t>document informel</w:t>
      </w:r>
      <w:r>
        <w:rPr>
          <w:i/>
          <w:iCs/>
          <w:lang w:val="fr-FR"/>
        </w:rPr>
        <w:t xml:space="preserve"> INF.34</w:t>
      </w:r>
      <w:r w:rsidRPr="00E754BF">
        <w:rPr>
          <w:i/>
          <w:iCs/>
          <w:lang w:val="fr-FR"/>
        </w:rPr>
        <w:t>)</w:t>
      </w:r>
    </w:p>
    <w:p w14:paraId="1795654E" w14:textId="77777777" w:rsidR="0082186B" w:rsidRDefault="0082186B" w:rsidP="0082186B">
      <w:pPr>
        <w:pStyle w:val="SingleTxtG"/>
      </w:pPr>
      <w:r w:rsidRPr="00574B4A">
        <w:t>«</w:t>
      </w:r>
      <w:r w:rsidRPr="00A8569A">
        <w:rPr>
          <w:bCs/>
        </w:rPr>
        <w:t>1.6.3.52</w:t>
      </w:r>
      <w:r>
        <w:rPr>
          <w:b/>
        </w:rPr>
        <w:tab/>
      </w:r>
      <w:r>
        <w:t>Les</w:t>
      </w:r>
      <w:r w:rsidRPr="00FF7AA3">
        <w:t xml:space="preserve"> wagons-</w:t>
      </w:r>
      <w:proofErr w:type="spellStart"/>
      <w:r w:rsidRPr="00FF7AA3">
        <w:t>citernes</w:t>
      </w:r>
      <w:proofErr w:type="spellEnd"/>
      <w:r>
        <w:t>/</w:t>
      </w:r>
      <w:r>
        <w:rPr>
          <w:b/>
        </w:rPr>
        <w:t xml:space="preserve"> </w:t>
      </w:r>
      <w:r w:rsidRPr="00FF7AA3">
        <w:t xml:space="preserve">Les </w:t>
      </w:r>
      <w:proofErr w:type="spellStart"/>
      <w:r w:rsidRPr="00FF7AA3">
        <w:t>citernes</w:t>
      </w:r>
      <w:proofErr w:type="spellEnd"/>
      <w:r w:rsidRPr="00FF7AA3">
        <w:t xml:space="preserve"> fixes (</w:t>
      </w:r>
      <w:proofErr w:type="spellStart"/>
      <w:r w:rsidRPr="00FF7AA3">
        <w:t>véhicules-citernes</w:t>
      </w:r>
      <w:proofErr w:type="spellEnd"/>
      <w:r w:rsidRPr="00FF7AA3">
        <w:t xml:space="preserve">) et </w:t>
      </w:r>
      <w:proofErr w:type="spellStart"/>
      <w:r w:rsidRPr="00FF7AA3">
        <w:t>citernes</w:t>
      </w:r>
      <w:proofErr w:type="spellEnd"/>
      <w:r>
        <w:t xml:space="preserve"> </w:t>
      </w:r>
      <w:proofErr w:type="spellStart"/>
      <w:r w:rsidRPr="00FF7AA3">
        <w:t>démontables</w:t>
      </w:r>
      <w:proofErr w:type="spellEnd"/>
      <w:r>
        <w:t xml:space="preserve"> </w:t>
      </w:r>
      <w:proofErr w:type="spellStart"/>
      <w:r>
        <w:t>construit</w:t>
      </w:r>
      <w:proofErr w:type="spellEnd"/>
      <w:r>
        <w:t xml:space="preserve">(e)s </w:t>
      </w:r>
      <w:proofErr w:type="spellStart"/>
      <w:r w:rsidRPr="00951780">
        <w:t>avant</w:t>
      </w:r>
      <w:proofErr w:type="spellEnd"/>
      <w:r w:rsidRPr="00951780">
        <w:t xml:space="preserve"> le 1</w:t>
      </w:r>
      <w:r w:rsidRPr="00951780">
        <w:rPr>
          <w:vertAlign w:val="superscript"/>
        </w:rPr>
        <w:t>er</w:t>
      </w:r>
      <w:r w:rsidRPr="00951780">
        <w:t> </w:t>
      </w:r>
      <w:proofErr w:type="spellStart"/>
      <w:r w:rsidRPr="00951780">
        <w:t>juillet</w:t>
      </w:r>
      <w:proofErr w:type="spellEnd"/>
      <w:r w:rsidRPr="00951780">
        <w:t xml:space="preserve"> 2019 </w:t>
      </w:r>
      <w:proofErr w:type="spellStart"/>
      <w:r w:rsidRPr="00951780">
        <w:t>conformément</w:t>
      </w:r>
      <w:proofErr w:type="spellEnd"/>
      <w:r w:rsidRPr="00951780">
        <w:t xml:space="preserve"> aux prescriptions </w:t>
      </w:r>
      <w:proofErr w:type="spellStart"/>
      <w:r>
        <w:t>applicables</w:t>
      </w:r>
      <w:proofErr w:type="spellEnd"/>
      <w:r w:rsidRPr="00951780">
        <w:t xml:space="preserve"> </w:t>
      </w:r>
      <w:proofErr w:type="spellStart"/>
      <w:r w:rsidRPr="00951780">
        <w:t>jusqu’au</w:t>
      </w:r>
      <w:proofErr w:type="spellEnd"/>
      <w:r w:rsidRPr="00951780">
        <w:t xml:space="preserve"> 31 </w:t>
      </w:r>
      <w:proofErr w:type="spellStart"/>
      <w:r w:rsidRPr="00951780">
        <w:t>décembre</w:t>
      </w:r>
      <w:proofErr w:type="spellEnd"/>
      <w:r w:rsidRPr="00951780">
        <w:t xml:space="preserve"> 2018</w:t>
      </w:r>
      <w:r>
        <w:t>,</w:t>
      </w:r>
      <w:r w:rsidRPr="00951780">
        <w:t xml:space="preserve"> </w:t>
      </w:r>
      <w:proofErr w:type="spellStart"/>
      <w:r w:rsidRPr="00951780">
        <w:t>mais</w:t>
      </w:r>
      <w:proofErr w:type="spellEnd"/>
      <w:r w:rsidRPr="00951780">
        <w:t xml:space="preserve"> qui ne </w:t>
      </w:r>
      <w:proofErr w:type="spellStart"/>
      <w:r w:rsidRPr="00951780">
        <w:t>sont</w:t>
      </w:r>
      <w:proofErr w:type="spellEnd"/>
      <w:r w:rsidRPr="00951780">
        <w:t xml:space="preserve"> pas </w:t>
      </w:r>
      <w:proofErr w:type="spellStart"/>
      <w:r w:rsidRPr="00951780">
        <w:t>conformes</w:t>
      </w:r>
      <w:proofErr w:type="spellEnd"/>
      <w:r>
        <w:t xml:space="preserve"> aux prescriptions du</w:t>
      </w:r>
      <w:r w:rsidRPr="00951780">
        <w:t xml:space="preserve"> 6.8.2.</w:t>
      </w:r>
      <w:r>
        <w:t>2.11</w:t>
      </w:r>
      <w:r w:rsidRPr="00951780">
        <w:t xml:space="preserve"> </w:t>
      </w:r>
      <w:proofErr w:type="spellStart"/>
      <w:r w:rsidRPr="00951780">
        <w:t>applicables</w:t>
      </w:r>
      <w:proofErr w:type="spellEnd"/>
      <w:r w:rsidRPr="00951780">
        <w:t xml:space="preserve"> à </w:t>
      </w:r>
      <w:proofErr w:type="spellStart"/>
      <w:r w:rsidRPr="00951780">
        <w:t>partir</w:t>
      </w:r>
      <w:proofErr w:type="spellEnd"/>
      <w:r w:rsidRPr="00951780">
        <w:t xml:space="preserve"> du 1</w:t>
      </w:r>
      <w:r w:rsidRPr="00951780">
        <w:rPr>
          <w:vertAlign w:val="superscript"/>
        </w:rPr>
        <w:t>er</w:t>
      </w:r>
      <w:r w:rsidRPr="00951780">
        <w:t> </w:t>
      </w:r>
      <w:proofErr w:type="spellStart"/>
      <w:r w:rsidRPr="00951780">
        <w:t>janvier</w:t>
      </w:r>
      <w:proofErr w:type="spellEnd"/>
      <w:r w:rsidRPr="00951780">
        <w:t xml:space="preserve"> 2019 </w:t>
      </w:r>
      <w:proofErr w:type="spellStart"/>
      <w:r w:rsidRPr="00951780">
        <w:t>peuvent</w:t>
      </w:r>
      <w:proofErr w:type="spellEnd"/>
      <w:r w:rsidRPr="00951780">
        <w:t xml:space="preserve"> continuer à </w:t>
      </w:r>
      <w:proofErr w:type="spellStart"/>
      <w:r w:rsidRPr="00951780">
        <w:t>être</w:t>
      </w:r>
      <w:proofErr w:type="spellEnd"/>
      <w:r w:rsidRPr="00951780">
        <w:t xml:space="preserve"> </w:t>
      </w:r>
      <w:proofErr w:type="spellStart"/>
      <w:r w:rsidRPr="00FF7AA3">
        <w:t>utilisé</w:t>
      </w:r>
      <w:proofErr w:type="spellEnd"/>
      <w:r>
        <w:t>(e)</w:t>
      </w:r>
      <w:r w:rsidRPr="00FF7AA3">
        <w:t>s</w:t>
      </w:r>
      <w:r w:rsidRPr="00951780">
        <w:t>.».</w:t>
      </w:r>
    </w:p>
    <w:p w14:paraId="595C1722" w14:textId="77777777" w:rsidR="0082186B" w:rsidRDefault="0082186B" w:rsidP="0082186B">
      <w:pPr>
        <w:pStyle w:val="SingleTxtG"/>
        <w:rPr>
          <w:b/>
        </w:rPr>
      </w:pPr>
      <w:r w:rsidRPr="00E754BF">
        <w:rPr>
          <w:i/>
          <w:iCs/>
          <w:lang w:val="fr-FR"/>
        </w:rPr>
        <w:t>(</w:t>
      </w:r>
      <w:r w:rsidRPr="00E754BF">
        <w:rPr>
          <w:i/>
        </w:rPr>
        <w:t xml:space="preserve">Document </w:t>
      </w:r>
      <w:r w:rsidRPr="00E754BF">
        <w:rPr>
          <w:i/>
          <w:iCs/>
          <w:lang w:val="fr-FR"/>
        </w:rPr>
        <w:t>de référence : document informel</w:t>
      </w:r>
      <w:r>
        <w:rPr>
          <w:i/>
          <w:iCs/>
          <w:lang w:val="fr-FR"/>
        </w:rPr>
        <w:t xml:space="preserve"> INF.34</w:t>
      </w:r>
      <w:r w:rsidRPr="00E754BF">
        <w:rPr>
          <w:i/>
          <w:iCs/>
          <w:lang w:val="fr-FR"/>
        </w:rPr>
        <w:t>)</w:t>
      </w:r>
    </w:p>
    <w:p w14:paraId="3CF05D3A" w14:textId="77777777" w:rsidR="0082186B" w:rsidRDefault="0082186B" w:rsidP="0082186B">
      <w:pPr>
        <w:pStyle w:val="SingleTxtG"/>
      </w:pPr>
      <w:r w:rsidRPr="00A8569A">
        <w:rPr>
          <w:bCs/>
        </w:rPr>
        <w:t>[</w:t>
      </w:r>
      <w:r w:rsidRPr="00574B4A">
        <w:t>«</w:t>
      </w:r>
      <w:r w:rsidRPr="00A8569A">
        <w:rPr>
          <w:bCs/>
        </w:rPr>
        <w:t>1.6.3.53</w:t>
      </w:r>
      <w:r>
        <w:rPr>
          <w:b/>
        </w:rPr>
        <w:tab/>
      </w:r>
      <w:r>
        <w:t xml:space="preserve">Les </w:t>
      </w:r>
      <w:proofErr w:type="spellStart"/>
      <w:r>
        <w:t>certificats</w:t>
      </w:r>
      <w:proofErr w:type="spellEnd"/>
      <w:r>
        <w:t xml:space="preserve"> </w:t>
      </w:r>
      <w:proofErr w:type="spellStart"/>
      <w:r>
        <w:t>d’agrément</w:t>
      </w:r>
      <w:proofErr w:type="spellEnd"/>
      <w:r>
        <w:t xml:space="preserve"> de type de </w:t>
      </w:r>
      <w:r w:rsidRPr="007567B4">
        <w:rPr>
          <w:bCs/>
        </w:rPr>
        <w:t>[</w:t>
      </w:r>
      <w:r w:rsidRPr="007567B4">
        <w:t>wagons</w:t>
      </w:r>
      <w:r>
        <w:t>-</w:t>
      </w:r>
      <w:proofErr w:type="spellStart"/>
      <w:r>
        <w:t>citernes</w:t>
      </w:r>
      <w:proofErr w:type="spellEnd"/>
      <w:r>
        <w:t xml:space="preserve"> et wagons-batteries/ </w:t>
      </w:r>
      <w:proofErr w:type="spellStart"/>
      <w:r w:rsidRPr="00FF7AA3">
        <w:t>citernes</w:t>
      </w:r>
      <w:proofErr w:type="spellEnd"/>
      <w:r w:rsidRPr="00FF7AA3">
        <w:t xml:space="preserve"> fixes (</w:t>
      </w:r>
      <w:proofErr w:type="spellStart"/>
      <w:r w:rsidRPr="00FF7AA3">
        <w:t>véhicules-citernes</w:t>
      </w:r>
      <w:proofErr w:type="spellEnd"/>
      <w:r w:rsidRPr="00FF7AA3">
        <w:t>)</w:t>
      </w:r>
      <w:r>
        <w:t>,</w:t>
      </w:r>
      <w:r w:rsidRPr="00FF7AA3">
        <w:t xml:space="preserve"> </w:t>
      </w:r>
      <w:proofErr w:type="spellStart"/>
      <w:r w:rsidRPr="00FF7AA3">
        <w:t>citernes</w:t>
      </w:r>
      <w:proofErr w:type="spellEnd"/>
      <w:r>
        <w:t xml:space="preserve"> </w:t>
      </w:r>
      <w:proofErr w:type="spellStart"/>
      <w:r w:rsidRPr="00FF7AA3">
        <w:t>démontables</w:t>
      </w:r>
      <w:proofErr w:type="spellEnd"/>
      <w:r>
        <w:t xml:space="preserve"> et </w:t>
      </w:r>
      <w:proofErr w:type="spellStart"/>
      <w:r>
        <w:t>véhicules</w:t>
      </w:r>
      <w:proofErr w:type="spellEnd"/>
      <w:r>
        <w:t>-batteries</w:t>
      </w:r>
      <w:r w:rsidRPr="00A8569A">
        <w:rPr>
          <w:bCs/>
        </w:rPr>
        <w:t>]</w:t>
      </w:r>
      <w:r>
        <w:t xml:space="preserve"> </w:t>
      </w:r>
      <w:proofErr w:type="spellStart"/>
      <w:r>
        <w:t>délivrés</w:t>
      </w:r>
      <w:proofErr w:type="spellEnd"/>
      <w:r w:rsidRPr="00560143">
        <w:t xml:space="preserve"> </w:t>
      </w:r>
      <w:proofErr w:type="spellStart"/>
      <w:r w:rsidRPr="00560143">
        <w:t>avant</w:t>
      </w:r>
      <w:proofErr w:type="spellEnd"/>
      <w:r w:rsidRPr="00560143">
        <w:t xml:space="preserve"> le 1</w:t>
      </w:r>
      <w:r w:rsidRPr="00560143">
        <w:rPr>
          <w:vertAlign w:val="superscript"/>
        </w:rPr>
        <w:t>er</w:t>
      </w:r>
      <w:r w:rsidRPr="00560143">
        <w:t> </w:t>
      </w:r>
      <w:proofErr w:type="spellStart"/>
      <w:r w:rsidRPr="00560143">
        <w:t>juillet</w:t>
      </w:r>
      <w:proofErr w:type="spellEnd"/>
      <w:r w:rsidRPr="00560143">
        <w:t xml:space="preserve"> 2019 </w:t>
      </w:r>
      <w:proofErr w:type="spellStart"/>
      <w:r w:rsidRPr="00560143">
        <w:t>conformément</w:t>
      </w:r>
      <w:proofErr w:type="spellEnd"/>
      <w:r w:rsidRPr="00560143">
        <w:t xml:space="preserve"> aux prescriptions </w:t>
      </w:r>
      <w:r>
        <w:t xml:space="preserve">du 6.8.2.3.1 </w:t>
      </w:r>
      <w:proofErr w:type="spellStart"/>
      <w:r>
        <w:t>applicables</w:t>
      </w:r>
      <w:proofErr w:type="spellEnd"/>
      <w:r w:rsidRPr="00560143">
        <w:t xml:space="preserve"> </w:t>
      </w:r>
      <w:proofErr w:type="spellStart"/>
      <w:r w:rsidRPr="00560143">
        <w:t>jusqu’au</w:t>
      </w:r>
      <w:proofErr w:type="spellEnd"/>
      <w:r w:rsidRPr="00560143">
        <w:t xml:space="preserve"> 31décembre 2018</w:t>
      </w:r>
      <w:r>
        <w:t>,</w:t>
      </w:r>
      <w:r w:rsidRPr="00560143">
        <w:t xml:space="preserve"> </w:t>
      </w:r>
      <w:proofErr w:type="spellStart"/>
      <w:r w:rsidRPr="00560143">
        <w:t>mais</w:t>
      </w:r>
      <w:proofErr w:type="spellEnd"/>
      <w:r w:rsidRPr="00560143">
        <w:t xml:space="preserve"> qui ne </w:t>
      </w:r>
      <w:proofErr w:type="spellStart"/>
      <w:r w:rsidRPr="00560143">
        <w:t>sont</w:t>
      </w:r>
      <w:proofErr w:type="spellEnd"/>
      <w:r w:rsidRPr="00560143">
        <w:t xml:space="preserve"> pas </w:t>
      </w:r>
      <w:proofErr w:type="spellStart"/>
      <w:r w:rsidRPr="00560143">
        <w:t>conformes</w:t>
      </w:r>
      <w:proofErr w:type="spellEnd"/>
      <w:r w:rsidRPr="00560143">
        <w:t xml:space="preserve"> aux prescriptions du 6.8.2.3</w:t>
      </w:r>
      <w:r>
        <w:t>.1</w:t>
      </w:r>
      <w:r w:rsidRPr="00560143">
        <w:t xml:space="preserve"> </w:t>
      </w:r>
      <w:proofErr w:type="spellStart"/>
      <w:r w:rsidRPr="00560143">
        <w:t>en</w:t>
      </w:r>
      <w:proofErr w:type="spellEnd"/>
      <w:r w:rsidRPr="00560143">
        <w:t xml:space="preserve"> </w:t>
      </w:r>
      <w:proofErr w:type="spellStart"/>
      <w:r w:rsidRPr="00560143">
        <w:t>ce</w:t>
      </w:r>
      <w:proofErr w:type="spellEnd"/>
      <w:r w:rsidRPr="00560143">
        <w:t xml:space="preserve"> qui </w:t>
      </w:r>
      <w:proofErr w:type="spellStart"/>
      <w:r w:rsidRPr="00560143">
        <w:t>concerne</w:t>
      </w:r>
      <w:proofErr w:type="spellEnd"/>
      <w:r w:rsidRPr="00560143">
        <w:t xml:space="preserve"> </w:t>
      </w:r>
      <w:r>
        <w:t xml:space="preserve">le </w:t>
      </w:r>
      <w:proofErr w:type="spellStart"/>
      <w:r>
        <w:t>signe</w:t>
      </w:r>
      <w:proofErr w:type="spellEnd"/>
      <w:r>
        <w:t xml:space="preserve"> </w:t>
      </w:r>
      <w:proofErr w:type="spellStart"/>
      <w:r>
        <w:t>distinctif</w:t>
      </w:r>
      <w:proofErr w:type="spellEnd"/>
      <w:r>
        <w:t xml:space="preserve"> </w:t>
      </w:r>
      <w:proofErr w:type="spellStart"/>
      <w:r>
        <w:t>utilisé</w:t>
      </w:r>
      <w:proofErr w:type="spellEnd"/>
      <w:r>
        <w:t xml:space="preserve"> sur les </w:t>
      </w:r>
      <w:proofErr w:type="spellStart"/>
      <w:r>
        <w:t>véhicules</w:t>
      </w:r>
      <w:proofErr w:type="spellEnd"/>
      <w:r>
        <w:t xml:space="preserve"> </w:t>
      </w:r>
      <w:proofErr w:type="spellStart"/>
      <w:r>
        <w:t>en</w:t>
      </w:r>
      <w:proofErr w:type="spellEnd"/>
      <w:r>
        <w:t xml:space="preserve"> circulation </w:t>
      </w:r>
      <w:proofErr w:type="spellStart"/>
      <w:r>
        <w:t>routière</w:t>
      </w:r>
      <w:proofErr w:type="spellEnd"/>
      <w:r>
        <w:t xml:space="preserve"> </w:t>
      </w:r>
      <w:proofErr w:type="spellStart"/>
      <w:r>
        <w:t>internationale</w:t>
      </w:r>
      <w:proofErr w:type="spellEnd"/>
      <w:r w:rsidRPr="00AC3FB7">
        <w:rPr>
          <w:vertAlign w:val="superscript"/>
        </w:rPr>
        <w:t>*)</w:t>
      </w:r>
      <w:r>
        <w:t xml:space="preserve"> pour </w:t>
      </w:r>
      <w:proofErr w:type="spellStart"/>
      <w:r>
        <w:t>l’Etat</w:t>
      </w:r>
      <w:proofErr w:type="spellEnd"/>
      <w:r>
        <w:t xml:space="preserve"> </w:t>
      </w:r>
      <w:proofErr w:type="spellStart"/>
      <w:r>
        <w:t>dans</w:t>
      </w:r>
      <w:proofErr w:type="spellEnd"/>
      <w:r>
        <w:t xml:space="preserve"> </w:t>
      </w:r>
      <w:proofErr w:type="spellStart"/>
      <w:r>
        <w:t>lequel</w:t>
      </w:r>
      <w:proofErr w:type="spellEnd"/>
      <w:r>
        <w:t xml:space="preserve"> </w:t>
      </w:r>
      <w:proofErr w:type="spellStart"/>
      <w:r>
        <w:t>l’agrément</w:t>
      </w:r>
      <w:proofErr w:type="spellEnd"/>
      <w:r>
        <w:t xml:space="preserve"> a </w:t>
      </w:r>
      <w:proofErr w:type="spellStart"/>
      <w:r>
        <w:t>été</w:t>
      </w:r>
      <w:proofErr w:type="spellEnd"/>
      <w:r>
        <w:t xml:space="preserve"> </w:t>
      </w:r>
      <w:proofErr w:type="spellStart"/>
      <w:r>
        <w:t>donné</w:t>
      </w:r>
      <w:proofErr w:type="spellEnd"/>
      <w:r>
        <w:t xml:space="preserve"> et le </w:t>
      </w:r>
      <w:proofErr w:type="spellStart"/>
      <w:r>
        <w:t>numéro</w:t>
      </w:r>
      <w:proofErr w:type="spellEnd"/>
      <w:r>
        <w:t xml:space="preserve"> </w:t>
      </w:r>
      <w:proofErr w:type="spellStart"/>
      <w:r>
        <w:t>d’immatriculation</w:t>
      </w:r>
      <w:proofErr w:type="spellEnd"/>
      <w:r>
        <w:t>,</w:t>
      </w:r>
      <w:r w:rsidRPr="00560143">
        <w:t xml:space="preserve"> </w:t>
      </w:r>
      <w:proofErr w:type="spellStart"/>
      <w:r w:rsidRPr="00560143">
        <w:t>applicables</w:t>
      </w:r>
      <w:proofErr w:type="spellEnd"/>
      <w:r w:rsidRPr="00560143">
        <w:t xml:space="preserve"> à </w:t>
      </w:r>
      <w:proofErr w:type="spellStart"/>
      <w:r w:rsidRPr="00560143">
        <w:t>partir</w:t>
      </w:r>
      <w:proofErr w:type="spellEnd"/>
      <w:r w:rsidRPr="00560143">
        <w:t xml:space="preserve"> du 1</w:t>
      </w:r>
      <w:r w:rsidRPr="00560143">
        <w:rPr>
          <w:vertAlign w:val="superscript"/>
        </w:rPr>
        <w:t>er</w:t>
      </w:r>
      <w:r w:rsidRPr="00560143">
        <w:t> </w:t>
      </w:r>
      <w:proofErr w:type="spellStart"/>
      <w:r w:rsidRPr="00560143">
        <w:t>janvier</w:t>
      </w:r>
      <w:proofErr w:type="spellEnd"/>
      <w:r w:rsidRPr="00560143">
        <w:t xml:space="preserve"> 2019, </w:t>
      </w:r>
      <w:proofErr w:type="spellStart"/>
      <w:r w:rsidRPr="00560143">
        <w:t>peuvent</w:t>
      </w:r>
      <w:proofErr w:type="spellEnd"/>
      <w:r w:rsidRPr="00560143">
        <w:t xml:space="preserve"> continuer à </w:t>
      </w:r>
      <w:proofErr w:type="spellStart"/>
      <w:r w:rsidRPr="00560143">
        <w:t>être</w:t>
      </w:r>
      <w:proofErr w:type="spellEnd"/>
      <w:r w:rsidRPr="00560143">
        <w:t xml:space="preserve"> </w:t>
      </w:r>
      <w:proofErr w:type="spellStart"/>
      <w:r w:rsidRPr="00560143">
        <w:t>utilisés</w:t>
      </w:r>
      <w:proofErr w:type="spellEnd"/>
      <w:r w:rsidRPr="00560143">
        <w:t>.</w:t>
      </w:r>
    </w:p>
    <w:p w14:paraId="6C3546CB" w14:textId="77777777" w:rsidR="0082186B" w:rsidRDefault="0082186B" w:rsidP="0082186B">
      <w:pPr>
        <w:pStyle w:val="SingleTxtG"/>
      </w:pPr>
      <w:r>
        <w:t>_____</w:t>
      </w:r>
    </w:p>
    <w:p w14:paraId="52E9D9F3" w14:textId="77777777" w:rsidR="0082186B" w:rsidRDefault="0082186B" w:rsidP="0082186B">
      <w:pPr>
        <w:pStyle w:val="SingleTxtG"/>
      </w:pPr>
      <w:r w:rsidRPr="00AC3FB7">
        <w:rPr>
          <w:szCs w:val="18"/>
          <w:vertAlign w:val="superscript"/>
        </w:rPr>
        <w:t>*)</w:t>
      </w:r>
      <w:r>
        <w:rPr>
          <w:szCs w:val="18"/>
        </w:rPr>
        <w:tab/>
      </w:r>
      <w:r w:rsidRPr="00BB7316">
        <w:rPr>
          <w:szCs w:val="18"/>
        </w:rPr>
        <w:t xml:space="preserve">Signe </w:t>
      </w:r>
      <w:proofErr w:type="spellStart"/>
      <w:r w:rsidRPr="00BB7316">
        <w:rPr>
          <w:szCs w:val="18"/>
        </w:rPr>
        <w:t>distinctif</w:t>
      </w:r>
      <w:proofErr w:type="spellEnd"/>
      <w:r w:rsidRPr="00BB7316">
        <w:rPr>
          <w:szCs w:val="18"/>
        </w:rPr>
        <w:t xml:space="preserve"> </w:t>
      </w:r>
      <w:r w:rsidRPr="00AC3FB7">
        <w:rPr>
          <w:szCs w:val="18"/>
        </w:rPr>
        <w:t xml:space="preserve">de </w:t>
      </w:r>
      <w:proofErr w:type="spellStart"/>
      <w:r w:rsidRPr="00AC3FB7">
        <w:rPr>
          <w:szCs w:val="18"/>
        </w:rPr>
        <w:t>l’État</w:t>
      </w:r>
      <w:proofErr w:type="spellEnd"/>
      <w:r w:rsidRPr="00AC3FB7">
        <w:rPr>
          <w:szCs w:val="18"/>
        </w:rPr>
        <w:t xml:space="preserve"> </w:t>
      </w:r>
      <w:proofErr w:type="spellStart"/>
      <w:r w:rsidRPr="00AC3FB7">
        <w:rPr>
          <w:szCs w:val="18"/>
        </w:rPr>
        <w:t>d’immatriculation</w:t>
      </w:r>
      <w:proofErr w:type="spellEnd"/>
      <w:r w:rsidRPr="00AC3FB7">
        <w:rPr>
          <w:szCs w:val="18"/>
        </w:rPr>
        <w:t xml:space="preserve"> </w:t>
      </w:r>
      <w:proofErr w:type="spellStart"/>
      <w:r w:rsidRPr="00AC3FB7">
        <w:rPr>
          <w:szCs w:val="18"/>
        </w:rPr>
        <w:t>utilisé</w:t>
      </w:r>
      <w:proofErr w:type="spellEnd"/>
      <w:r w:rsidRPr="00AC3FB7">
        <w:rPr>
          <w:szCs w:val="18"/>
        </w:rPr>
        <w:t xml:space="preserve"> sur les automobiles et les </w:t>
      </w:r>
      <w:proofErr w:type="spellStart"/>
      <w:r w:rsidRPr="00AC3FB7">
        <w:rPr>
          <w:szCs w:val="18"/>
        </w:rPr>
        <w:t>remorques</w:t>
      </w:r>
      <w:proofErr w:type="spellEnd"/>
      <w:r w:rsidRPr="00AC3FB7">
        <w:rPr>
          <w:szCs w:val="18"/>
        </w:rPr>
        <w:t xml:space="preserve"> </w:t>
      </w:r>
      <w:proofErr w:type="spellStart"/>
      <w:r w:rsidRPr="00AC3FB7">
        <w:rPr>
          <w:szCs w:val="18"/>
        </w:rPr>
        <w:t>en</w:t>
      </w:r>
      <w:proofErr w:type="spellEnd"/>
      <w:r w:rsidRPr="00AC3FB7">
        <w:rPr>
          <w:szCs w:val="18"/>
        </w:rPr>
        <w:t xml:space="preserve"> circulation </w:t>
      </w:r>
      <w:proofErr w:type="spellStart"/>
      <w:r w:rsidRPr="00AC3FB7">
        <w:rPr>
          <w:szCs w:val="18"/>
        </w:rPr>
        <w:t>routière</w:t>
      </w:r>
      <w:proofErr w:type="spellEnd"/>
      <w:r w:rsidRPr="00AC3FB7">
        <w:rPr>
          <w:szCs w:val="18"/>
        </w:rPr>
        <w:t xml:space="preserve"> </w:t>
      </w:r>
      <w:proofErr w:type="spellStart"/>
      <w:r w:rsidRPr="00AC3FB7">
        <w:rPr>
          <w:szCs w:val="18"/>
        </w:rPr>
        <w:t>internationale</w:t>
      </w:r>
      <w:proofErr w:type="spellEnd"/>
      <w:r w:rsidRPr="00AC3FB7">
        <w:rPr>
          <w:szCs w:val="18"/>
        </w:rPr>
        <w:t xml:space="preserve">, par </w:t>
      </w:r>
      <w:proofErr w:type="spellStart"/>
      <w:r w:rsidRPr="00AC3FB7">
        <w:rPr>
          <w:szCs w:val="18"/>
        </w:rPr>
        <w:t>exemple</w:t>
      </w:r>
      <w:proofErr w:type="spellEnd"/>
      <w:r w:rsidRPr="00AC3FB7">
        <w:rPr>
          <w:szCs w:val="18"/>
        </w:rPr>
        <w:t xml:space="preserve"> </w:t>
      </w:r>
      <w:proofErr w:type="spellStart"/>
      <w:r w:rsidRPr="00AC3FB7">
        <w:rPr>
          <w:szCs w:val="18"/>
        </w:rPr>
        <w:t>en</w:t>
      </w:r>
      <w:proofErr w:type="spellEnd"/>
      <w:r w:rsidRPr="00AC3FB7">
        <w:rPr>
          <w:szCs w:val="18"/>
        </w:rPr>
        <w:t xml:space="preserve"> </w:t>
      </w:r>
      <w:proofErr w:type="spellStart"/>
      <w:r w:rsidRPr="00AC3FB7">
        <w:rPr>
          <w:szCs w:val="18"/>
        </w:rPr>
        <w:t>vertu</w:t>
      </w:r>
      <w:proofErr w:type="spellEnd"/>
      <w:r w:rsidRPr="00AC3FB7">
        <w:rPr>
          <w:szCs w:val="18"/>
        </w:rPr>
        <w:t xml:space="preserve"> de la Convention de Genève sur la circulation </w:t>
      </w:r>
      <w:proofErr w:type="spellStart"/>
      <w:r w:rsidRPr="00AC3FB7">
        <w:rPr>
          <w:szCs w:val="18"/>
        </w:rPr>
        <w:t>routière</w:t>
      </w:r>
      <w:proofErr w:type="spellEnd"/>
      <w:r w:rsidRPr="00AC3FB7">
        <w:rPr>
          <w:szCs w:val="18"/>
        </w:rPr>
        <w:t xml:space="preserve"> de 1949 </w:t>
      </w:r>
      <w:proofErr w:type="spellStart"/>
      <w:r w:rsidRPr="00AC3FB7">
        <w:rPr>
          <w:szCs w:val="18"/>
        </w:rPr>
        <w:t>ou</w:t>
      </w:r>
      <w:proofErr w:type="spellEnd"/>
      <w:r w:rsidRPr="00AC3FB7">
        <w:rPr>
          <w:szCs w:val="18"/>
        </w:rPr>
        <w:t xml:space="preserve"> de la C</w:t>
      </w:r>
      <w:r w:rsidRPr="00BB7316">
        <w:rPr>
          <w:szCs w:val="18"/>
        </w:rPr>
        <w:t xml:space="preserve">onvention de Vienne sur la circulation </w:t>
      </w:r>
      <w:proofErr w:type="spellStart"/>
      <w:r w:rsidRPr="00BB7316">
        <w:rPr>
          <w:szCs w:val="18"/>
        </w:rPr>
        <w:t>routiè</w:t>
      </w:r>
      <w:r w:rsidRPr="00AC3FB7">
        <w:rPr>
          <w:szCs w:val="18"/>
        </w:rPr>
        <w:t>re</w:t>
      </w:r>
      <w:proofErr w:type="spellEnd"/>
      <w:r w:rsidRPr="00AC3FB7">
        <w:rPr>
          <w:szCs w:val="18"/>
        </w:rPr>
        <w:t xml:space="preserve"> de 1</w:t>
      </w:r>
      <w:r w:rsidRPr="00BB7316">
        <w:rPr>
          <w:szCs w:val="18"/>
        </w:rPr>
        <w:t>968.</w:t>
      </w:r>
      <w:r w:rsidRPr="00560143">
        <w:t>».</w:t>
      </w:r>
      <w:r w:rsidRPr="00B5798C">
        <w:rPr>
          <w:b/>
        </w:rPr>
        <w:t>]</w:t>
      </w:r>
    </w:p>
    <w:p w14:paraId="705B1106" w14:textId="77777777" w:rsidR="0082186B" w:rsidRDefault="0082186B" w:rsidP="0082186B">
      <w:pPr>
        <w:pStyle w:val="SingleTxtG"/>
        <w:rPr>
          <w:b/>
        </w:rPr>
      </w:pPr>
      <w:r w:rsidRPr="00E754BF">
        <w:rPr>
          <w:i/>
          <w:iCs/>
          <w:lang w:val="fr-FR"/>
        </w:rPr>
        <w:t>(</w:t>
      </w:r>
      <w:r w:rsidRPr="00E754BF">
        <w:rPr>
          <w:i/>
        </w:rPr>
        <w:t xml:space="preserve">Document </w:t>
      </w:r>
      <w:r w:rsidRPr="00E754BF">
        <w:rPr>
          <w:i/>
          <w:iCs/>
          <w:lang w:val="fr-FR"/>
        </w:rPr>
        <w:t xml:space="preserve">de </w:t>
      </w:r>
      <w:proofErr w:type="spellStart"/>
      <w:r w:rsidRPr="00C33808">
        <w:rPr>
          <w:i/>
        </w:rPr>
        <w:t>référence</w:t>
      </w:r>
      <w:proofErr w:type="spellEnd"/>
      <w:r w:rsidRPr="00E754BF">
        <w:rPr>
          <w:i/>
          <w:iCs/>
          <w:lang w:val="fr-FR"/>
        </w:rPr>
        <w:t> : document informel</w:t>
      </w:r>
      <w:r>
        <w:rPr>
          <w:i/>
          <w:iCs/>
          <w:lang w:val="fr-FR"/>
        </w:rPr>
        <w:t xml:space="preserve"> INF.35</w:t>
      </w:r>
      <w:r w:rsidRPr="00E754BF">
        <w:rPr>
          <w:i/>
          <w:iCs/>
          <w:lang w:val="fr-FR"/>
        </w:rPr>
        <w:t>)</w:t>
      </w:r>
    </w:p>
    <w:p w14:paraId="70A8F389" w14:textId="77777777" w:rsidR="0082186B" w:rsidRDefault="0082186B" w:rsidP="0082186B">
      <w:pPr>
        <w:pStyle w:val="SingleTxtG"/>
      </w:pPr>
      <w:r w:rsidRPr="00A8569A">
        <w:rPr>
          <w:bCs/>
        </w:rPr>
        <w:t>1.6.4</w:t>
      </w:r>
      <w:r>
        <w:rPr>
          <w:b/>
        </w:rPr>
        <w:tab/>
      </w:r>
      <w:r>
        <w:rPr>
          <w:b/>
        </w:rPr>
        <w:tab/>
      </w:r>
      <w:proofErr w:type="spellStart"/>
      <w:r w:rsidRPr="0074415A">
        <w:t>Ajouter</w:t>
      </w:r>
      <w:proofErr w:type="spellEnd"/>
      <w:r w:rsidRPr="0074415A">
        <w:t xml:space="preserve"> l</w:t>
      </w:r>
      <w:r>
        <w:t>es</w:t>
      </w:r>
      <w:r w:rsidRPr="0074415A">
        <w:t xml:space="preserve"> </w:t>
      </w:r>
      <w:proofErr w:type="spellStart"/>
      <w:r w:rsidRPr="0074415A">
        <w:t>nouvelle</w:t>
      </w:r>
      <w:r>
        <w:t>s</w:t>
      </w:r>
      <w:proofErr w:type="spellEnd"/>
      <w:r w:rsidRPr="0074415A">
        <w:t xml:space="preserve"> </w:t>
      </w:r>
      <w:proofErr w:type="spellStart"/>
      <w:r w:rsidRPr="0074415A">
        <w:t>mesure</w:t>
      </w:r>
      <w:r>
        <w:t>s</w:t>
      </w:r>
      <w:proofErr w:type="spellEnd"/>
      <w:r w:rsidRPr="0074415A">
        <w:t xml:space="preserve"> </w:t>
      </w:r>
      <w:proofErr w:type="spellStart"/>
      <w:r w:rsidRPr="0074415A">
        <w:t>transitoire</w:t>
      </w:r>
      <w:r>
        <w:t>s</w:t>
      </w:r>
      <w:proofErr w:type="spellEnd"/>
      <w:r w:rsidRPr="0074415A">
        <w:t xml:space="preserve"> </w:t>
      </w:r>
      <w:proofErr w:type="spellStart"/>
      <w:proofErr w:type="gramStart"/>
      <w:r w:rsidRPr="0074415A">
        <w:t>suivante</w:t>
      </w:r>
      <w:r>
        <w:t>s</w:t>
      </w:r>
      <w:proofErr w:type="spellEnd"/>
      <w:r w:rsidRPr="0074415A">
        <w:t> :</w:t>
      </w:r>
      <w:proofErr w:type="gramEnd"/>
    </w:p>
    <w:p w14:paraId="1C93BF64" w14:textId="77777777" w:rsidR="0082186B" w:rsidRDefault="0082186B" w:rsidP="0082186B">
      <w:pPr>
        <w:pStyle w:val="SingleTxtG"/>
      </w:pPr>
      <w:r w:rsidRPr="00FF7AA3">
        <w:t>«</w:t>
      </w:r>
      <w:r w:rsidRPr="00A8569A">
        <w:rPr>
          <w:bCs/>
        </w:rPr>
        <w:t>1.6.4.51</w:t>
      </w:r>
      <w:r w:rsidRPr="00FF7AA3">
        <w:rPr>
          <w:b/>
        </w:rPr>
        <w:tab/>
      </w:r>
      <w:r w:rsidRPr="00FF7AA3">
        <w:t xml:space="preserve">Les </w:t>
      </w:r>
      <w:proofErr w:type="spellStart"/>
      <w:r w:rsidRPr="00FF7AA3">
        <w:t>conteneurs-citernes</w:t>
      </w:r>
      <w:proofErr w:type="spellEnd"/>
      <w:r w:rsidRPr="00FF7AA3">
        <w:t xml:space="preserve"> </w:t>
      </w:r>
      <w:proofErr w:type="spellStart"/>
      <w:r w:rsidRPr="00FF7AA3">
        <w:t>construits</w:t>
      </w:r>
      <w:proofErr w:type="spellEnd"/>
      <w:r w:rsidRPr="00FF7AA3">
        <w:t xml:space="preserve"> </w:t>
      </w:r>
      <w:proofErr w:type="spellStart"/>
      <w:r w:rsidRPr="00FF7AA3">
        <w:t>avant</w:t>
      </w:r>
      <w:proofErr w:type="spellEnd"/>
      <w:r w:rsidRPr="00FF7AA3">
        <w:t xml:space="preserve"> le 1</w:t>
      </w:r>
      <w:r w:rsidRPr="00FF7AA3">
        <w:rPr>
          <w:vertAlign w:val="superscript"/>
        </w:rPr>
        <w:t>er</w:t>
      </w:r>
      <w:r w:rsidRPr="00FF7AA3">
        <w:t> </w:t>
      </w:r>
      <w:proofErr w:type="spellStart"/>
      <w:r w:rsidRPr="00FF7AA3">
        <w:t>janvier</w:t>
      </w:r>
      <w:proofErr w:type="spellEnd"/>
      <w:r w:rsidRPr="00FF7AA3">
        <w:t xml:space="preserve"> 2019 </w:t>
      </w:r>
      <w:proofErr w:type="spellStart"/>
      <w:r w:rsidRPr="00FF7AA3">
        <w:t>conformément</w:t>
      </w:r>
      <w:proofErr w:type="spellEnd"/>
      <w:r w:rsidRPr="00FF7AA3">
        <w:t xml:space="preserve"> aux prescriptions </w:t>
      </w:r>
      <w:proofErr w:type="spellStart"/>
      <w:r>
        <w:t>applicables</w:t>
      </w:r>
      <w:proofErr w:type="spellEnd"/>
      <w:r w:rsidRPr="00FF7AA3">
        <w:t xml:space="preserve"> </w:t>
      </w:r>
      <w:proofErr w:type="spellStart"/>
      <w:r w:rsidRPr="00FF7AA3">
        <w:t>jusqu’au</w:t>
      </w:r>
      <w:proofErr w:type="spellEnd"/>
      <w:r w:rsidRPr="00FF7AA3">
        <w:t xml:space="preserve"> 31 </w:t>
      </w:r>
      <w:proofErr w:type="spellStart"/>
      <w:r w:rsidRPr="00FF7AA3">
        <w:t>décembre</w:t>
      </w:r>
      <w:proofErr w:type="spellEnd"/>
      <w:r w:rsidRPr="00FF7AA3">
        <w:t xml:space="preserve"> 2018</w:t>
      </w:r>
      <w:r>
        <w:t>,</w:t>
      </w:r>
      <w:r w:rsidRPr="00FF7AA3">
        <w:t xml:space="preserve"> </w:t>
      </w:r>
      <w:proofErr w:type="spellStart"/>
      <w:r w:rsidRPr="00FF7AA3">
        <w:t>mais</w:t>
      </w:r>
      <w:proofErr w:type="spellEnd"/>
      <w:r w:rsidRPr="00FF7AA3">
        <w:t xml:space="preserve"> qui ne </w:t>
      </w:r>
      <w:proofErr w:type="spellStart"/>
      <w:r w:rsidRPr="00FF7AA3">
        <w:t>sont</w:t>
      </w:r>
      <w:proofErr w:type="spellEnd"/>
      <w:r w:rsidRPr="00FF7AA3">
        <w:t xml:space="preserve"> pas </w:t>
      </w:r>
      <w:proofErr w:type="spellStart"/>
      <w:r w:rsidRPr="00FF7AA3">
        <w:t>conformes</w:t>
      </w:r>
      <w:proofErr w:type="spellEnd"/>
      <w:r w:rsidRPr="00FF7AA3">
        <w:t xml:space="preserve"> aux prescriptions du 6.8.2.2.10 </w:t>
      </w:r>
      <w:r>
        <w:t>relatives à</w:t>
      </w:r>
      <w:r w:rsidRPr="00FF7AA3">
        <w:t xml:space="preserve"> la </w:t>
      </w:r>
      <w:proofErr w:type="spellStart"/>
      <w:r w:rsidRPr="00FF7AA3">
        <w:t>pression</w:t>
      </w:r>
      <w:proofErr w:type="spellEnd"/>
      <w:r w:rsidRPr="00FF7AA3">
        <w:t xml:space="preserve"> </w:t>
      </w:r>
      <w:proofErr w:type="spellStart"/>
      <w:r w:rsidRPr="00FF7AA3">
        <w:t>nominale</w:t>
      </w:r>
      <w:proofErr w:type="spellEnd"/>
      <w:r w:rsidRPr="00FF7AA3">
        <w:t xml:space="preserve"> du </w:t>
      </w:r>
      <w:proofErr w:type="spellStart"/>
      <w:r w:rsidRPr="00FF7AA3">
        <w:t>disque</w:t>
      </w:r>
      <w:proofErr w:type="spellEnd"/>
      <w:r w:rsidRPr="00FF7AA3">
        <w:t xml:space="preserve"> de rupture </w:t>
      </w:r>
      <w:proofErr w:type="spellStart"/>
      <w:r>
        <w:t>applicables</w:t>
      </w:r>
      <w:proofErr w:type="spellEnd"/>
      <w:r>
        <w:t xml:space="preserve"> à </w:t>
      </w:r>
      <w:proofErr w:type="spellStart"/>
      <w:r>
        <w:t>partir</w:t>
      </w:r>
      <w:proofErr w:type="spellEnd"/>
      <w:r>
        <w:t xml:space="preserve"> du 1</w:t>
      </w:r>
      <w:r w:rsidRPr="00C2682D">
        <w:rPr>
          <w:vertAlign w:val="superscript"/>
        </w:rPr>
        <w:t>er</w:t>
      </w:r>
      <w:r>
        <w:t xml:space="preserve"> </w:t>
      </w:r>
      <w:proofErr w:type="spellStart"/>
      <w:r>
        <w:t>janvier</w:t>
      </w:r>
      <w:proofErr w:type="spellEnd"/>
      <w:r>
        <w:t xml:space="preserve"> 2019 </w:t>
      </w:r>
      <w:proofErr w:type="spellStart"/>
      <w:r w:rsidRPr="00D16CBE">
        <w:t>pourront</w:t>
      </w:r>
      <w:proofErr w:type="spellEnd"/>
      <w:r w:rsidRPr="00D16CBE">
        <w:t xml:space="preserve"> encore </w:t>
      </w:r>
      <w:proofErr w:type="spellStart"/>
      <w:r w:rsidRPr="00D16CBE">
        <w:t>être</w:t>
      </w:r>
      <w:proofErr w:type="spellEnd"/>
      <w:r w:rsidRPr="00FF7AA3">
        <w:t xml:space="preserve"> </w:t>
      </w:r>
      <w:proofErr w:type="spellStart"/>
      <w:r w:rsidRPr="00FF7AA3">
        <w:t>utilisés</w:t>
      </w:r>
      <w:proofErr w:type="spellEnd"/>
      <w:r w:rsidRPr="00FF7AA3">
        <w:t xml:space="preserve"> </w:t>
      </w:r>
      <w:r>
        <w:t>[</w:t>
      </w:r>
      <w:proofErr w:type="spellStart"/>
      <w:r w:rsidRPr="00FF7AA3">
        <w:t>jusqu’au</w:t>
      </w:r>
      <w:proofErr w:type="spellEnd"/>
      <w:r w:rsidRPr="00FF7AA3">
        <w:t xml:space="preserve"> prochain </w:t>
      </w:r>
      <w:proofErr w:type="spellStart"/>
      <w:r w:rsidRPr="00FF7AA3">
        <w:t>contrôle</w:t>
      </w:r>
      <w:proofErr w:type="spellEnd"/>
      <w:r w:rsidRPr="00FF7AA3">
        <w:t xml:space="preserve"> </w:t>
      </w:r>
      <w:proofErr w:type="spellStart"/>
      <w:r w:rsidRPr="00FF7AA3">
        <w:t>périodique</w:t>
      </w:r>
      <w:proofErr w:type="spellEnd"/>
      <w:r>
        <w:t>]</w:t>
      </w:r>
      <w:r w:rsidRPr="00FF7AA3">
        <w:t>.».</w:t>
      </w:r>
    </w:p>
    <w:p w14:paraId="6B22131A" w14:textId="77777777" w:rsidR="0082186B" w:rsidRPr="00FF7AA3" w:rsidRDefault="0082186B" w:rsidP="0082186B">
      <w:pPr>
        <w:pStyle w:val="SingleTxtG"/>
      </w:pPr>
      <w:r w:rsidRPr="00E754BF">
        <w:rPr>
          <w:i/>
          <w:iCs/>
          <w:lang w:val="fr-FR"/>
        </w:rPr>
        <w:t>(</w:t>
      </w:r>
      <w:r w:rsidRPr="00E754BF">
        <w:rPr>
          <w:i/>
        </w:rPr>
        <w:t>Document</w:t>
      </w:r>
      <w:r>
        <w:rPr>
          <w:i/>
        </w:rPr>
        <w:t>s</w:t>
      </w:r>
      <w:r w:rsidRPr="00E754BF">
        <w:rPr>
          <w:i/>
        </w:rPr>
        <w:t xml:space="preserve"> </w:t>
      </w:r>
      <w:r w:rsidRPr="00E754BF">
        <w:rPr>
          <w:i/>
          <w:iCs/>
          <w:lang w:val="fr-FR"/>
        </w:rPr>
        <w:t xml:space="preserve">de référence : </w:t>
      </w:r>
      <w:r>
        <w:rPr>
          <w:i/>
          <w:iCs/>
          <w:lang w:val="fr-FR"/>
        </w:rPr>
        <w:t xml:space="preserve">ECE/TRANS/WP.15/AC.1/2017/17 et </w:t>
      </w:r>
      <w:r w:rsidRPr="00E754BF">
        <w:rPr>
          <w:i/>
          <w:iCs/>
          <w:lang w:val="fr-FR"/>
        </w:rPr>
        <w:t>document informel</w:t>
      </w:r>
      <w:r>
        <w:rPr>
          <w:i/>
          <w:iCs/>
          <w:lang w:val="fr-FR"/>
        </w:rPr>
        <w:t xml:space="preserve"> INF.34</w:t>
      </w:r>
      <w:r w:rsidRPr="00E754BF">
        <w:rPr>
          <w:i/>
          <w:iCs/>
          <w:lang w:val="fr-FR"/>
        </w:rPr>
        <w:t>)</w:t>
      </w:r>
    </w:p>
    <w:p w14:paraId="1543B9FE" w14:textId="77777777" w:rsidR="0082186B" w:rsidRPr="006B724C" w:rsidRDefault="0082186B" w:rsidP="0082186B">
      <w:pPr>
        <w:pStyle w:val="SingleTxtG"/>
      </w:pPr>
      <w:r w:rsidRPr="008A7851">
        <w:t>«</w:t>
      </w:r>
      <w:r w:rsidRPr="00A8569A">
        <w:rPr>
          <w:bCs/>
        </w:rPr>
        <w:t>1.6.4.52</w:t>
      </w:r>
      <w:r>
        <w:rPr>
          <w:b/>
        </w:rPr>
        <w:tab/>
      </w:r>
      <w:r w:rsidRPr="00FF7AA3">
        <w:t xml:space="preserve">Les </w:t>
      </w:r>
      <w:proofErr w:type="spellStart"/>
      <w:r w:rsidRPr="00FF7AA3">
        <w:t>conteneurs-citernes</w:t>
      </w:r>
      <w:proofErr w:type="spellEnd"/>
      <w:r w:rsidRPr="00FF7AA3">
        <w:t xml:space="preserve"> </w:t>
      </w:r>
      <w:proofErr w:type="spellStart"/>
      <w:r w:rsidRPr="00FF7AA3">
        <w:t>construits</w:t>
      </w:r>
      <w:proofErr w:type="spellEnd"/>
      <w:r w:rsidRPr="00D16CBE">
        <w:t xml:space="preserve"> </w:t>
      </w:r>
      <w:proofErr w:type="spellStart"/>
      <w:r w:rsidRPr="00D16CBE">
        <w:t>avant</w:t>
      </w:r>
      <w:proofErr w:type="spellEnd"/>
      <w:r w:rsidRPr="00D16CBE">
        <w:t xml:space="preserve"> le 1</w:t>
      </w:r>
      <w:r w:rsidRPr="00D16CBE">
        <w:rPr>
          <w:vertAlign w:val="superscript"/>
        </w:rPr>
        <w:t>er</w:t>
      </w:r>
      <w:r>
        <w:t> </w:t>
      </w:r>
      <w:proofErr w:type="spellStart"/>
      <w:r w:rsidRPr="00D16CBE">
        <w:t>juillet</w:t>
      </w:r>
      <w:proofErr w:type="spellEnd"/>
      <w:r w:rsidRPr="00D16CBE">
        <w:t xml:space="preserve"> 2019 </w:t>
      </w:r>
      <w:proofErr w:type="spellStart"/>
      <w:r w:rsidRPr="00D16CBE">
        <w:t>conformément</w:t>
      </w:r>
      <w:proofErr w:type="spellEnd"/>
      <w:r w:rsidRPr="00D16CBE">
        <w:t xml:space="preserve"> aux prescriptions </w:t>
      </w:r>
      <w:r>
        <w:t xml:space="preserve">du 6.8.2.2.3 </w:t>
      </w:r>
      <w:proofErr w:type="spellStart"/>
      <w:r>
        <w:t>ap</w:t>
      </w:r>
      <w:r w:rsidRPr="006B724C">
        <w:t>plicables</w:t>
      </w:r>
      <w:proofErr w:type="spellEnd"/>
      <w:r w:rsidRPr="006B724C">
        <w:t xml:space="preserve"> </w:t>
      </w:r>
      <w:proofErr w:type="spellStart"/>
      <w:r w:rsidRPr="006B724C">
        <w:t>jusqu’au</w:t>
      </w:r>
      <w:proofErr w:type="spellEnd"/>
      <w:r w:rsidRPr="006B724C">
        <w:t xml:space="preserve"> 31 </w:t>
      </w:r>
      <w:proofErr w:type="spellStart"/>
      <w:r w:rsidRPr="006B724C">
        <w:t>décembre</w:t>
      </w:r>
      <w:proofErr w:type="spellEnd"/>
      <w:r w:rsidRPr="006B724C">
        <w:t xml:space="preserve"> 2018, </w:t>
      </w:r>
      <w:proofErr w:type="spellStart"/>
      <w:r w:rsidRPr="006B724C">
        <w:t>mais</w:t>
      </w:r>
      <w:proofErr w:type="spellEnd"/>
      <w:r w:rsidRPr="006B724C">
        <w:t xml:space="preserve"> qui ne </w:t>
      </w:r>
      <w:proofErr w:type="spellStart"/>
      <w:r w:rsidRPr="006B724C">
        <w:t>sont</w:t>
      </w:r>
      <w:proofErr w:type="spellEnd"/>
      <w:r w:rsidRPr="006B724C">
        <w:t xml:space="preserve"> pas </w:t>
      </w:r>
      <w:proofErr w:type="spellStart"/>
      <w:r w:rsidRPr="006B724C">
        <w:t>conformes</w:t>
      </w:r>
      <w:proofErr w:type="spellEnd"/>
      <w:r w:rsidRPr="006B724C">
        <w:t xml:space="preserve"> aux prescriptions du </w:t>
      </w:r>
      <w:proofErr w:type="spellStart"/>
      <w:r w:rsidRPr="008819B1">
        <w:t>dernier</w:t>
      </w:r>
      <w:proofErr w:type="spellEnd"/>
      <w:r w:rsidRPr="008819B1">
        <w:t xml:space="preserve"> </w:t>
      </w:r>
      <w:proofErr w:type="spellStart"/>
      <w:r w:rsidRPr="008819B1">
        <w:t>paragraphe</w:t>
      </w:r>
      <w:proofErr w:type="spellEnd"/>
      <w:r w:rsidRPr="006B724C">
        <w:t xml:space="preserve"> du 6.8.2.2.3 relatives aux </w:t>
      </w:r>
      <w:proofErr w:type="spellStart"/>
      <w:r w:rsidRPr="006B724C">
        <w:t>arrête-flammes</w:t>
      </w:r>
      <w:proofErr w:type="spellEnd"/>
      <w:r w:rsidRPr="006B724C">
        <w:t xml:space="preserve"> pour les </w:t>
      </w:r>
      <w:proofErr w:type="spellStart"/>
      <w:r w:rsidRPr="006B724C">
        <w:t>dispositifs</w:t>
      </w:r>
      <w:proofErr w:type="spellEnd"/>
      <w:r w:rsidRPr="006B724C">
        <w:t xml:space="preserve"> de respiration </w:t>
      </w:r>
      <w:proofErr w:type="spellStart"/>
      <w:r w:rsidRPr="006B724C">
        <w:t>applicables</w:t>
      </w:r>
      <w:proofErr w:type="spellEnd"/>
      <w:r w:rsidRPr="006B724C">
        <w:t xml:space="preserve"> à </w:t>
      </w:r>
      <w:proofErr w:type="spellStart"/>
      <w:r w:rsidRPr="006B724C">
        <w:t>partir</w:t>
      </w:r>
      <w:proofErr w:type="spellEnd"/>
      <w:r w:rsidRPr="006B724C">
        <w:t xml:space="preserve"> du 1</w:t>
      </w:r>
      <w:r w:rsidRPr="006B724C">
        <w:rPr>
          <w:vertAlign w:val="superscript"/>
        </w:rPr>
        <w:t>er</w:t>
      </w:r>
      <w:r w:rsidRPr="006B724C">
        <w:t> </w:t>
      </w:r>
      <w:proofErr w:type="spellStart"/>
      <w:r w:rsidRPr="006B724C">
        <w:t>janvier</w:t>
      </w:r>
      <w:proofErr w:type="spellEnd"/>
      <w:r w:rsidRPr="006B724C">
        <w:t xml:space="preserve"> 2019 </w:t>
      </w:r>
      <w:proofErr w:type="spellStart"/>
      <w:r w:rsidRPr="006B724C">
        <w:t>pourront</w:t>
      </w:r>
      <w:proofErr w:type="spellEnd"/>
      <w:r w:rsidRPr="006B724C">
        <w:t xml:space="preserve"> encore </w:t>
      </w:r>
      <w:proofErr w:type="spellStart"/>
      <w:r w:rsidRPr="006B724C">
        <w:t>être</w:t>
      </w:r>
      <w:proofErr w:type="spellEnd"/>
      <w:r w:rsidRPr="006B724C">
        <w:t xml:space="preserve"> </w:t>
      </w:r>
      <w:proofErr w:type="spellStart"/>
      <w:r w:rsidRPr="006B724C">
        <w:t>utilisés</w:t>
      </w:r>
      <w:proofErr w:type="spellEnd"/>
      <w:proofErr w:type="gramStart"/>
      <w:r w:rsidRPr="006B724C">
        <w:t>.»</w:t>
      </w:r>
      <w:proofErr w:type="gramEnd"/>
      <w:r w:rsidRPr="006B724C">
        <w:t>.</w:t>
      </w:r>
    </w:p>
    <w:p w14:paraId="62430E54" w14:textId="77777777" w:rsidR="0082186B" w:rsidRPr="006B724C" w:rsidRDefault="0082186B" w:rsidP="0082186B">
      <w:pPr>
        <w:pStyle w:val="SingleTxtG"/>
        <w:rPr>
          <w:b/>
        </w:rPr>
      </w:pPr>
      <w:r w:rsidRPr="006B724C">
        <w:rPr>
          <w:i/>
          <w:iCs/>
          <w:lang w:val="fr-FR"/>
        </w:rPr>
        <w:t>(</w:t>
      </w:r>
      <w:r w:rsidRPr="006B724C">
        <w:rPr>
          <w:i/>
        </w:rPr>
        <w:t xml:space="preserve">Documents </w:t>
      </w:r>
      <w:r w:rsidRPr="006B724C">
        <w:rPr>
          <w:i/>
          <w:iCs/>
          <w:lang w:val="fr-FR"/>
        </w:rPr>
        <w:t>de référence : ECE/TRANS/WP.15/AC.1/2017/18 et document informel INF.34)</w:t>
      </w:r>
    </w:p>
    <w:p w14:paraId="41898A2D" w14:textId="77777777" w:rsidR="0082186B" w:rsidRDefault="0082186B" w:rsidP="0082186B">
      <w:pPr>
        <w:pStyle w:val="SingleTxtG"/>
      </w:pPr>
      <w:r w:rsidRPr="006B724C">
        <w:t>«</w:t>
      </w:r>
      <w:r w:rsidRPr="00A8569A">
        <w:rPr>
          <w:bCs/>
        </w:rPr>
        <w:t>1.6.4.53</w:t>
      </w:r>
      <w:r w:rsidRPr="006B724C">
        <w:rPr>
          <w:b/>
        </w:rPr>
        <w:tab/>
      </w:r>
      <w:r w:rsidRPr="006B724C">
        <w:t xml:space="preserve">Les </w:t>
      </w:r>
      <w:proofErr w:type="spellStart"/>
      <w:r w:rsidRPr="006B724C">
        <w:t>conteneurs-citernes</w:t>
      </w:r>
      <w:proofErr w:type="spellEnd"/>
      <w:r w:rsidRPr="006B724C">
        <w:t xml:space="preserve"> </w:t>
      </w:r>
      <w:proofErr w:type="spellStart"/>
      <w:r w:rsidRPr="006B724C">
        <w:t>construits</w:t>
      </w:r>
      <w:proofErr w:type="spellEnd"/>
      <w:r w:rsidRPr="006B724C">
        <w:t xml:space="preserve"> </w:t>
      </w:r>
      <w:proofErr w:type="spellStart"/>
      <w:r w:rsidRPr="006B724C">
        <w:t>avant</w:t>
      </w:r>
      <w:proofErr w:type="spellEnd"/>
      <w:r w:rsidRPr="006B724C">
        <w:t xml:space="preserve"> le 1</w:t>
      </w:r>
      <w:r w:rsidRPr="006B724C">
        <w:rPr>
          <w:vertAlign w:val="superscript"/>
        </w:rPr>
        <w:t>er</w:t>
      </w:r>
      <w:r w:rsidRPr="006B724C">
        <w:t> </w:t>
      </w:r>
      <w:proofErr w:type="spellStart"/>
      <w:r w:rsidRPr="006B724C">
        <w:t>juillet</w:t>
      </w:r>
      <w:proofErr w:type="spellEnd"/>
      <w:r w:rsidRPr="006B724C">
        <w:t xml:space="preserve"> 2019 </w:t>
      </w:r>
      <w:proofErr w:type="spellStart"/>
      <w:r w:rsidRPr="006B724C">
        <w:t>conformément</w:t>
      </w:r>
      <w:proofErr w:type="spellEnd"/>
      <w:r w:rsidRPr="006B724C">
        <w:t xml:space="preserve"> aux prescriptions </w:t>
      </w:r>
      <w:proofErr w:type="spellStart"/>
      <w:r w:rsidRPr="006B724C">
        <w:t>applicables</w:t>
      </w:r>
      <w:proofErr w:type="spellEnd"/>
      <w:r w:rsidRPr="006B724C">
        <w:t xml:space="preserve"> </w:t>
      </w:r>
      <w:proofErr w:type="spellStart"/>
      <w:r w:rsidRPr="006B724C">
        <w:t>jusqu’au</w:t>
      </w:r>
      <w:proofErr w:type="spellEnd"/>
      <w:r w:rsidRPr="006B724C">
        <w:t xml:space="preserve"> 31 </w:t>
      </w:r>
      <w:proofErr w:type="spellStart"/>
      <w:r w:rsidRPr="006B724C">
        <w:t>décembre</w:t>
      </w:r>
      <w:proofErr w:type="spellEnd"/>
      <w:r w:rsidRPr="006B724C">
        <w:t xml:space="preserve"> 2018, </w:t>
      </w:r>
      <w:proofErr w:type="spellStart"/>
      <w:r w:rsidRPr="006B724C">
        <w:t>mais</w:t>
      </w:r>
      <w:proofErr w:type="spellEnd"/>
      <w:r w:rsidRPr="006B724C">
        <w:t xml:space="preserve"> qui ne </w:t>
      </w:r>
      <w:proofErr w:type="spellStart"/>
      <w:r w:rsidRPr="006B724C">
        <w:t>sont</w:t>
      </w:r>
      <w:proofErr w:type="spellEnd"/>
      <w:r w:rsidRPr="006B724C">
        <w:t xml:space="preserve"> pas </w:t>
      </w:r>
      <w:proofErr w:type="spellStart"/>
      <w:r w:rsidRPr="006B724C">
        <w:t>conformes</w:t>
      </w:r>
      <w:proofErr w:type="spellEnd"/>
      <w:r w:rsidRPr="006B724C">
        <w:t xml:space="preserve"> aux prescriptions du 6.8.2.1.23 </w:t>
      </w:r>
      <w:proofErr w:type="spellStart"/>
      <w:r w:rsidRPr="006B724C">
        <w:t>en</w:t>
      </w:r>
      <w:proofErr w:type="spellEnd"/>
      <w:r w:rsidRPr="006B724C">
        <w:t xml:space="preserve"> </w:t>
      </w:r>
      <w:proofErr w:type="spellStart"/>
      <w:r w:rsidRPr="006B724C">
        <w:t>ce</w:t>
      </w:r>
      <w:proofErr w:type="spellEnd"/>
      <w:r w:rsidRPr="006B724C">
        <w:t xml:space="preserve"> qui </w:t>
      </w:r>
      <w:proofErr w:type="spellStart"/>
      <w:r w:rsidRPr="006B724C">
        <w:t>concerne</w:t>
      </w:r>
      <w:proofErr w:type="spellEnd"/>
      <w:r w:rsidRPr="006B724C">
        <w:t xml:space="preserve"> le </w:t>
      </w:r>
      <w:proofErr w:type="spellStart"/>
      <w:r w:rsidRPr="006B724C">
        <w:t>contrôle</w:t>
      </w:r>
      <w:proofErr w:type="spellEnd"/>
      <w:r w:rsidRPr="006B724C">
        <w:t xml:space="preserve"> des </w:t>
      </w:r>
      <w:proofErr w:type="spellStart"/>
      <w:r w:rsidRPr="006B724C">
        <w:t>soudures</w:t>
      </w:r>
      <w:proofErr w:type="spellEnd"/>
      <w:r w:rsidRPr="006B724C">
        <w:t xml:space="preserve"> </w:t>
      </w:r>
      <w:proofErr w:type="spellStart"/>
      <w:r w:rsidRPr="006B724C">
        <w:t>dans</w:t>
      </w:r>
      <w:proofErr w:type="spellEnd"/>
      <w:r w:rsidRPr="006B724C">
        <w:t xml:space="preserve"> la </w:t>
      </w:r>
      <w:proofErr w:type="spellStart"/>
      <w:r w:rsidRPr="006B724C">
        <w:t>carre</w:t>
      </w:r>
      <w:proofErr w:type="spellEnd"/>
      <w:r w:rsidRPr="006B724C">
        <w:t xml:space="preserve"> des </w:t>
      </w:r>
      <w:proofErr w:type="spellStart"/>
      <w:r w:rsidRPr="006B724C">
        <w:t>fonds</w:t>
      </w:r>
      <w:proofErr w:type="spellEnd"/>
      <w:r w:rsidRPr="006B724C">
        <w:t xml:space="preserve"> de la </w:t>
      </w:r>
      <w:proofErr w:type="spellStart"/>
      <w:r w:rsidRPr="006B724C">
        <w:t>citerne</w:t>
      </w:r>
      <w:proofErr w:type="spellEnd"/>
      <w:r w:rsidRPr="00951780">
        <w:t xml:space="preserve"> </w:t>
      </w:r>
      <w:proofErr w:type="spellStart"/>
      <w:r w:rsidRPr="00951780">
        <w:t>applicables</w:t>
      </w:r>
      <w:proofErr w:type="spellEnd"/>
      <w:r w:rsidRPr="00951780">
        <w:t xml:space="preserve"> à </w:t>
      </w:r>
      <w:proofErr w:type="spellStart"/>
      <w:r w:rsidRPr="00951780">
        <w:t>partir</w:t>
      </w:r>
      <w:proofErr w:type="spellEnd"/>
      <w:r w:rsidRPr="00951780">
        <w:t xml:space="preserve"> du 1</w:t>
      </w:r>
      <w:r w:rsidRPr="00951780">
        <w:rPr>
          <w:vertAlign w:val="superscript"/>
        </w:rPr>
        <w:t>er</w:t>
      </w:r>
      <w:r w:rsidRPr="00951780">
        <w:t> </w:t>
      </w:r>
      <w:proofErr w:type="spellStart"/>
      <w:r w:rsidRPr="00951780">
        <w:t>janvier</w:t>
      </w:r>
      <w:proofErr w:type="spellEnd"/>
      <w:r w:rsidRPr="00951780">
        <w:t xml:space="preserve"> 2019 </w:t>
      </w:r>
      <w:proofErr w:type="spellStart"/>
      <w:r w:rsidRPr="00951780">
        <w:t>peuvent</w:t>
      </w:r>
      <w:proofErr w:type="spellEnd"/>
      <w:r w:rsidRPr="00951780">
        <w:t xml:space="preserve"> continuer à </w:t>
      </w:r>
      <w:proofErr w:type="spellStart"/>
      <w:r w:rsidRPr="00951780">
        <w:t>être</w:t>
      </w:r>
      <w:proofErr w:type="spellEnd"/>
      <w:r w:rsidRPr="00951780">
        <w:t xml:space="preserve"> </w:t>
      </w:r>
      <w:proofErr w:type="spellStart"/>
      <w:r w:rsidRPr="00FF7AA3">
        <w:t>utilisés</w:t>
      </w:r>
      <w:proofErr w:type="spellEnd"/>
      <w:r w:rsidRPr="00951780">
        <w:t>.».</w:t>
      </w:r>
    </w:p>
    <w:p w14:paraId="5486BC22" w14:textId="77777777" w:rsidR="0082186B" w:rsidRDefault="0082186B" w:rsidP="0082186B">
      <w:pPr>
        <w:pStyle w:val="SingleTxtG"/>
        <w:rPr>
          <w:b/>
        </w:rPr>
      </w:pPr>
      <w:r w:rsidRPr="00E754BF">
        <w:rPr>
          <w:i/>
          <w:iCs/>
          <w:lang w:val="fr-FR"/>
        </w:rPr>
        <w:lastRenderedPageBreak/>
        <w:t>(</w:t>
      </w:r>
      <w:r w:rsidRPr="00E754BF">
        <w:rPr>
          <w:i/>
        </w:rPr>
        <w:t>Document</w:t>
      </w:r>
      <w:r>
        <w:rPr>
          <w:i/>
        </w:rPr>
        <w:t>s</w:t>
      </w:r>
      <w:r w:rsidRPr="00E754BF">
        <w:rPr>
          <w:i/>
        </w:rPr>
        <w:t xml:space="preserve"> </w:t>
      </w:r>
      <w:r w:rsidRPr="00E754BF">
        <w:rPr>
          <w:i/>
          <w:iCs/>
          <w:lang w:val="fr-FR"/>
        </w:rPr>
        <w:t xml:space="preserve">de référence : </w:t>
      </w:r>
      <w:r>
        <w:rPr>
          <w:i/>
          <w:iCs/>
          <w:lang w:val="fr-FR"/>
        </w:rPr>
        <w:t xml:space="preserve">ECE/TRANS/WP.15/AC.1/2017/19 et </w:t>
      </w:r>
      <w:r w:rsidRPr="00E754BF">
        <w:rPr>
          <w:i/>
          <w:iCs/>
          <w:lang w:val="fr-FR"/>
        </w:rPr>
        <w:t>document informel</w:t>
      </w:r>
      <w:r>
        <w:rPr>
          <w:i/>
          <w:iCs/>
          <w:lang w:val="fr-FR"/>
        </w:rPr>
        <w:t xml:space="preserve"> INF.34</w:t>
      </w:r>
      <w:r w:rsidRPr="00E754BF">
        <w:rPr>
          <w:i/>
          <w:iCs/>
          <w:lang w:val="fr-FR"/>
        </w:rPr>
        <w:t>)</w:t>
      </w:r>
    </w:p>
    <w:p w14:paraId="4FEC51BF" w14:textId="77777777" w:rsidR="0082186B" w:rsidRDefault="0082186B" w:rsidP="0082186B">
      <w:pPr>
        <w:pStyle w:val="SingleTxtG"/>
      </w:pPr>
      <w:r w:rsidRPr="008A7851">
        <w:t>«</w:t>
      </w:r>
      <w:r w:rsidRPr="00A8569A">
        <w:rPr>
          <w:bCs/>
        </w:rPr>
        <w:t>1.6.4.54</w:t>
      </w:r>
      <w:r>
        <w:rPr>
          <w:b/>
        </w:rPr>
        <w:tab/>
      </w:r>
      <w:r w:rsidRPr="00FF7AA3">
        <w:t xml:space="preserve">Les </w:t>
      </w:r>
      <w:proofErr w:type="spellStart"/>
      <w:r>
        <w:t>conteneurs-</w:t>
      </w:r>
      <w:r w:rsidRPr="00FF7AA3">
        <w:t>citernes</w:t>
      </w:r>
      <w:proofErr w:type="spellEnd"/>
      <w:r w:rsidRPr="00FF7AA3">
        <w:t xml:space="preserve"> </w:t>
      </w:r>
      <w:proofErr w:type="spellStart"/>
      <w:r>
        <w:t>construits</w:t>
      </w:r>
      <w:proofErr w:type="spellEnd"/>
      <w:r>
        <w:t xml:space="preserve"> </w:t>
      </w:r>
      <w:proofErr w:type="spellStart"/>
      <w:r w:rsidRPr="00951780">
        <w:t>avant</w:t>
      </w:r>
      <w:proofErr w:type="spellEnd"/>
      <w:r w:rsidRPr="00951780">
        <w:t xml:space="preserve"> le 1</w:t>
      </w:r>
      <w:r w:rsidRPr="00951780">
        <w:rPr>
          <w:vertAlign w:val="superscript"/>
        </w:rPr>
        <w:t>er</w:t>
      </w:r>
      <w:r w:rsidRPr="00951780">
        <w:t> </w:t>
      </w:r>
      <w:proofErr w:type="spellStart"/>
      <w:r w:rsidRPr="00951780">
        <w:t>juillet</w:t>
      </w:r>
      <w:proofErr w:type="spellEnd"/>
      <w:r w:rsidRPr="00951780">
        <w:t xml:space="preserve"> 2019 </w:t>
      </w:r>
      <w:proofErr w:type="spellStart"/>
      <w:r w:rsidRPr="00951780">
        <w:t>conformément</w:t>
      </w:r>
      <w:proofErr w:type="spellEnd"/>
      <w:r w:rsidRPr="00951780">
        <w:t xml:space="preserve"> aux prescriptions </w:t>
      </w:r>
      <w:proofErr w:type="spellStart"/>
      <w:r>
        <w:t>applicables</w:t>
      </w:r>
      <w:proofErr w:type="spellEnd"/>
      <w:r w:rsidRPr="00951780">
        <w:t xml:space="preserve"> </w:t>
      </w:r>
      <w:proofErr w:type="spellStart"/>
      <w:r w:rsidRPr="00951780">
        <w:t>jusqu’au</w:t>
      </w:r>
      <w:proofErr w:type="spellEnd"/>
      <w:r w:rsidRPr="00951780">
        <w:t xml:space="preserve"> 31 </w:t>
      </w:r>
      <w:proofErr w:type="spellStart"/>
      <w:r w:rsidRPr="00951780">
        <w:t>décembre</w:t>
      </w:r>
      <w:proofErr w:type="spellEnd"/>
      <w:r w:rsidRPr="00951780">
        <w:t xml:space="preserve"> 2018</w:t>
      </w:r>
      <w:r>
        <w:t>,</w:t>
      </w:r>
      <w:r w:rsidRPr="00951780">
        <w:t xml:space="preserve"> </w:t>
      </w:r>
      <w:proofErr w:type="spellStart"/>
      <w:r w:rsidRPr="00951780">
        <w:t>mais</w:t>
      </w:r>
      <w:proofErr w:type="spellEnd"/>
      <w:r w:rsidRPr="00951780">
        <w:t xml:space="preserve"> qui ne </w:t>
      </w:r>
      <w:proofErr w:type="spellStart"/>
      <w:r w:rsidRPr="00951780">
        <w:t>sont</w:t>
      </w:r>
      <w:proofErr w:type="spellEnd"/>
      <w:r w:rsidRPr="00951780">
        <w:t xml:space="preserve"> pas </w:t>
      </w:r>
      <w:proofErr w:type="spellStart"/>
      <w:r w:rsidRPr="00951780">
        <w:t>conformes</w:t>
      </w:r>
      <w:proofErr w:type="spellEnd"/>
      <w:r>
        <w:t xml:space="preserve"> aux prescriptions du</w:t>
      </w:r>
      <w:r w:rsidRPr="00951780">
        <w:t xml:space="preserve"> 6.8.2.</w:t>
      </w:r>
      <w:r>
        <w:t>2.11</w:t>
      </w:r>
      <w:r w:rsidRPr="00951780">
        <w:t xml:space="preserve"> </w:t>
      </w:r>
      <w:proofErr w:type="spellStart"/>
      <w:r w:rsidRPr="00951780">
        <w:t>applicables</w:t>
      </w:r>
      <w:proofErr w:type="spellEnd"/>
      <w:r w:rsidRPr="00951780">
        <w:t xml:space="preserve"> à </w:t>
      </w:r>
      <w:proofErr w:type="spellStart"/>
      <w:r w:rsidRPr="00951780">
        <w:t>partir</w:t>
      </w:r>
      <w:proofErr w:type="spellEnd"/>
      <w:r w:rsidRPr="00951780">
        <w:t xml:space="preserve"> du 1</w:t>
      </w:r>
      <w:r w:rsidRPr="00951780">
        <w:rPr>
          <w:vertAlign w:val="superscript"/>
        </w:rPr>
        <w:t>er</w:t>
      </w:r>
      <w:r w:rsidRPr="00951780">
        <w:t> </w:t>
      </w:r>
      <w:proofErr w:type="spellStart"/>
      <w:r w:rsidRPr="00951780">
        <w:t>janvier</w:t>
      </w:r>
      <w:proofErr w:type="spellEnd"/>
      <w:r w:rsidRPr="00951780">
        <w:t xml:space="preserve"> 2019 </w:t>
      </w:r>
      <w:proofErr w:type="spellStart"/>
      <w:r w:rsidRPr="00951780">
        <w:t>peuvent</w:t>
      </w:r>
      <w:proofErr w:type="spellEnd"/>
      <w:r w:rsidRPr="00951780">
        <w:t xml:space="preserve"> continuer à </w:t>
      </w:r>
      <w:proofErr w:type="spellStart"/>
      <w:r w:rsidRPr="00951780">
        <w:t>être</w:t>
      </w:r>
      <w:proofErr w:type="spellEnd"/>
      <w:r w:rsidRPr="00951780">
        <w:t xml:space="preserve"> </w:t>
      </w:r>
      <w:proofErr w:type="spellStart"/>
      <w:r w:rsidRPr="00FF7AA3">
        <w:t>utilisés</w:t>
      </w:r>
      <w:proofErr w:type="spellEnd"/>
      <w:r w:rsidRPr="00951780">
        <w:t>.».</w:t>
      </w:r>
    </w:p>
    <w:p w14:paraId="3808EDB8" w14:textId="77777777" w:rsidR="0082186B" w:rsidRDefault="0082186B" w:rsidP="0082186B">
      <w:pPr>
        <w:pStyle w:val="SingleTxtG"/>
        <w:rPr>
          <w:b/>
        </w:rPr>
      </w:pPr>
      <w:r w:rsidRPr="00E754BF">
        <w:rPr>
          <w:i/>
          <w:iCs/>
          <w:lang w:val="fr-FR"/>
        </w:rPr>
        <w:t>(</w:t>
      </w:r>
      <w:r w:rsidRPr="00E754BF">
        <w:rPr>
          <w:i/>
        </w:rPr>
        <w:t xml:space="preserve">Document </w:t>
      </w:r>
      <w:r w:rsidRPr="00E754BF">
        <w:rPr>
          <w:i/>
          <w:iCs/>
          <w:lang w:val="fr-FR"/>
        </w:rPr>
        <w:t>de référence : document informel</w:t>
      </w:r>
      <w:r>
        <w:rPr>
          <w:i/>
          <w:iCs/>
          <w:lang w:val="fr-FR"/>
        </w:rPr>
        <w:t xml:space="preserve"> INF.34</w:t>
      </w:r>
      <w:r w:rsidRPr="00E754BF">
        <w:rPr>
          <w:i/>
          <w:iCs/>
          <w:lang w:val="fr-FR"/>
        </w:rPr>
        <w:t>)</w:t>
      </w:r>
    </w:p>
    <w:p w14:paraId="499483CF" w14:textId="77777777" w:rsidR="0082186B" w:rsidRPr="00C81860" w:rsidRDefault="0082186B" w:rsidP="0082186B">
      <w:pPr>
        <w:pStyle w:val="H1G"/>
      </w:pPr>
      <w:r>
        <w:tab/>
      </w:r>
      <w:r>
        <w:tab/>
      </w:r>
      <w:proofErr w:type="spellStart"/>
      <w:r w:rsidRPr="00C81860">
        <w:t>Chapitre</w:t>
      </w:r>
      <w:proofErr w:type="spellEnd"/>
      <w:r w:rsidRPr="00C81860">
        <w:t xml:space="preserve"> 1.8</w:t>
      </w:r>
    </w:p>
    <w:p w14:paraId="61917F7A" w14:textId="77777777" w:rsidR="0082186B" w:rsidRPr="00941C38" w:rsidRDefault="0082186B" w:rsidP="0082186B">
      <w:pPr>
        <w:pStyle w:val="SingleTxtG"/>
        <w:rPr>
          <w:b/>
        </w:rPr>
      </w:pPr>
      <w:r w:rsidRPr="00941C38">
        <w:t>1.8.3</w:t>
      </w:r>
      <w:r w:rsidRPr="00941C38">
        <w:tab/>
      </w:r>
      <w:r>
        <w:tab/>
      </w:r>
      <w:proofErr w:type="spellStart"/>
      <w:r w:rsidRPr="00941C38">
        <w:t>Insérer</w:t>
      </w:r>
      <w:proofErr w:type="spellEnd"/>
      <w:r w:rsidRPr="00941C38">
        <w:t xml:space="preserve"> la nouvelle sous-section 1.8.3.19 </w:t>
      </w:r>
      <w:proofErr w:type="spellStart"/>
      <w:r w:rsidRPr="00941C38">
        <w:t>suivante</w:t>
      </w:r>
      <w:proofErr w:type="spellEnd"/>
      <w:r w:rsidRPr="00941C38">
        <w:t>:</w:t>
      </w:r>
    </w:p>
    <w:p w14:paraId="25D45F03" w14:textId="77777777" w:rsidR="0082186B" w:rsidRPr="00941C38" w:rsidRDefault="0082186B" w:rsidP="0082186B">
      <w:pPr>
        <w:pStyle w:val="SingleTxtG"/>
      </w:pPr>
      <w:r w:rsidRPr="00941C38">
        <w:t>«1.8.3.19</w:t>
      </w:r>
      <w:r w:rsidRPr="00941C38">
        <w:tab/>
      </w:r>
      <w:r w:rsidRPr="00385292">
        <w:rPr>
          <w:i/>
        </w:rPr>
        <w:t xml:space="preserve">Extension du </w:t>
      </w:r>
      <w:proofErr w:type="spellStart"/>
      <w:r w:rsidRPr="00385292">
        <w:rPr>
          <w:i/>
        </w:rPr>
        <w:t>certificat</w:t>
      </w:r>
      <w:proofErr w:type="spellEnd"/>
    </w:p>
    <w:p w14:paraId="5F4DBAF3" w14:textId="77777777" w:rsidR="0082186B" w:rsidRPr="00941C38" w:rsidRDefault="0082186B" w:rsidP="0082186B">
      <w:pPr>
        <w:pStyle w:val="SingleTxtG"/>
        <w:rPr>
          <w:lang w:val="fr-FR"/>
        </w:rPr>
      </w:pPr>
      <w:proofErr w:type="spellStart"/>
      <w:r w:rsidRPr="00941C38">
        <w:t>Lorsqu’un</w:t>
      </w:r>
      <w:proofErr w:type="spellEnd"/>
      <w:r w:rsidRPr="00941C38">
        <w:t xml:space="preserve"> </w:t>
      </w:r>
      <w:proofErr w:type="spellStart"/>
      <w:r w:rsidRPr="00941C38">
        <w:t>conseiller</w:t>
      </w:r>
      <w:proofErr w:type="spellEnd"/>
      <w:r w:rsidRPr="00941C38">
        <w:t xml:space="preserve"> </w:t>
      </w:r>
      <w:proofErr w:type="spellStart"/>
      <w:r w:rsidRPr="00941C38">
        <w:t>étend</w:t>
      </w:r>
      <w:proofErr w:type="spellEnd"/>
      <w:r w:rsidRPr="00941C38">
        <w:t xml:space="preserve"> le champ </w:t>
      </w:r>
      <w:proofErr w:type="spellStart"/>
      <w:r w:rsidRPr="00941C38">
        <w:t>d’application</w:t>
      </w:r>
      <w:proofErr w:type="spellEnd"/>
      <w:r w:rsidRPr="00941C38">
        <w:t xml:space="preserve"> de son </w:t>
      </w:r>
      <w:proofErr w:type="spellStart"/>
      <w:r w:rsidRPr="00941C38">
        <w:t>certificat</w:t>
      </w:r>
      <w:proofErr w:type="spellEnd"/>
      <w:r w:rsidRPr="00941C38">
        <w:t xml:space="preserve"> pendant </w:t>
      </w:r>
      <w:proofErr w:type="spellStart"/>
      <w:r w:rsidRPr="00941C38">
        <w:t>sa</w:t>
      </w:r>
      <w:proofErr w:type="spellEnd"/>
      <w:r w:rsidRPr="00941C38">
        <w:t xml:space="preserve"> </w:t>
      </w:r>
      <w:proofErr w:type="spellStart"/>
      <w:r w:rsidRPr="00941C38">
        <w:t>durée</w:t>
      </w:r>
      <w:proofErr w:type="spellEnd"/>
      <w:r w:rsidRPr="00941C38">
        <w:t xml:space="preserve"> de</w:t>
      </w:r>
      <w:r w:rsidRPr="00941C38">
        <w:rPr>
          <w:lang w:val="fr-FR"/>
        </w:rPr>
        <w:t xml:space="preserve"> validité, en répondant aux prescriptions du 1.8.3.16.2, la durée de validité du nouveau certificat reste celle du certificat précédent</w:t>
      </w:r>
      <w:proofErr w:type="gramStart"/>
      <w:r w:rsidRPr="00941C38">
        <w:rPr>
          <w:lang w:val="fr-FR"/>
        </w:rPr>
        <w:t>.»</w:t>
      </w:r>
      <w:proofErr w:type="gramEnd"/>
      <w:r w:rsidRPr="00941C38">
        <w:rPr>
          <w:lang w:val="fr-FR"/>
        </w:rPr>
        <w:t>.</w:t>
      </w:r>
    </w:p>
    <w:p w14:paraId="4409D358" w14:textId="77777777" w:rsidR="0082186B" w:rsidRDefault="0082186B" w:rsidP="0082186B">
      <w:pPr>
        <w:pStyle w:val="SingleTxtG"/>
        <w:rPr>
          <w:i/>
          <w:iCs/>
          <w:lang w:val="fr-FR"/>
        </w:rPr>
      </w:pPr>
      <w:r w:rsidRPr="00941C38">
        <w:rPr>
          <w:i/>
          <w:iCs/>
          <w:lang w:val="fr-FR"/>
        </w:rPr>
        <w:t>(</w:t>
      </w:r>
      <w:r w:rsidRPr="00941C38">
        <w:rPr>
          <w:i/>
        </w:rPr>
        <w:t xml:space="preserve">Document </w:t>
      </w:r>
      <w:r w:rsidRPr="00941C38">
        <w:rPr>
          <w:i/>
          <w:iCs/>
          <w:lang w:val="fr-FR"/>
        </w:rPr>
        <w:t>de référence: ECE/TRANS/WP.15/AC.1/2017/5)</w:t>
      </w:r>
    </w:p>
    <w:p w14:paraId="47FDB35B" w14:textId="77777777" w:rsidR="0082186B" w:rsidRPr="00C81860" w:rsidRDefault="0082186B" w:rsidP="0082186B">
      <w:pPr>
        <w:pStyle w:val="H1G"/>
      </w:pPr>
      <w:r>
        <w:tab/>
      </w:r>
      <w:r>
        <w:tab/>
      </w:r>
      <w:proofErr w:type="spellStart"/>
      <w:r w:rsidRPr="00C81860">
        <w:t>Chapitre</w:t>
      </w:r>
      <w:proofErr w:type="spellEnd"/>
      <w:r w:rsidRPr="00C81860">
        <w:t xml:space="preserve"> 3.2</w:t>
      </w:r>
    </w:p>
    <w:p w14:paraId="6AD68279" w14:textId="77777777" w:rsidR="0082186B" w:rsidRPr="00DC6778" w:rsidRDefault="0082186B" w:rsidP="0082186B">
      <w:pPr>
        <w:pStyle w:val="SingleTxtG"/>
      </w:pPr>
      <w:r w:rsidRPr="00DC6778">
        <w:t>3.2.1</w:t>
      </w:r>
      <w:r w:rsidRPr="00DC6778">
        <w:tab/>
      </w:r>
      <w:proofErr w:type="spellStart"/>
      <w:r w:rsidRPr="00DC6778">
        <w:t>Dans</w:t>
      </w:r>
      <w:proofErr w:type="spellEnd"/>
      <w:r w:rsidRPr="00DC6778">
        <w:t xml:space="preserve"> la note </w:t>
      </w:r>
      <w:r w:rsidRPr="00DC6778">
        <w:rPr>
          <w:snapToGrid w:val="0"/>
          <w:lang w:val="fr-FR"/>
        </w:rPr>
        <w:t>explicative</w:t>
      </w:r>
      <w:r w:rsidRPr="00DC6778">
        <w:t xml:space="preserve"> relative à la </w:t>
      </w:r>
      <w:proofErr w:type="spellStart"/>
      <w:r w:rsidRPr="00DC6778">
        <w:t>colonne</w:t>
      </w:r>
      <w:proofErr w:type="spellEnd"/>
      <w:r w:rsidRPr="00DC6778">
        <w:t xml:space="preserve"> (9a), au </w:t>
      </w:r>
      <w:proofErr w:type="spellStart"/>
      <w:r w:rsidRPr="00DC6778">
        <w:t>troisième</w:t>
      </w:r>
      <w:proofErr w:type="spellEnd"/>
      <w:r w:rsidRPr="00DC6778">
        <w:t xml:space="preserve"> </w:t>
      </w:r>
      <w:proofErr w:type="spellStart"/>
      <w:r w:rsidRPr="00DC6778">
        <w:t>tiret</w:t>
      </w:r>
      <w:proofErr w:type="spellEnd"/>
      <w:r w:rsidRPr="00DC6778">
        <w:t xml:space="preserve">, après «la </w:t>
      </w:r>
      <w:proofErr w:type="spellStart"/>
      <w:r w:rsidRPr="00DC6778">
        <w:t>lettre</w:t>
      </w:r>
      <w:proofErr w:type="spellEnd"/>
      <w:r w:rsidRPr="00DC6778">
        <w:t xml:space="preserve"> «L»», </w:t>
      </w:r>
      <w:proofErr w:type="spellStart"/>
      <w:r w:rsidRPr="00DC6778">
        <w:t>insérer</w:t>
      </w:r>
      <w:proofErr w:type="spellEnd"/>
      <w:r w:rsidRPr="00DC6778">
        <w:t>:</w:t>
      </w:r>
      <w:r>
        <w:t xml:space="preserve"> </w:t>
      </w:r>
      <w:r w:rsidRPr="00DC6778">
        <w:t>«</w:t>
      </w:r>
      <w:proofErr w:type="spellStart"/>
      <w:r w:rsidRPr="00DC6778">
        <w:t>ou</w:t>
      </w:r>
      <w:proofErr w:type="spellEnd"/>
      <w:r w:rsidRPr="00DC6778">
        <w:t xml:space="preserve"> les </w:t>
      </w:r>
      <w:proofErr w:type="spellStart"/>
      <w:r w:rsidRPr="00DC6778">
        <w:t>lettres</w:t>
      </w:r>
      <w:proofErr w:type="spellEnd"/>
      <w:r w:rsidRPr="00DC6778">
        <w:t xml:space="preserve"> «LL»» (</w:t>
      </w:r>
      <w:proofErr w:type="spellStart"/>
      <w:r w:rsidRPr="00DC6778">
        <w:t>deux</w:t>
      </w:r>
      <w:proofErr w:type="spellEnd"/>
      <w:r w:rsidRPr="00DC6778">
        <w:t xml:space="preserve"> </w:t>
      </w:r>
      <w:proofErr w:type="spellStart"/>
      <w:r w:rsidRPr="00DC6778">
        <w:t>fois</w:t>
      </w:r>
      <w:proofErr w:type="spellEnd"/>
      <w:r w:rsidRPr="00DC6778">
        <w:t>).</w:t>
      </w:r>
    </w:p>
    <w:p w14:paraId="425842AF" w14:textId="77777777" w:rsidR="0082186B" w:rsidRPr="00DC6778" w:rsidRDefault="0082186B" w:rsidP="0082186B">
      <w:pPr>
        <w:pStyle w:val="SingleTxtG"/>
      </w:pPr>
      <w:r w:rsidRPr="008819B1">
        <w:rPr>
          <w:i/>
          <w:iCs/>
          <w:lang w:val="fr-FR"/>
        </w:rPr>
        <w:t>(</w:t>
      </w:r>
      <w:r w:rsidRPr="008819B1">
        <w:rPr>
          <w:i/>
        </w:rPr>
        <w:t xml:space="preserve">Document </w:t>
      </w:r>
      <w:r w:rsidRPr="008819B1">
        <w:rPr>
          <w:i/>
          <w:iCs/>
          <w:lang w:val="fr-FR"/>
        </w:rPr>
        <w:t>de référence : ECE/TRANS/WP.15/AC.1/2017/7)</w:t>
      </w:r>
    </w:p>
    <w:p w14:paraId="4F030E9D" w14:textId="77777777" w:rsidR="0082186B" w:rsidRDefault="0082186B" w:rsidP="0082186B">
      <w:pPr>
        <w:pStyle w:val="SingleTxtG"/>
      </w:pPr>
      <w:r w:rsidRPr="00F82598">
        <w:rPr>
          <w:b/>
          <w:bCs/>
        </w:rPr>
        <w:t>Tableau A</w:t>
      </w:r>
      <w:r w:rsidRPr="00DC6778">
        <w:tab/>
      </w:r>
    </w:p>
    <w:p w14:paraId="43546B1C" w14:textId="77777777" w:rsidR="0082186B" w:rsidRPr="00DC6778" w:rsidRDefault="0082186B" w:rsidP="0082186B">
      <w:pPr>
        <w:pStyle w:val="SingleTxtG"/>
      </w:pPr>
      <w:r w:rsidRPr="00DC6778">
        <w:t>Pour le No ONU 0509</w:t>
      </w:r>
      <w:r>
        <w:t xml:space="preserve">, </w:t>
      </w:r>
      <w:proofErr w:type="spellStart"/>
      <w:r>
        <w:t>dans</w:t>
      </w:r>
      <w:proofErr w:type="spellEnd"/>
      <w:r>
        <w:t xml:space="preserve"> la </w:t>
      </w:r>
      <w:proofErr w:type="spellStart"/>
      <w:r>
        <w:t>colonne</w:t>
      </w:r>
      <w:proofErr w:type="spellEnd"/>
      <w:r>
        <w:t xml:space="preserve"> (9b), </w:t>
      </w:r>
      <w:proofErr w:type="spellStart"/>
      <w:r>
        <w:t>ajouter</w:t>
      </w:r>
      <w:proofErr w:type="spellEnd"/>
      <w:r w:rsidRPr="00DC6778">
        <w:t>:</w:t>
      </w:r>
      <w:r>
        <w:t xml:space="preserve"> </w:t>
      </w:r>
      <w:r w:rsidRPr="00DC6778">
        <w:t>«MP24».</w:t>
      </w:r>
    </w:p>
    <w:p w14:paraId="189DF55B" w14:textId="77777777" w:rsidR="0082186B" w:rsidRPr="00DC6778" w:rsidRDefault="0082186B" w:rsidP="0082186B">
      <w:pPr>
        <w:pStyle w:val="SingleTxtG"/>
      </w:pPr>
      <w:r w:rsidRPr="00DC6778">
        <w:rPr>
          <w:i/>
          <w:iCs/>
          <w:lang w:val="fr-FR"/>
        </w:rPr>
        <w:t>(</w:t>
      </w:r>
      <w:r w:rsidRPr="00DC6778">
        <w:rPr>
          <w:i/>
        </w:rPr>
        <w:t xml:space="preserve">Document </w:t>
      </w:r>
      <w:r w:rsidRPr="00DC6778">
        <w:rPr>
          <w:i/>
          <w:iCs/>
          <w:lang w:val="fr-FR"/>
        </w:rPr>
        <w:t>de référence: document informel INF.10)</w:t>
      </w:r>
    </w:p>
    <w:p w14:paraId="7EDA51E9" w14:textId="77777777" w:rsidR="0082186B" w:rsidRPr="00E754BF" w:rsidRDefault="0082186B" w:rsidP="0082186B">
      <w:pPr>
        <w:pStyle w:val="H1G"/>
      </w:pPr>
      <w:r>
        <w:tab/>
      </w:r>
      <w:r>
        <w:tab/>
      </w:r>
      <w:proofErr w:type="spellStart"/>
      <w:r w:rsidRPr="00E754BF">
        <w:t>Chapitre</w:t>
      </w:r>
      <w:proofErr w:type="spellEnd"/>
      <w:r w:rsidRPr="00E754BF">
        <w:t xml:space="preserve"> 3.3</w:t>
      </w:r>
    </w:p>
    <w:p w14:paraId="18855E25" w14:textId="77777777" w:rsidR="0082186B" w:rsidRPr="00E754BF" w:rsidRDefault="0082186B" w:rsidP="0082186B">
      <w:pPr>
        <w:pStyle w:val="SingleTxtG"/>
      </w:pPr>
      <w:r w:rsidRPr="00E754BF">
        <w:t>D</w:t>
      </w:r>
      <w:r>
        <w:t xml:space="preserve">isposition </w:t>
      </w:r>
      <w:proofErr w:type="spellStart"/>
      <w:r>
        <w:t>spéciale</w:t>
      </w:r>
      <w:proofErr w:type="spellEnd"/>
      <w:r w:rsidRPr="00E754BF">
        <w:t> 250</w:t>
      </w:r>
      <w:r w:rsidRPr="00E754BF">
        <w:tab/>
        <w:t xml:space="preserve">À </w:t>
      </w:r>
      <w:proofErr w:type="spellStart"/>
      <w:r w:rsidRPr="00E754BF">
        <w:t>l’alinéa</w:t>
      </w:r>
      <w:proofErr w:type="spellEnd"/>
      <w:r w:rsidRPr="00E754BF">
        <w:t xml:space="preserve"> a), </w:t>
      </w:r>
      <w:proofErr w:type="spellStart"/>
      <w:r w:rsidRPr="00E754BF">
        <w:t>supprimer</w:t>
      </w:r>
      <w:proofErr w:type="spellEnd"/>
      <w:r w:rsidRPr="00E754BF">
        <w:t>:</w:t>
      </w:r>
      <w:r>
        <w:t xml:space="preserve"> </w:t>
      </w:r>
      <w:proofErr w:type="gramStart"/>
      <w:r w:rsidRPr="00E754BF">
        <w:t>«(</w:t>
      </w:r>
      <w:proofErr w:type="spellStart"/>
      <w:proofErr w:type="gramEnd"/>
      <w:r w:rsidRPr="00E754BF">
        <w:t>voi</w:t>
      </w:r>
      <w:r>
        <w:t>r</w:t>
      </w:r>
      <w:proofErr w:type="spellEnd"/>
      <w:r>
        <w:t xml:space="preserve"> Tableau S-3-8 du </w:t>
      </w:r>
      <w:proofErr w:type="spellStart"/>
      <w:r>
        <w:t>supplément</w:t>
      </w:r>
      <w:proofErr w:type="spellEnd"/>
      <w:r>
        <w:t>)</w:t>
      </w:r>
      <w:r w:rsidRPr="00E754BF">
        <w:t>».</w:t>
      </w:r>
    </w:p>
    <w:p w14:paraId="4F7966B7" w14:textId="77777777" w:rsidR="0082186B" w:rsidRPr="002E222D" w:rsidRDefault="0082186B" w:rsidP="0082186B">
      <w:pPr>
        <w:pStyle w:val="SingleTxtG"/>
      </w:pPr>
      <w:r w:rsidRPr="00E754BF">
        <w:rPr>
          <w:i/>
          <w:iCs/>
          <w:lang w:val="fr-FR"/>
        </w:rPr>
        <w:t>(</w:t>
      </w:r>
      <w:r w:rsidRPr="00E754BF">
        <w:rPr>
          <w:i/>
        </w:rPr>
        <w:t>Document</w:t>
      </w:r>
      <w:r>
        <w:rPr>
          <w:i/>
        </w:rPr>
        <w:t>s</w:t>
      </w:r>
      <w:r w:rsidRPr="00E754BF">
        <w:rPr>
          <w:i/>
        </w:rPr>
        <w:t xml:space="preserve"> </w:t>
      </w:r>
      <w:r w:rsidRPr="00E754BF">
        <w:rPr>
          <w:i/>
          <w:iCs/>
          <w:lang w:val="fr-FR"/>
        </w:rPr>
        <w:t>de référence: document</w:t>
      </w:r>
      <w:r>
        <w:rPr>
          <w:i/>
          <w:iCs/>
          <w:lang w:val="fr-FR"/>
        </w:rPr>
        <w:t>s</w:t>
      </w:r>
      <w:r w:rsidRPr="00E754BF">
        <w:rPr>
          <w:i/>
          <w:iCs/>
          <w:lang w:val="fr-FR"/>
        </w:rPr>
        <w:t xml:space="preserve"> informel</w:t>
      </w:r>
      <w:r>
        <w:rPr>
          <w:i/>
          <w:iCs/>
          <w:lang w:val="fr-FR"/>
        </w:rPr>
        <w:t>s INF.21 et</w:t>
      </w:r>
      <w:r w:rsidRPr="00E754BF">
        <w:rPr>
          <w:i/>
          <w:iCs/>
          <w:lang w:val="fr-FR"/>
        </w:rPr>
        <w:t xml:space="preserve"> INF.31)</w:t>
      </w:r>
    </w:p>
    <w:p w14:paraId="7F6659F0" w14:textId="77777777" w:rsidR="0082186B" w:rsidRDefault="0082186B" w:rsidP="0082186B">
      <w:pPr>
        <w:pStyle w:val="H1G"/>
      </w:pPr>
      <w:r>
        <w:tab/>
      </w:r>
      <w:r>
        <w:tab/>
      </w:r>
      <w:proofErr w:type="spellStart"/>
      <w:r>
        <w:t>Chapitre</w:t>
      </w:r>
      <w:proofErr w:type="spellEnd"/>
      <w:r>
        <w:t xml:space="preserve"> 4.1</w:t>
      </w:r>
    </w:p>
    <w:p w14:paraId="149535C4" w14:textId="77777777" w:rsidR="0082186B" w:rsidRDefault="0082186B" w:rsidP="0082186B">
      <w:pPr>
        <w:pStyle w:val="SingleTxtG"/>
        <w:rPr>
          <w:lang w:val="fr-FR"/>
        </w:rPr>
      </w:pPr>
      <w:r w:rsidRPr="005F62CA">
        <w:rPr>
          <w:bCs/>
        </w:rPr>
        <w:t>4.1.4.1, P 200</w:t>
      </w:r>
      <w:r w:rsidRPr="005F62CA">
        <w:rPr>
          <w:bCs/>
        </w:rPr>
        <w:tab/>
      </w:r>
      <w:r>
        <w:rPr>
          <w:b/>
        </w:rPr>
        <w:tab/>
      </w:r>
      <w:r w:rsidRPr="00C20CCF">
        <w:t xml:space="preserve">Au </w:t>
      </w:r>
      <w:proofErr w:type="spellStart"/>
      <w:r w:rsidRPr="00C20CCF">
        <w:t>paragraphe</w:t>
      </w:r>
      <w:proofErr w:type="spellEnd"/>
      <w:r w:rsidRPr="00C20CCF">
        <w:t xml:space="preserve"> (11), </w:t>
      </w:r>
      <w:proofErr w:type="spellStart"/>
      <w:r w:rsidRPr="00C20CCF">
        <w:t>dans</w:t>
      </w:r>
      <w:proofErr w:type="spellEnd"/>
      <w:r w:rsidRPr="00C20CCF">
        <w:t xml:space="preserve"> le tableau,</w:t>
      </w:r>
      <w:r>
        <w:t xml:space="preserve"> </w:t>
      </w:r>
      <w:proofErr w:type="spellStart"/>
      <w:r>
        <w:t>dans</w:t>
      </w:r>
      <w:proofErr w:type="spellEnd"/>
      <w:r>
        <w:t xml:space="preserve"> la </w:t>
      </w:r>
      <w:proofErr w:type="spellStart"/>
      <w:r>
        <w:t>deuxième</w:t>
      </w:r>
      <w:proofErr w:type="spellEnd"/>
      <w:r>
        <w:t xml:space="preserve"> </w:t>
      </w:r>
      <w:proofErr w:type="spellStart"/>
      <w:r>
        <w:t>colonne</w:t>
      </w:r>
      <w:proofErr w:type="spellEnd"/>
      <w:r>
        <w:t xml:space="preserve">, </w:t>
      </w:r>
      <w:proofErr w:type="spellStart"/>
      <w:r>
        <w:t>remplacer</w:t>
      </w:r>
      <w:proofErr w:type="spellEnd"/>
      <w:r>
        <w:t xml:space="preserve"> «EN 1439:2008 </w:t>
      </w:r>
      <w:r w:rsidRPr="0015386C">
        <w:rPr>
          <w:rFonts w:cs="Arial"/>
          <w:bCs/>
          <w:szCs w:val="18"/>
          <w:lang w:val="fr-FR"/>
        </w:rPr>
        <w:t>(sauf 3.5 et Annexe G</w:t>
      </w:r>
      <w:proofErr w:type="gramStart"/>
      <w:r w:rsidRPr="0015386C">
        <w:rPr>
          <w:rFonts w:cs="Arial"/>
          <w:bCs/>
          <w:szCs w:val="18"/>
          <w:lang w:val="fr-FR"/>
        </w:rPr>
        <w:t>)</w:t>
      </w:r>
      <w:r>
        <w:rPr>
          <w:rFonts w:cs="Arial"/>
          <w:bCs/>
          <w:szCs w:val="18"/>
          <w:lang w:val="fr-FR"/>
        </w:rPr>
        <w:t>»</w:t>
      </w:r>
      <w:proofErr w:type="gramEnd"/>
      <w:r>
        <w:rPr>
          <w:rFonts w:cs="Arial"/>
          <w:bCs/>
          <w:szCs w:val="18"/>
          <w:lang w:val="fr-FR"/>
        </w:rPr>
        <w:t xml:space="preserve"> par: </w:t>
      </w:r>
      <w:r w:rsidRPr="00B84BAD">
        <w:rPr>
          <w:lang w:val="fr-FR"/>
        </w:rPr>
        <w:t>«EN 1439:[2017]».</w:t>
      </w:r>
    </w:p>
    <w:p w14:paraId="3B3C5122" w14:textId="77777777" w:rsidR="0082186B" w:rsidRDefault="0082186B" w:rsidP="0082186B">
      <w:pPr>
        <w:pStyle w:val="SingleTxtG"/>
        <w:rPr>
          <w:lang w:val="fr-FR"/>
        </w:rPr>
      </w:pPr>
      <w:r w:rsidRPr="00E754BF">
        <w:rPr>
          <w:i/>
          <w:iCs/>
          <w:lang w:val="fr-FR"/>
        </w:rPr>
        <w:t>(</w:t>
      </w:r>
      <w:r w:rsidRPr="00E754BF">
        <w:rPr>
          <w:i/>
        </w:rPr>
        <w:t xml:space="preserve">Document </w:t>
      </w:r>
      <w:r>
        <w:rPr>
          <w:i/>
          <w:iCs/>
          <w:lang w:val="fr-FR"/>
        </w:rPr>
        <w:t>de référence</w:t>
      </w:r>
      <w:r w:rsidRPr="00E754BF">
        <w:rPr>
          <w:i/>
          <w:iCs/>
          <w:lang w:val="fr-FR"/>
        </w:rPr>
        <w:t>: document informel INF.3</w:t>
      </w:r>
      <w:r>
        <w:rPr>
          <w:i/>
          <w:iCs/>
          <w:lang w:val="fr-FR"/>
        </w:rPr>
        <w:t>0</w:t>
      </w:r>
      <w:r w:rsidRPr="00E754BF">
        <w:rPr>
          <w:i/>
          <w:iCs/>
          <w:lang w:val="fr-FR"/>
        </w:rPr>
        <w:t>)</w:t>
      </w:r>
    </w:p>
    <w:p w14:paraId="14015048" w14:textId="77777777" w:rsidR="0082186B" w:rsidRDefault="0082186B" w:rsidP="0082186B">
      <w:pPr>
        <w:pStyle w:val="SingleTxtG"/>
        <w:rPr>
          <w:lang w:val="fr-FR"/>
        </w:rPr>
      </w:pPr>
      <w:r>
        <w:t>4.1.4.1, P200</w:t>
      </w:r>
      <w:r>
        <w:tab/>
      </w:r>
      <w:r>
        <w:tab/>
      </w:r>
      <w:r w:rsidRPr="00C20CCF">
        <w:t xml:space="preserve">Au </w:t>
      </w:r>
      <w:proofErr w:type="spellStart"/>
      <w:r w:rsidRPr="00C20CCF">
        <w:t>paragraphe</w:t>
      </w:r>
      <w:proofErr w:type="spellEnd"/>
      <w:r w:rsidRPr="00C20CCF">
        <w:t xml:space="preserve"> (11), </w:t>
      </w:r>
      <w:proofErr w:type="spellStart"/>
      <w:r w:rsidRPr="00C20CCF">
        <w:t>dans</w:t>
      </w:r>
      <w:proofErr w:type="spellEnd"/>
      <w:r w:rsidRPr="00C20CCF">
        <w:t xml:space="preserve"> le tableau,</w:t>
      </w:r>
      <w:r>
        <w:t xml:space="preserve"> a</w:t>
      </w:r>
      <w:r>
        <w:rPr>
          <w:lang w:val="fr-FR"/>
        </w:rPr>
        <w:t xml:space="preserve">près la ligne pour la norme </w:t>
      </w:r>
      <w:r w:rsidRPr="00B84BAD">
        <w:rPr>
          <w:lang w:val="fr-FR"/>
        </w:rPr>
        <w:t>«EN 1439</w:t>
      </w:r>
      <w:proofErr w:type="gramStart"/>
      <w:r w:rsidRPr="00B84BAD">
        <w:rPr>
          <w:lang w:val="fr-FR"/>
        </w:rPr>
        <w:t>:[</w:t>
      </w:r>
      <w:proofErr w:type="gramEnd"/>
      <w:r w:rsidRPr="00B84BAD">
        <w:rPr>
          <w:lang w:val="fr-FR"/>
        </w:rPr>
        <w:t>2017]»</w:t>
      </w:r>
      <w:r>
        <w:rPr>
          <w:lang w:val="fr-FR"/>
        </w:rPr>
        <w:t>, insérer la nouvelle ligne suivante:</w:t>
      </w:r>
    </w:p>
    <w:p w14:paraId="1171A636" w14:textId="77777777" w:rsidR="0082186B" w:rsidRDefault="0082186B" w:rsidP="0082186B">
      <w:pPr>
        <w:pStyle w:val="SingleTxtG"/>
        <w:rPr>
          <w:lang w:val="fr-FR"/>
        </w:rPr>
      </w:pPr>
      <w:r>
        <w:rPr>
          <w:lang w:val="fr-FR"/>
        </w:rPr>
        <w:t>(RID:)</w:t>
      </w:r>
    </w:p>
    <w:tbl>
      <w:tblPr>
        <w:tblStyle w:val="TableGrid"/>
        <w:tblW w:w="8505" w:type="dxa"/>
        <w:tblInd w:w="998" w:type="dxa"/>
        <w:tblLook w:val="04A0" w:firstRow="1" w:lastRow="0" w:firstColumn="1" w:lastColumn="0" w:noHBand="0" w:noVBand="1"/>
      </w:tblPr>
      <w:tblGrid>
        <w:gridCol w:w="1984"/>
        <w:gridCol w:w="2313"/>
        <w:gridCol w:w="4208"/>
      </w:tblGrid>
      <w:tr w:rsidR="0082186B" w14:paraId="41590EFD" w14:textId="77777777" w:rsidTr="002068EF">
        <w:tc>
          <w:tcPr>
            <w:tcW w:w="1984" w:type="dxa"/>
          </w:tcPr>
          <w:p w14:paraId="5002271B" w14:textId="77777777" w:rsidR="0082186B" w:rsidRDefault="0082186B" w:rsidP="002068EF">
            <w:pPr>
              <w:spacing w:before="120" w:after="120" w:line="240" w:lineRule="auto"/>
              <w:ind w:left="141"/>
              <w:rPr>
                <w:lang w:val="fr-FR"/>
              </w:rPr>
            </w:pPr>
            <w:r>
              <w:rPr>
                <w:lang w:val="fr-FR"/>
              </w:rPr>
              <w:t>(7)</w:t>
            </w:r>
          </w:p>
        </w:tc>
        <w:tc>
          <w:tcPr>
            <w:tcW w:w="2313" w:type="dxa"/>
          </w:tcPr>
          <w:p w14:paraId="7DA30734" w14:textId="77777777" w:rsidR="0082186B" w:rsidRDefault="0082186B" w:rsidP="002068EF">
            <w:pPr>
              <w:spacing w:before="120" w:after="120" w:line="240" w:lineRule="auto"/>
              <w:ind w:left="142"/>
              <w:rPr>
                <w:lang w:val="fr-FR"/>
              </w:rPr>
            </w:pPr>
            <w:r>
              <w:rPr>
                <w:lang w:val="fr-FR"/>
              </w:rPr>
              <w:t>EN 13952:[2017]</w:t>
            </w:r>
          </w:p>
        </w:tc>
        <w:tc>
          <w:tcPr>
            <w:tcW w:w="4208" w:type="dxa"/>
          </w:tcPr>
          <w:p w14:paraId="72585245" w14:textId="77777777" w:rsidR="0082186B" w:rsidRDefault="0082186B" w:rsidP="002068EF">
            <w:pPr>
              <w:spacing w:before="120" w:after="120" w:line="240" w:lineRule="auto"/>
              <w:ind w:left="97"/>
              <w:rPr>
                <w:lang w:val="fr-FR"/>
              </w:rPr>
            </w:pPr>
            <w:r>
              <w:rPr>
                <w:lang w:val="fr-FR"/>
              </w:rPr>
              <w:t xml:space="preserve">Équipement GPL et leurs accessoires </w:t>
            </w:r>
            <w:r w:rsidRPr="00F027C3">
              <w:rPr>
                <w:rFonts w:cs="Arial"/>
                <w:bCs/>
                <w:lang w:val="fr-FR"/>
              </w:rPr>
              <w:t>−</w:t>
            </w:r>
            <w:r>
              <w:rPr>
                <w:lang w:val="fr-FR"/>
              </w:rPr>
              <w:t xml:space="preserve"> </w:t>
            </w:r>
            <w:r w:rsidRPr="00C34B61">
              <w:t>Procédures de remplissage des bouteilles de GPL</w:t>
            </w:r>
          </w:p>
        </w:tc>
      </w:tr>
    </w:tbl>
    <w:p w14:paraId="10A0C55F" w14:textId="77777777" w:rsidR="0082186B" w:rsidRDefault="0082186B" w:rsidP="0082186B">
      <w:pPr>
        <w:pStyle w:val="SingleTxtG"/>
        <w:spacing w:before="120"/>
        <w:rPr>
          <w:lang w:val="fr-FR"/>
        </w:rPr>
      </w:pPr>
      <w:r>
        <w:rPr>
          <w:lang w:val="fr-FR"/>
        </w:rPr>
        <w:t>(ADR:)</w:t>
      </w:r>
    </w:p>
    <w:tbl>
      <w:tblPr>
        <w:tblStyle w:val="TableGrid"/>
        <w:tblW w:w="8505" w:type="dxa"/>
        <w:tblInd w:w="998" w:type="dxa"/>
        <w:tblLook w:val="04A0" w:firstRow="1" w:lastRow="0" w:firstColumn="1" w:lastColumn="0" w:noHBand="0" w:noVBand="1"/>
      </w:tblPr>
      <w:tblGrid>
        <w:gridCol w:w="1984"/>
        <w:gridCol w:w="2313"/>
        <w:gridCol w:w="4208"/>
      </w:tblGrid>
      <w:tr w:rsidR="0082186B" w14:paraId="785D9715" w14:textId="77777777" w:rsidTr="002068EF">
        <w:tc>
          <w:tcPr>
            <w:tcW w:w="1984" w:type="dxa"/>
          </w:tcPr>
          <w:p w14:paraId="02C08F9A" w14:textId="77777777" w:rsidR="0082186B" w:rsidRDefault="0082186B" w:rsidP="002068EF">
            <w:pPr>
              <w:spacing w:before="120" w:after="120" w:line="240" w:lineRule="auto"/>
              <w:ind w:left="141"/>
              <w:rPr>
                <w:lang w:val="fr-FR"/>
              </w:rPr>
            </w:pPr>
            <w:r>
              <w:rPr>
                <w:lang w:val="fr-FR"/>
              </w:rPr>
              <w:lastRenderedPageBreak/>
              <w:t xml:space="preserve">7) et 10) </w:t>
            </w:r>
            <w:r w:rsidRPr="000D3CC2">
              <w:rPr>
                <w:lang w:val="fr-FR"/>
              </w:rPr>
              <w:t>ta</w:t>
            </w:r>
            <w:r>
              <w:rPr>
                <w:lang w:val="fr-FR"/>
              </w:rPr>
              <w:t xml:space="preserve"> b)</w:t>
            </w:r>
          </w:p>
        </w:tc>
        <w:tc>
          <w:tcPr>
            <w:tcW w:w="2313" w:type="dxa"/>
          </w:tcPr>
          <w:p w14:paraId="3051C25D" w14:textId="77777777" w:rsidR="0082186B" w:rsidRDefault="0082186B" w:rsidP="002068EF">
            <w:pPr>
              <w:spacing w:before="120" w:after="120" w:line="240" w:lineRule="auto"/>
              <w:ind w:left="142"/>
              <w:rPr>
                <w:lang w:val="fr-FR"/>
              </w:rPr>
            </w:pPr>
            <w:r>
              <w:rPr>
                <w:lang w:val="fr-FR"/>
              </w:rPr>
              <w:t>EN 13952:[2017]</w:t>
            </w:r>
          </w:p>
        </w:tc>
        <w:tc>
          <w:tcPr>
            <w:tcW w:w="4208" w:type="dxa"/>
          </w:tcPr>
          <w:p w14:paraId="4B9A4533" w14:textId="77777777" w:rsidR="0082186B" w:rsidRDefault="0082186B" w:rsidP="002068EF">
            <w:pPr>
              <w:spacing w:before="120" w:after="120" w:line="240" w:lineRule="auto"/>
              <w:ind w:left="97"/>
              <w:rPr>
                <w:lang w:val="fr-FR"/>
              </w:rPr>
            </w:pPr>
            <w:r>
              <w:rPr>
                <w:lang w:val="fr-FR"/>
              </w:rPr>
              <w:t xml:space="preserve">Équipement GPL et leurs accessoires </w:t>
            </w:r>
            <w:r w:rsidRPr="00F027C3">
              <w:rPr>
                <w:rFonts w:cs="Arial"/>
                <w:bCs/>
                <w:lang w:val="fr-FR"/>
              </w:rPr>
              <w:t>−</w:t>
            </w:r>
            <w:r>
              <w:rPr>
                <w:lang w:val="fr-FR"/>
              </w:rPr>
              <w:t xml:space="preserve"> </w:t>
            </w:r>
            <w:r w:rsidRPr="00C34B61">
              <w:t>Procédures de remplissage des bouteilles de GPL</w:t>
            </w:r>
          </w:p>
        </w:tc>
      </w:tr>
    </w:tbl>
    <w:p w14:paraId="3979ED80" w14:textId="77777777" w:rsidR="0082186B" w:rsidRPr="00D90776" w:rsidRDefault="0082186B" w:rsidP="0082186B">
      <w:pPr>
        <w:pStyle w:val="SingleTxtG"/>
        <w:rPr>
          <w:i/>
          <w:iCs/>
          <w:lang w:val="fr-FR"/>
        </w:rPr>
      </w:pPr>
      <w:r w:rsidRPr="00D90776">
        <w:rPr>
          <w:i/>
          <w:iCs/>
          <w:lang w:val="fr-FR"/>
        </w:rPr>
        <w:t>(</w:t>
      </w:r>
      <w:r w:rsidRPr="00D90776">
        <w:rPr>
          <w:i/>
          <w:iCs/>
        </w:rPr>
        <w:t xml:space="preserve">Document </w:t>
      </w:r>
      <w:r w:rsidRPr="00D90776">
        <w:rPr>
          <w:i/>
          <w:iCs/>
          <w:lang w:val="fr-FR"/>
        </w:rPr>
        <w:t>de référence: document informel INF.30)</w:t>
      </w:r>
    </w:p>
    <w:p w14:paraId="15991E7F" w14:textId="77777777" w:rsidR="0082186B" w:rsidRDefault="0082186B" w:rsidP="0082186B">
      <w:pPr>
        <w:pStyle w:val="SingleTxtG"/>
        <w:rPr>
          <w:lang w:val="fr-FR"/>
        </w:rPr>
      </w:pPr>
      <w:r>
        <w:rPr>
          <w:lang w:val="fr-FR"/>
        </w:rPr>
        <w:t>4.1.4.1, P200</w:t>
      </w:r>
      <w:r>
        <w:rPr>
          <w:lang w:val="fr-FR"/>
        </w:rPr>
        <w:tab/>
      </w:r>
      <w:r>
        <w:rPr>
          <w:lang w:val="fr-FR"/>
        </w:rPr>
        <w:tab/>
        <w:t>Au paragraphe (11), supprimer la ligne pour la norme</w:t>
      </w:r>
      <w:proofErr w:type="gramStart"/>
      <w:r>
        <w:rPr>
          <w:lang w:val="fr-FR"/>
        </w:rPr>
        <w:t xml:space="preserve"> «EN</w:t>
      </w:r>
      <w:proofErr w:type="gramEnd"/>
      <w:r>
        <w:rPr>
          <w:lang w:val="fr-FR"/>
        </w:rPr>
        <w:t> 12755:2000».</w:t>
      </w:r>
    </w:p>
    <w:p w14:paraId="2E339D31" w14:textId="77777777" w:rsidR="0082186B" w:rsidRPr="00D90776" w:rsidRDefault="0082186B" w:rsidP="0082186B">
      <w:pPr>
        <w:pStyle w:val="SingleTxtG"/>
        <w:rPr>
          <w:i/>
          <w:iCs/>
          <w:lang w:val="fr-FR"/>
        </w:rPr>
      </w:pPr>
      <w:r w:rsidRPr="00D90776">
        <w:rPr>
          <w:i/>
          <w:iCs/>
          <w:lang w:val="fr-FR"/>
        </w:rPr>
        <w:t>(</w:t>
      </w:r>
      <w:r w:rsidRPr="00D90776">
        <w:rPr>
          <w:i/>
          <w:iCs/>
        </w:rPr>
        <w:t xml:space="preserve">Document </w:t>
      </w:r>
      <w:r w:rsidRPr="00D90776">
        <w:rPr>
          <w:i/>
          <w:iCs/>
          <w:lang w:val="fr-FR"/>
        </w:rPr>
        <w:t>de référence: document informel INF.30)</w:t>
      </w:r>
    </w:p>
    <w:p w14:paraId="0D223D57" w14:textId="77777777" w:rsidR="0082186B" w:rsidRDefault="0082186B" w:rsidP="0082186B">
      <w:pPr>
        <w:pStyle w:val="SingleTxtG"/>
        <w:rPr>
          <w:lang w:val="fr-FR"/>
        </w:rPr>
      </w:pPr>
      <w:r>
        <w:rPr>
          <w:lang w:val="fr-FR"/>
        </w:rPr>
        <w:t>4.1.4.1; P200</w:t>
      </w:r>
      <w:r>
        <w:rPr>
          <w:lang w:val="fr-FR"/>
        </w:rPr>
        <w:tab/>
      </w:r>
      <w:r>
        <w:rPr>
          <w:lang w:val="fr-FR"/>
        </w:rPr>
        <w:tab/>
        <w:t>Au paragraphe (12), point 2.1, remplacer</w:t>
      </w:r>
      <w:proofErr w:type="gramStart"/>
      <w:r>
        <w:rPr>
          <w:lang w:val="fr-FR"/>
        </w:rPr>
        <w:t xml:space="preserve"> «dans</w:t>
      </w:r>
      <w:proofErr w:type="gramEnd"/>
      <w:r>
        <w:rPr>
          <w:lang w:val="fr-FR"/>
        </w:rPr>
        <w:t xml:space="preserve"> la norme EN 1439: 2008» par: «dans les normes EN 1439:[2017] et EN 13952:[2017]».</w:t>
      </w:r>
    </w:p>
    <w:p w14:paraId="7597F297" w14:textId="77777777" w:rsidR="0082186B" w:rsidRPr="00B84BAD" w:rsidRDefault="0082186B" w:rsidP="0082186B">
      <w:pPr>
        <w:pStyle w:val="SingleTxtG"/>
        <w:rPr>
          <w:lang w:val="fr-FR"/>
        </w:rPr>
      </w:pPr>
      <w:r w:rsidRPr="00E754BF">
        <w:rPr>
          <w:i/>
          <w:iCs/>
          <w:lang w:val="fr-FR"/>
        </w:rPr>
        <w:t>(</w:t>
      </w:r>
      <w:r w:rsidRPr="00E754BF">
        <w:rPr>
          <w:i/>
        </w:rPr>
        <w:t xml:space="preserve">Document </w:t>
      </w:r>
      <w:r>
        <w:rPr>
          <w:i/>
          <w:iCs/>
          <w:lang w:val="fr-FR"/>
        </w:rPr>
        <w:t>de référence</w:t>
      </w:r>
      <w:r w:rsidRPr="00E754BF">
        <w:rPr>
          <w:i/>
          <w:iCs/>
          <w:lang w:val="fr-FR"/>
        </w:rPr>
        <w:t>: document informel INF.3</w:t>
      </w:r>
      <w:r>
        <w:rPr>
          <w:i/>
          <w:iCs/>
          <w:lang w:val="fr-FR"/>
        </w:rPr>
        <w:t>0 tel que modifié</w:t>
      </w:r>
      <w:r w:rsidRPr="00E754BF">
        <w:rPr>
          <w:i/>
          <w:iCs/>
          <w:lang w:val="fr-FR"/>
        </w:rPr>
        <w:t>)</w:t>
      </w:r>
    </w:p>
    <w:p w14:paraId="61428FB4" w14:textId="77777777" w:rsidR="0082186B" w:rsidRDefault="0082186B" w:rsidP="0082186B">
      <w:pPr>
        <w:pStyle w:val="SingleTxtG"/>
        <w:rPr>
          <w:rFonts w:cs="Arial"/>
          <w:szCs w:val="22"/>
        </w:rPr>
      </w:pPr>
      <w:r w:rsidRPr="00D90776">
        <w:rPr>
          <w:bCs/>
        </w:rPr>
        <w:t>4.1.6.15</w:t>
      </w:r>
      <w:r>
        <w:rPr>
          <w:b/>
        </w:rPr>
        <w:tab/>
      </w:r>
      <w:proofErr w:type="spellStart"/>
      <w:r w:rsidRPr="00867961">
        <w:t>Dans</w:t>
      </w:r>
      <w:proofErr w:type="spellEnd"/>
      <w:r w:rsidRPr="00867961">
        <w:t xml:space="preserve"> le tableau, </w:t>
      </w:r>
      <w:proofErr w:type="spellStart"/>
      <w:r w:rsidRPr="00867961">
        <w:t>dans</w:t>
      </w:r>
      <w:proofErr w:type="spellEnd"/>
      <w:r w:rsidRPr="00867961">
        <w:t xml:space="preserve"> la </w:t>
      </w:r>
      <w:proofErr w:type="spellStart"/>
      <w:r w:rsidRPr="00867961">
        <w:t>deuxième</w:t>
      </w:r>
      <w:proofErr w:type="spellEnd"/>
      <w:r w:rsidRPr="00867961">
        <w:t xml:space="preserve"> </w:t>
      </w:r>
      <w:proofErr w:type="spellStart"/>
      <w:r w:rsidRPr="00867961">
        <w:t>colonne</w:t>
      </w:r>
      <w:proofErr w:type="spellEnd"/>
      <w:r w:rsidRPr="00867961">
        <w:t xml:space="preserve">, </w:t>
      </w:r>
      <w:proofErr w:type="spellStart"/>
      <w:r w:rsidRPr="00867961">
        <w:t>remplacer</w:t>
      </w:r>
      <w:proofErr w:type="spellEnd"/>
      <w:r w:rsidRPr="00867961">
        <w:t xml:space="preserve"> «ISO </w:t>
      </w:r>
      <w:r w:rsidRPr="0015386C">
        <w:rPr>
          <w:rFonts w:cs="Arial"/>
          <w:szCs w:val="22"/>
        </w:rPr>
        <w:t>11114-1:2012</w:t>
      </w:r>
      <w:r>
        <w:rPr>
          <w:rFonts w:cs="Arial"/>
          <w:szCs w:val="22"/>
        </w:rPr>
        <w:t xml:space="preserve">» par: </w:t>
      </w:r>
      <w:r w:rsidRPr="00867961">
        <w:t>«</w:t>
      </w:r>
      <w:r w:rsidRPr="008A2873">
        <w:t>EN</w:t>
      </w:r>
      <w:r>
        <w:t> </w:t>
      </w:r>
      <w:r w:rsidRPr="00867961">
        <w:t>ISO </w:t>
      </w:r>
      <w:r w:rsidRPr="0015386C">
        <w:rPr>
          <w:rFonts w:cs="Arial"/>
          <w:szCs w:val="22"/>
        </w:rPr>
        <w:t>11114-1:2012</w:t>
      </w:r>
      <w:r>
        <w:rPr>
          <w:rFonts w:cs="Arial"/>
          <w:szCs w:val="22"/>
        </w:rPr>
        <w:t> + A1:2017».</w:t>
      </w:r>
    </w:p>
    <w:p w14:paraId="518FC82D" w14:textId="77777777" w:rsidR="0082186B" w:rsidRDefault="0082186B" w:rsidP="0082186B">
      <w:pPr>
        <w:pStyle w:val="SingleTxtG"/>
        <w:rPr>
          <w:rFonts w:cs="Arial"/>
          <w:szCs w:val="22"/>
        </w:rPr>
      </w:pPr>
      <w:r w:rsidRPr="00E754BF">
        <w:rPr>
          <w:i/>
          <w:iCs/>
          <w:lang w:val="fr-FR"/>
        </w:rPr>
        <w:t>(</w:t>
      </w:r>
      <w:r w:rsidRPr="00E754BF">
        <w:rPr>
          <w:i/>
        </w:rPr>
        <w:t xml:space="preserve">Document </w:t>
      </w:r>
      <w:r w:rsidRPr="00E754BF">
        <w:rPr>
          <w:i/>
          <w:iCs/>
          <w:lang w:val="fr-FR"/>
        </w:rPr>
        <w:t>de référence: document informel INF.3</w:t>
      </w:r>
      <w:r>
        <w:rPr>
          <w:i/>
          <w:iCs/>
          <w:lang w:val="fr-FR"/>
        </w:rPr>
        <w:t>0</w:t>
      </w:r>
      <w:r w:rsidRPr="00E754BF">
        <w:rPr>
          <w:i/>
          <w:iCs/>
          <w:lang w:val="fr-FR"/>
        </w:rPr>
        <w:t>)</w:t>
      </w:r>
    </w:p>
    <w:p w14:paraId="13FF53BF" w14:textId="77777777" w:rsidR="0082186B" w:rsidRDefault="0082186B" w:rsidP="0082186B">
      <w:pPr>
        <w:pStyle w:val="SingleTxtG"/>
        <w:rPr>
          <w:rFonts w:cs="Arial"/>
          <w:szCs w:val="22"/>
        </w:rPr>
      </w:pPr>
      <w:r>
        <w:t>4.1.6.15</w:t>
      </w:r>
      <w:r>
        <w:tab/>
      </w:r>
      <w:proofErr w:type="spellStart"/>
      <w:r w:rsidRPr="00867961">
        <w:t>Dans</w:t>
      </w:r>
      <w:proofErr w:type="spellEnd"/>
      <w:r w:rsidRPr="00867961">
        <w:t xml:space="preserve"> le tableau, </w:t>
      </w:r>
      <w:proofErr w:type="spellStart"/>
      <w:r w:rsidRPr="00867961">
        <w:t>dans</w:t>
      </w:r>
      <w:proofErr w:type="spellEnd"/>
      <w:r w:rsidRPr="00867961">
        <w:t xml:space="preserve"> la </w:t>
      </w:r>
      <w:proofErr w:type="spellStart"/>
      <w:r w:rsidRPr="00867961">
        <w:t>deuxième</w:t>
      </w:r>
      <w:proofErr w:type="spellEnd"/>
      <w:r w:rsidRPr="00867961">
        <w:t xml:space="preserve"> </w:t>
      </w:r>
      <w:proofErr w:type="spellStart"/>
      <w:r w:rsidRPr="00867961">
        <w:t>colonne</w:t>
      </w:r>
      <w:proofErr w:type="spellEnd"/>
      <w:r w:rsidRPr="00867961">
        <w:t xml:space="preserve">, </w:t>
      </w:r>
      <w:proofErr w:type="spellStart"/>
      <w:r w:rsidRPr="00867961">
        <w:t>remplacer</w:t>
      </w:r>
      <w:proofErr w:type="spellEnd"/>
      <w:r w:rsidRPr="00867961">
        <w:t xml:space="preserve"> «</w:t>
      </w:r>
      <w:r w:rsidRPr="0015386C">
        <w:rPr>
          <w:rFonts w:cs="Arial"/>
          <w:szCs w:val="22"/>
        </w:rPr>
        <w:t>Annexe A de</w:t>
      </w:r>
      <w:r>
        <w:rPr>
          <w:rFonts w:cs="Arial"/>
          <w:szCs w:val="22"/>
        </w:rPr>
        <w:t xml:space="preserve"> ISO </w:t>
      </w:r>
      <w:r w:rsidRPr="0015386C">
        <w:rPr>
          <w:rFonts w:cs="Arial"/>
          <w:szCs w:val="22"/>
        </w:rPr>
        <w:t>10297:2006</w:t>
      </w:r>
      <w:r>
        <w:rPr>
          <w:rFonts w:cs="Arial"/>
          <w:szCs w:val="22"/>
        </w:rPr>
        <w:t xml:space="preserve"> </w:t>
      </w:r>
      <w:proofErr w:type="spellStart"/>
      <w:r w:rsidRPr="009337F1">
        <w:rPr>
          <w:snapToGrid w:val="0"/>
          <w:szCs w:val="24"/>
        </w:rPr>
        <w:t>ou</w:t>
      </w:r>
      <w:proofErr w:type="spellEnd"/>
      <w:r w:rsidRPr="009337F1">
        <w:rPr>
          <w:snapToGrid w:val="0"/>
          <w:szCs w:val="24"/>
        </w:rPr>
        <w:t xml:space="preserve"> annexe A de </w:t>
      </w:r>
      <w:r>
        <w:rPr>
          <w:snapToGrid w:val="0"/>
          <w:szCs w:val="24"/>
        </w:rPr>
        <w:t>ISO </w:t>
      </w:r>
      <w:r w:rsidRPr="009337F1">
        <w:rPr>
          <w:snapToGrid w:val="0"/>
          <w:szCs w:val="24"/>
        </w:rPr>
        <w:t>10297:2014</w:t>
      </w:r>
      <w:r>
        <w:rPr>
          <w:rFonts w:cs="Arial"/>
          <w:szCs w:val="22"/>
        </w:rPr>
        <w:t xml:space="preserve">» par: </w:t>
      </w:r>
      <w:r w:rsidRPr="00C55562">
        <w:t>«</w:t>
      </w:r>
      <w:r w:rsidRPr="00C55562">
        <w:rPr>
          <w:rFonts w:cs="Arial"/>
          <w:szCs w:val="22"/>
        </w:rPr>
        <w:t xml:space="preserve">Annexe A de EN ISO 10297:2006 </w:t>
      </w:r>
      <w:proofErr w:type="spellStart"/>
      <w:r w:rsidRPr="00C55562">
        <w:rPr>
          <w:snapToGrid w:val="0"/>
          <w:szCs w:val="24"/>
        </w:rPr>
        <w:t>ou</w:t>
      </w:r>
      <w:proofErr w:type="spellEnd"/>
      <w:r w:rsidRPr="00C55562">
        <w:rPr>
          <w:snapToGrid w:val="0"/>
          <w:szCs w:val="24"/>
        </w:rPr>
        <w:t xml:space="preserve"> annexe A de EN ISO 10297:2014 </w:t>
      </w:r>
      <w:proofErr w:type="spellStart"/>
      <w:r w:rsidRPr="00C55562">
        <w:rPr>
          <w:snapToGrid w:val="0"/>
          <w:szCs w:val="24"/>
        </w:rPr>
        <w:t>ou</w:t>
      </w:r>
      <w:proofErr w:type="spellEnd"/>
      <w:r w:rsidRPr="00C55562">
        <w:rPr>
          <w:snapToGrid w:val="0"/>
          <w:szCs w:val="24"/>
        </w:rPr>
        <w:t xml:space="preserve"> annexe A de </w:t>
      </w:r>
      <w:r>
        <w:rPr>
          <w:snapToGrid w:val="0"/>
          <w:szCs w:val="24"/>
        </w:rPr>
        <w:t>EN </w:t>
      </w:r>
      <w:r w:rsidRPr="00132451">
        <w:rPr>
          <w:snapToGrid w:val="0"/>
          <w:szCs w:val="24"/>
        </w:rPr>
        <w:t>ISO</w:t>
      </w:r>
      <w:r>
        <w:rPr>
          <w:snapToGrid w:val="0"/>
          <w:szCs w:val="24"/>
        </w:rPr>
        <w:t> </w:t>
      </w:r>
      <w:r w:rsidRPr="009337F1">
        <w:rPr>
          <w:snapToGrid w:val="0"/>
          <w:szCs w:val="24"/>
        </w:rPr>
        <w:t>10297:2014</w:t>
      </w:r>
      <w:r>
        <w:rPr>
          <w:snapToGrid w:val="0"/>
          <w:szCs w:val="24"/>
        </w:rPr>
        <w:t>+A1:[2017]</w:t>
      </w:r>
      <w:r>
        <w:rPr>
          <w:rFonts w:cs="Arial"/>
          <w:szCs w:val="22"/>
        </w:rPr>
        <w:t>».</w:t>
      </w:r>
    </w:p>
    <w:p w14:paraId="453C815B" w14:textId="77777777" w:rsidR="0082186B" w:rsidRDefault="0082186B" w:rsidP="0082186B">
      <w:pPr>
        <w:pStyle w:val="SingleTxtG"/>
        <w:rPr>
          <w:i/>
          <w:iCs/>
          <w:lang w:val="fr-FR"/>
        </w:rPr>
      </w:pPr>
      <w:r w:rsidRPr="00E754BF">
        <w:rPr>
          <w:i/>
          <w:iCs/>
          <w:lang w:val="fr-FR"/>
        </w:rPr>
        <w:t>(</w:t>
      </w:r>
      <w:r w:rsidRPr="00E754BF">
        <w:rPr>
          <w:i/>
        </w:rPr>
        <w:t xml:space="preserve">Document </w:t>
      </w:r>
      <w:r w:rsidRPr="00E754BF">
        <w:rPr>
          <w:i/>
          <w:iCs/>
          <w:lang w:val="fr-FR"/>
        </w:rPr>
        <w:t>de référence: document informel INF.3</w:t>
      </w:r>
      <w:r>
        <w:rPr>
          <w:i/>
          <w:iCs/>
          <w:lang w:val="fr-FR"/>
        </w:rPr>
        <w:t>0</w:t>
      </w:r>
      <w:r w:rsidRPr="00E754BF">
        <w:rPr>
          <w:i/>
          <w:iCs/>
          <w:lang w:val="fr-FR"/>
        </w:rPr>
        <w:t>)</w:t>
      </w:r>
    </w:p>
    <w:p w14:paraId="3D3B5806" w14:textId="77777777" w:rsidR="0082186B" w:rsidRPr="00DC6778" w:rsidRDefault="0082186B" w:rsidP="0082186B">
      <w:pPr>
        <w:pStyle w:val="SingleTxtG"/>
        <w:rPr>
          <w:b/>
        </w:rPr>
      </w:pPr>
      <w:r w:rsidRPr="00DC6778">
        <w:t>4.1.10.4</w:t>
      </w:r>
      <w:r>
        <w:t xml:space="preserve">, </w:t>
      </w:r>
      <w:r w:rsidRPr="00DC6778">
        <w:t>MP 24</w:t>
      </w:r>
      <w:r w:rsidRPr="00DC6778">
        <w:tab/>
      </w:r>
      <w:proofErr w:type="spellStart"/>
      <w:r w:rsidRPr="00DC6778">
        <w:t>Dans</w:t>
      </w:r>
      <w:proofErr w:type="spellEnd"/>
      <w:r w:rsidRPr="00DC6778">
        <w:t xml:space="preserve"> le tableau, </w:t>
      </w:r>
      <w:proofErr w:type="spellStart"/>
      <w:r w:rsidRPr="00DC6778">
        <w:t>ajouter</w:t>
      </w:r>
      <w:proofErr w:type="spellEnd"/>
      <w:r w:rsidRPr="00DC6778">
        <w:t xml:space="preserve"> </w:t>
      </w:r>
      <w:proofErr w:type="spellStart"/>
      <w:r w:rsidRPr="00DC6778">
        <w:t>une</w:t>
      </w:r>
      <w:proofErr w:type="spellEnd"/>
      <w:r w:rsidRPr="00DC6778">
        <w:t xml:space="preserve"> nouvelle </w:t>
      </w:r>
      <w:proofErr w:type="spellStart"/>
      <w:r w:rsidRPr="00DC6778">
        <w:t>colonne</w:t>
      </w:r>
      <w:proofErr w:type="spellEnd"/>
      <w:r w:rsidRPr="00DC6778">
        <w:t xml:space="preserve"> </w:t>
      </w:r>
      <w:proofErr w:type="gramStart"/>
      <w:r w:rsidRPr="00DC6778">
        <w:t>et</w:t>
      </w:r>
      <w:proofErr w:type="gramEnd"/>
      <w:r w:rsidRPr="00DC6778">
        <w:t xml:space="preserve"> </w:t>
      </w:r>
      <w:proofErr w:type="spellStart"/>
      <w:r w:rsidRPr="00DC6778">
        <w:t>une</w:t>
      </w:r>
      <w:proofErr w:type="spellEnd"/>
      <w:r w:rsidRPr="00DC6778">
        <w:t xml:space="preserve"> nouvelle </w:t>
      </w:r>
      <w:proofErr w:type="spellStart"/>
      <w:r w:rsidRPr="00DC6778">
        <w:t>ligne</w:t>
      </w:r>
      <w:proofErr w:type="spellEnd"/>
      <w:r w:rsidRPr="00DC6778">
        <w:t xml:space="preserve"> pour le No ONU 0509. </w:t>
      </w:r>
      <w:proofErr w:type="spellStart"/>
      <w:r w:rsidRPr="00DC6778">
        <w:t>Dans</w:t>
      </w:r>
      <w:proofErr w:type="spellEnd"/>
      <w:r w:rsidRPr="00DC6778">
        <w:t xml:space="preserve"> la </w:t>
      </w:r>
      <w:proofErr w:type="spellStart"/>
      <w:r w:rsidRPr="00DC6778">
        <w:t>colonne</w:t>
      </w:r>
      <w:proofErr w:type="spellEnd"/>
      <w:r w:rsidRPr="00DC6778">
        <w:t>/</w:t>
      </w:r>
      <w:proofErr w:type="spellStart"/>
      <w:r w:rsidRPr="00DC6778">
        <w:t>ligne</w:t>
      </w:r>
      <w:proofErr w:type="spellEnd"/>
      <w:r w:rsidRPr="00DC6778">
        <w:t xml:space="preserve"> pour le No ONU 0509, </w:t>
      </w:r>
      <w:proofErr w:type="spellStart"/>
      <w:r w:rsidRPr="00DC6778">
        <w:t>insérer</w:t>
      </w:r>
      <w:proofErr w:type="spellEnd"/>
      <w:r w:rsidRPr="00DC6778">
        <w:t xml:space="preserve"> la </w:t>
      </w:r>
      <w:proofErr w:type="spellStart"/>
      <w:r w:rsidRPr="00DC6778">
        <w:t>lettre</w:t>
      </w:r>
      <w:proofErr w:type="spellEnd"/>
      <w:r w:rsidRPr="00DC6778">
        <w:t xml:space="preserve"> «B» </w:t>
      </w:r>
      <w:proofErr w:type="spellStart"/>
      <w:r w:rsidRPr="00DC6778">
        <w:t>en</w:t>
      </w:r>
      <w:proofErr w:type="spellEnd"/>
      <w:r w:rsidRPr="00DC6778">
        <w:t xml:space="preserve"> regard des Nos ONU 0027, 0028, 0044, 0160 et 0161.</w:t>
      </w:r>
    </w:p>
    <w:p w14:paraId="28ACC176" w14:textId="77777777" w:rsidR="0082186B" w:rsidRPr="00786F47" w:rsidRDefault="0082186B" w:rsidP="0082186B">
      <w:pPr>
        <w:pStyle w:val="SingleTxtG"/>
      </w:pPr>
      <w:r w:rsidRPr="00DC6778">
        <w:rPr>
          <w:i/>
          <w:iCs/>
          <w:lang w:val="fr-FR"/>
        </w:rPr>
        <w:t>(</w:t>
      </w:r>
      <w:r w:rsidRPr="00DC6778">
        <w:rPr>
          <w:i/>
        </w:rPr>
        <w:t xml:space="preserve">Document </w:t>
      </w:r>
      <w:r w:rsidRPr="00DC6778">
        <w:rPr>
          <w:i/>
          <w:iCs/>
          <w:lang w:val="fr-FR"/>
        </w:rPr>
        <w:t>de référence: document informel INF.10)</w:t>
      </w:r>
    </w:p>
    <w:p w14:paraId="06869932" w14:textId="77777777" w:rsidR="0082186B" w:rsidRDefault="0082186B" w:rsidP="0082186B">
      <w:pPr>
        <w:pStyle w:val="H1G"/>
      </w:pPr>
      <w:r>
        <w:tab/>
      </w:r>
      <w:r>
        <w:tab/>
      </w:r>
      <w:proofErr w:type="spellStart"/>
      <w:r>
        <w:t>Chapitre</w:t>
      </w:r>
      <w:proofErr w:type="spellEnd"/>
      <w:r>
        <w:t xml:space="preserve"> 6.2</w:t>
      </w:r>
    </w:p>
    <w:p w14:paraId="74AFD805" w14:textId="77777777" w:rsidR="0082186B" w:rsidRDefault="0082186B" w:rsidP="0082186B">
      <w:pPr>
        <w:pStyle w:val="SingleTxtG"/>
        <w:rPr>
          <w:b/>
        </w:rPr>
      </w:pPr>
      <w:r w:rsidRPr="00D90776">
        <w:rPr>
          <w:bCs/>
        </w:rPr>
        <w:t>6.2.4.1</w:t>
      </w:r>
      <w:r>
        <w:rPr>
          <w:b/>
        </w:rPr>
        <w:tab/>
      </w:r>
      <w:r>
        <w:rPr>
          <w:b/>
        </w:rPr>
        <w:tab/>
      </w:r>
      <w:r w:rsidRPr="00986FF3">
        <w:rPr>
          <w:rFonts w:cs="Arial"/>
          <w:szCs w:val="22"/>
          <w:lang w:val="fr-FR"/>
        </w:rPr>
        <w:t>Dans</w:t>
      </w:r>
      <w:r w:rsidRPr="00F6441C">
        <w:rPr>
          <w:lang w:val="fr-FR"/>
        </w:rPr>
        <w:t xml:space="preserve"> le tableau, sous «</w:t>
      </w:r>
      <w:r w:rsidRPr="009D6A18">
        <w:t>pour la conception et la fabrication</w:t>
      </w:r>
      <w:r w:rsidRPr="00F6441C">
        <w:rPr>
          <w:lang w:val="fr-FR"/>
        </w:rPr>
        <w:t>»:</w:t>
      </w:r>
    </w:p>
    <w:p w14:paraId="18FF3540" w14:textId="77777777" w:rsidR="0082186B" w:rsidRDefault="0082186B" w:rsidP="0082186B">
      <w:pPr>
        <w:pStyle w:val="SingleTxtG"/>
        <w:rPr>
          <w:rFonts w:cs="Arial"/>
          <w:bCs/>
          <w:szCs w:val="22"/>
          <w:lang w:val="fr-FR"/>
        </w:rPr>
      </w:pPr>
      <w:r w:rsidRPr="00F6441C">
        <w:t>–</w:t>
      </w:r>
      <w:r w:rsidRPr="00F6441C">
        <w:tab/>
        <w:t>Pour</w:t>
      </w:r>
      <w:r w:rsidRPr="002315C1">
        <w:rPr>
          <w:rFonts w:cs="Arial"/>
          <w:bCs/>
          <w:szCs w:val="22"/>
          <w:lang w:val="fr-FR"/>
        </w:rPr>
        <w:t xml:space="preserve"> la norme «</w:t>
      </w:r>
      <w:r w:rsidRPr="003C4DF9">
        <w:t>EN </w:t>
      </w:r>
      <w:r w:rsidRPr="009D6A18">
        <w:rPr>
          <w:rFonts w:cs="Arial"/>
          <w:szCs w:val="22"/>
        </w:rPr>
        <w:t>1251</w:t>
      </w:r>
      <w:r>
        <w:rPr>
          <w:rFonts w:cs="Arial"/>
          <w:bCs/>
          <w:szCs w:val="22"/>
        </w:rPr>
        <w:t>-2</w:t>
      </w:r>
      <w:r w:rsidRPr="00D9276A">
        <w:rPr>
          <w:rFonts w:cs="Arial"/>
          <w:bCs/>
          <w:szCs w:val="22"/>
        </w:rPr>
        <w:t>:20</w:t>
      </w:r>
      <w:r>
        <w:rPr>
          <w:rFonts w:cs="Arial"/>
          <w:bCs/>
          <w:szCs w:val="22"/>
        </w:rPr>
        <w:t>00</w:t>
      </w:r>
      <w:r w:rsidRPr="002315C1">
        <w:rPr>
          <w:rFonts w:cs="Arial"/>
          <w:bCs/>
          <w:szCs w:val="22"/>
          <w:lang w:val="fr-FR"/>
        </w:rPr>
        <w:t xml:space="preserve">», </w:t>
      </w:r>
      <w:r>
        <w:rPr>
          <w:rFonts w:cs="Arial"/>
          <w:bCs/>
          <w:szCs w:val="22"/>
          <w:lang w:val="fr-FR"/>
        </w:rPr>
        <w:t>modifier</w:t>
      </w:r>
      <w:r w:rsidRPr="002315C1">
        <w:rPr>
          <w:rFonts w:cs="Arial"/>
          <w:bCs/>
          <w:szCs w:val="22"/>
          <w:lang w:val="fr-FR"/>
        </w:rPr>
        <w:t xml:space="preserve"> </w:t>
      </w:r>
      <w:r>
        <w:rPr>
          <w:rFonts w:cs="Arial"/>
          <w:bCs/>
          <w:szCs w:val="22"/>
          <w:lang w:val="fr-FR"/>
        </w:rPr>
        <w:t xml:space="preserve">le nota figurant dans </w:t>
      </w:r>
      <w:r w:rsidRPr="002315C1">
        <w:rPr>
          <w:rFonts w:cs="Arial"/>
          <w:bCs/>
          <w:szCs w:val="22"/>
          <w:lang w:val="fr-FR"/>
        </w:rPr>
        <w:t>la colonne (</w:t>
      </w:r>
      <w:r>
        <w:rPr>
          <w:rFonts w:cs="Arial"/>
          <w:bCs/>
          <w:szCs w:val="22"/>
          <w:lang w:val="fr-FR"/>
        </w:rPr>
        <w:t>2</w:t>
      </w:r>
      <w:r w:rsidRPr="002315C1">
        <w:rPr>
          <w:rFonts w:cs="Arial"/>
          <w:bCs/>
          <w:szCs w:val="22"/>
          <w:lang w:val="fr-FR"/>
        </w:rPr>
        <w:t>)</w:t>
      </w:r>
      <w:r>
        <w:rPr>
          <w:rFonts w:cs="Arial"/>
          <w:bCs/>
          <w:szCs w:val="22"/>
          <w:lang w:val="fr-FR"/>
        </w:rPr>
        <w:t xml:space="preserve"> pour lire comme suit: </w:t>
      </w:r>
    </w:p>
    <w:p w14:paraId="11AA8E6D" w14:textId="77777777" w:rsidR="0082186B" w:rsidRDefault="0082186B" w:rsidP="0082186B">
      <w:pPr>
        <w:pStyle w:val="SingleTxtG"/>
        <w:rPr>
          <w:rFonts w:cs="Arial"/>
          <w:szCs w:val="22"/>
        </w:rPr>
      </w:pPr>
      <w:r w:rsidRPr="00157710">
        <w:rPr>
          <w:rFonts w:cs="Arial"/>
          <w:szCs w:val="22"/>
        </w:rPr>
        <w:t>«</w:t>
      </w:r>
      <w:r w:rsidRPr="009A376D">
        <w:rPr>
          <w:b/>
          <w:bCs/>
          <w:i/>
        </w:rPr>
        <w:t>NOTA:</w:t>
      </w:r>
      <w:r w:rsidRPr="009A376D">
        <w:rPr>
          <w:i/>
        </w:rPr>
        <w:tab/>
      </w:r>
      <w:r w:rsidRPr="009A376D">
        <w:rPr>
          <w:i/>
          <w:lang w:val="fr-CA"/>
        </w:rPr>
        <w:t xml:space="preserve">Les </w:t>
      </w:r>
      <w:proofErr w:type="spellStart"/>
      <w:r w:rsidRPr="009A376D">
        <w:rPr>
          <w:rFonts w:cs="Arial"/>
          <w:i/>
          <w:szCs w:val="22"/>
        </w:rPr>
        <w:t>normes</w:t>
      </w:r>
      <w:proofErr w:type="spellEnd"/>
      <w:r w:rsidRPr="009A376D">
        <w:rPr>
          <w:i/>
          <w:lang w:val="fr-CA"/>
        </w:rPr>
        <w:t xml:space="preserve"> EN 1252-1:1998 et EN 1626 auxquelles il est fait référence dans cette norme sont également applicables aux récipients cryogéniques fermés pour le transport du No ONU 1972 (MÉTHANE LIQUIDE RÉFRIGÉRÉ ou GAZ NATUREL LIQUIDE RÉFRIGÉRÉ)</w:t>
      </w:r>
      <w:proofErr w:type="gramStart"/>
      <w:r w:rsidRPr="009A376D">
        <w:rPr>
          <w:i/>
          <w:lang w:val="fr-CA"/>
        </w:rPr>
        <w:t>.</w:t>
      </w:r>
      <w:r w:rsidRPr="00157710">
        <w:rPr>
          <w:rFonts w:cs="Arial"/>
          <w:szCs w:val="22"/>
        </w:rPr>
        <w:t>»</w:t>
      </w:r>
      <w:proofErr w:type="gramEnd"/>
      <w:r w:rsidRPr="00157710">
        <w:rPr>
          <w:rFonts w:cs="Arial"/>
          <w:szCs w:val="22"/>
        </w:rPr>
        <w:t>.</w:t>
      </w:r>
    </w:p>
    <w:p w14:paraId="5726AB96" w14:textId="77777777" w:rsidR="0082186B" w:rsidRPr="009A376D" w:rsidRDefault="0082186B" w:rsidP="0082186B">
      <w:pPr>
        <w:pStyle w:val="SingleTxtG"/>
        <w:rPr>
          <w:rFonts w:cs="Arial"/>
          <w:i/>
          <w:szCs w:val="22"/>
        </w:rPr>
      </w:pPr>
      <w:r w:rsidRPr="009A376D">
        <w:rPr>
          <w:i/>
          <w:iCs/>
          <w:lang w:val="fr-FR"/>
        </w:rPr>
        <w:t>(Documents</w:t>
      </w:r>
      <w:r w:rsidRPr="009A376D">
        <w:rPr>
          <w:i/>
        </w:rPr>
        <w:t xml:space="preserve"> </w:t>
      </w:r>
      <w:r w:rsidRPr="009A376D">
        <w:rPr>
          <w:i/>
          <w:iCs/>
          <w:lang w:val="fr-FR"/>
        </w:rPr>
        <w:t>de référence: documents informels INF.28 et INF.30)</w:t>
      </w:r>
    </w:p>
    <w:p w14:paraId="019177FB" w14:textId="77777777" w:rsidR="0082186B" w:rsidRDefault="0082186B" w:rsidP="0082186B">
      <w:pPr>
        <w:pStyle w:val="SingleTxtG"/>
        <w:rPr>
          <w:rFonts w:cs="Arial"/>
          <w:szCs w:val="22"/>
        </w:rPr>
      </w:pPr>
      <w:r w:rsidRPr="00986FF3">
        <w:rPr>
          <w:rFonts w:cs="Arial"/>
          <w:szCs w:val="22"/>
          <w:lang w:val="fr-FR"/>
        </w:rPr>
        <w:t>Dans</w:t>
      </w:r>
      <w:r w:rsidRPr="00F6441C">
        <w:rPr>
          <w:lang w:val="fr-FR"/>
        </w:rPr>
        <w:t xml:space="preserve"> le tableau, sous</w:t>
      </w:r>
      <w:proofErr w:type="gramStart"/>
      <w:r w:rsidRPr="00F6441C">
        <w:rPr>
          <w:lang w:val="fr-FR"/>
        </w:rPr>
        <w:t xml:space="preserve"> «</w:t>
      </w:r>
      <w:r>
        <w:rPr>
          <w:i/>
        </w:rPr>
        <w:t>p</w:t>
      </w:r>
      <w:r w:rsidRPr="0022330F">
        <w:rPr>
          <w:i/>
        </w:rPr>
        <w:t>our</w:t>
      </w:r>
      <w:proofErr w:type="gramEnd"/>
      <w:r w:rsidRPr="0022330F">
        <w:rPr>
          <w:i/>
        </w:rPr>
        <w:t xml:space="preserve"> </w:t>
      </w:r>
      <w:r>
        <w:rPr>
          <w:i/>
        </w:rPr>
        <w:t xml:space="preserve">les </w:t>
      </w:r>
      <w:proofErr w:type="spellStart"/>
      <w:r>
        <w:rPr>
          <w:i/>
        </w:rPr>
        <w:t>fermetures</w:t>
      </w:r>
      <w:proofErr w:type="spellEnd"/>
      <w:r w:rsidRPr="00F6441C">
        <w:rPr>
          <w:lang w:val="fr-FR"/>
        </w:rPr>
        <w:t>»</w:t>
      </w:r>
      <w:r>
        <w:rPr>
          <w:lang w:val="fr-FR"/>
        </w:rPr>
        <w:t> </w:t>
      </w:r>
      <w:r w:rsidRPr="00F6441C">
        <w:rPr>
          <w:lang w:val="fr-FR"/>
        </w:rPr>
        <w:t>:</w:t>
      </w:r>
    </w:p>
    <w:p w14:paraId="44B48D88" w14:textId="77777777" w:rsidR="0082186B" w:rsidRDefault="0082186B" w:rsidP="0082186B">
      <w:pPr>
        <w:pStyle w:val="SingleTxtG"/>
        <w:rPr>
          <w:bCs/>
          <w:lang w:val="fr-FR"/>
        </w:rPr>
      </w:pPr>
      <w:r w:rsidRPr="00F6441C">
        <w:t>–</w:t>
      </w:r>
      <w:r w:rsidRPr="00F6441C">
        <w:tab/>
      </w:r>
      <w:r w:rsidRPr="007E7BA4">
        <w:rPr>
          <w:rFonts w:cs="Arial"/>
          <w:szCs w:val="22"/>
        </w:rPr>
        <w:t>Pour</w:t>
      </w:r>
      <w:r w:rsidRPr="002315C1">
        <w:rPr>
          <w:rFonts w:cs="Arial"/>
          <w:bCs/>
          <w:szCs w:val="22"/>
          <w:lang w:val="fr-FR"/>
        </w:rPr>
        <w:t xml:space="preserve"> la norme «EN </w:t>
      </w:r>
      <w:r>
        <w:rPr>
          <w:rFonts w:cs="Arial"/>
          <w:bCs/>
          <w:szCs w:val="22"/>
          <w:lang w:val="fr-FR"/>
        </w:rPr>
        <w:t>ISO 10297</w:t>
      </w:r>
      <w:r w:rsidRPr="002315C1">
        <w:rPr>
          <w:rFonts w:cs="Arial"/>
          <w:bCs/>
          <w:szCs w:val="22"/>
          <w:lang w:val="fr-FR"/>
        </w:rPr>
        <w:t>:</w:t>
      </w:r>
      <w:r w:rsidRPr="00EE6326">
        <w:rPr>
          <w:rFonts w:cs="Arial"/>
          <w:szCs w:val="22"/>
          <w:lang w:val="fr-FR"/>
        </w:rPr>
        <w:t>20</w:t>
      </w:r>
      <w:r>
        <w:rPr>
          <w:rFonts w:cs="Arial"/>
          <w:szCs w:val="22"/>
          <w:lang w:val="fr-FR"/>
        </w:rPr>
        <w:t>14</w:t>
      </w:r>
      <w:r w:rsidRPr="002315C1">
        <w:rPr>
          <w:rFonts w:cs="Arial"/>
          <w:bCs/>
          <w:szCs w:val="22"/>
          <w:lang w:val="fr-FR"/>
        </w:rPr>
        <w:t>», dans la colonne (</w:t>
      </w:r>
      <w:r>
        <w:rPr>
          <w:rFonts w:cs="Arial"/>
          <w:bCs/>
          <w:szCs w:val="22"/>
          <w:lang w:val="fr-FR"/>
        </w:rPr>
        <w:t>2</w:t>
      </w:r>
      <w:r w:rsidRPr="002315C1">
        <w:rPr>
          <w:rFonts w:cs="Arial"/>
          <w:bCs/>
          <w:szCs w:val="22"/>
          <w:lang w:val="fr-FR"/>
        </w:rPr>
        <w:t>),</w:t>
      </w:r>
      <w:r>
        <w:rPr>
          <w:rFonts w:cs="Arial"/>
          <w:bCs/>
          <w:szCs w:val="22"/>
          <w:lang w:val="fr-FR"/>
        </w:rPr>
        <w:t xml:space="preserve"> supprimer: </w:t>
      </w:r>
      <w:proofErr w:type="gramStart"/>
      <w:r>
        <w:t>«</w:t>
      </w:r>
      <w:r w:rsidRPr="00395839">
        <w:rPr>
          <w:bCs/>
          <w:lang w:val="fr-FR"/>
        </w:rPr>
        <w:t>(</w:t>
      </w:r>
      <w:proofErr w:type="gramEnd"/>
      <w:r w:rsidRPr="00395839">
        <w:rPr>
          <w:bCs/>
          <w:lang w:val="fr-FR"/>
        </w:rPr>
        <w:t>ISO/DIS 10297:2012)</w:t>
      </w:r>
      <w:r>
        <w:rPr>
          <w:bCs/>
          <w:lang w:val="fr-FR"/>
        </w:rPr>
        <w:t>».</w:t>
      </w:r>
    </w:p>
    <w:p w14:paraId="5DA680D5" w14:textId="77777777" w:rsidR="0082186B" w:rsidRDefault="0082186B" w:rsidP="0082186B">
      <w:pPr>
        <w:pStyle w:val="SingleTxtG"/>
      </w:pPr>
      <w:r w:rsidRPr="00E754BF">
        <w:rPr>
          <w:i/>
          <w:iCs/>
          <w:lang w:val="fr-FR"/>
        </w:rPr>
        <w:t>(</w:t>
      </w:r>
      <w:r w:rsidRPr="007E7BA4">
        <w:rPr>
          <w:i/>
          <w:iCs/>
          <w:lang w:val="fr-FR"/>
        </w:rPr>
        <w:t>Document</w:t>
      </w:r>
      <w:r w:rsidRPr="00E754BF">
        <w:rPr>
          <w:i/>
        </w:rPr>
        <w:t xml:space="preserve"> </w:t>
      </w:r>
      <w:r>
        <w:rPr>
          <w:i/>
          <w:iCs/>
          <w:lang w:val="fr-FR"/>
        </w:rPr>
        <w:t>de référence</w:t>
      </w:r>
      <w:r w:rsidRPr="00E754BF">
        <w:rPr>
          <w:i/>
          <w:iCs/>
          <w:lang w:val="fr-FR"/>
        </w:rPr>
        <w:t>: document informel INF.3</w:t>
      </w:r>
      <w:r>
        <w:rPr>
          <w:i/>
          <w:iCs/>
          <w:lang w:val="fr-FR"/>
        </w:rPr>
        <w:t>0 tel que modifié</w:t>
      </w:r>
      <w:r w:rsidRPr="00E754BF">
        <w:rPr>
          <w:i/>
          <w:iCs/>
          <w:lang w:val="fr-FR"/>
        </w:rPr>
        <w:t>)</w:t>
      </w:r>
    </w:p>
    <w:p w14:paraId="57A95C4B" w14:textId="77777777" w:rsidR="0082186B" w:rsidRDefault="0082186B" w:rsidP="0082186B">
      <w:pPr>
        <w:pStyle w:val="SingleTxtG"/>
        <w:rPr>
          <w:lang w:val="fr-FR"/>
        </w:rPr>
      </w:pPr>
      <w:r w:rsidRPr="00F6441C">
        <w:t>–</w:t>
      </w:r>
      <w:r w:rsidRPr="00F6441C">
        <w:tab/>
      </w:r>
      <w:r w:rsidRPr="007E7BA4">
        <w:t>Pour</w:t>
      </w:r>
      <w:r w:rsidRPr="002315C1">
        <w:rPr>
          <w:lang w:val="fr-FR"/>
        </w:rPr>
        <w:t xml:space="preserve"> la norme «EN </w:t>
      </w:r>
      <w:r>
        <w:rPr>
          <w:lang w:val="fr-FR"/>
        </w:rPr>
        <w:t>ISO 10297</w:t>
      </w:r>
      <w:r w:rsidRPr="002315C1">
        <w:rPr>
          <w:lang w:val="fr-FR"/>
        </w:rPr>
        <w:t>:</w:t>
      </w:r>
      <w:r w:rsidRPr="00EE6326">
        <w:rPr>
          <w:lang w:val="fr-FR"/>
        </w:rPr>
        <w:t>20</w:t>
      </w:r>
      <w:r>
        <w:rPr>
          <w:lang w:val="fr-FR"/>
        </w:rPr>
        <w:t>14</w:t>
      </w:r>
      <w:r w:rsidRPr="002315C1">
        <w:rPr>
          <w:lang w:val="fr-FR"/>
        </w:rPr>
        <w:t>», dans la colonne (4), remplacer «Jusqu’à nouvel ordre» par</w:t>
      </w:r>
      <w:r>
        <w:rPr>
          <w:lang w:val="fr-FR"/>
        </w:rPr>
        <w:t xml:space="preserve">: </w:t>
      </w:r>
      <w:r w:rsidRPr="002315C1">
        <w:rPr>
          <w:lang w:val="fr-FR"/>
        </w:rPr>
        <w:t>«Entre le 1</w:t>
      </w:r>
      <w:r w:rsidRPr="00932588">
        <w:rPr>
          <w:vertAlign w:val="superscript"/>
          <w:lang w:val="fr-FR"/>
        </w:rPr>
        <w:t>er</w:t>
      </w:r>
      <w:r>
        <w:rPr>
          <w:lang w:val="fr-FR"/>
        </w:rPr>
        <w:t> janvier</w:t>
      </w:r>
      <w:r w:rsidRPr="002315C1">
        <w:rPr>
          <w:lang w:val="fr-FR"/>
        </w:rPr>
        <w:t xml:space="preserve"> 20</w:t>
      </w:r>
      <w:r>
        <w:rPr>
          <w:lang w:val="fr-FR"/>
        </w:rPr>
        <w:t>15</w:t>
      </w:r>
      <w:r w:rsidRPr="002315C1">
        <w:rPr>
          <w:lang w:val="fr-FR"/>
        </w:rPr>
        <w:t xml:space="preserve"> et le 31 décembre 20</w:t>
      </w:r>
      <w:r>
        <w:rPr>
          <w:lang w:val="fr-FR"/>
        </w:rPr>
        <w:t>20</w:t>
      </w:r>
      <w:r w:rsidRPr="002315C1">
        <w:rPr>
          <w:lang w:val="fr-FR"/>
        </w:rPr>
        <w:t>».</w:t>
      </w:r>
    </w:p>
    <w:p w14:paraId="17469F30" w14:textId="77777777" w:rsidR="0082186B" w:rsidRDefault="0082186B" w:rsidP="0082186B">
      <w:pPr>
        <w:pStyle w:val="SingleTxtG"/>
        <w:rPr>
          <w:lang w:val="fr-FR"/>
        </w:rPr>
      </w:pPr>
      <w:r w:rsidRPr="00E754BF">
        <w:rPr>
          <w:i/>
          <w:iCs/>
          <w:lang w:val="fr-FR"/>
        </w:rPr>
        <w:t>(</w:t>
      </w:r>
      <w:r w:rsidRPr="007E7BA4">
        <w:rPr>
          <w:i/>
          <w:iCs/>
          <w:lang w:val="fr-FR"/>
        </w:rPr>
        <w:t>Document</w:t>
      </w:r>
      <w:r w:rsidRPr="00E754BF">
        <w:rPr>
          <w:i/>
        </w:rPr>
        <w:t xml:space="preserve"> </w:t>
      </w:r>
      <w:r w:rsidRPr="00E754BF">
        <w:rPr>
          <w:i/>
          <w:iCs/>
          <w:lang w:val="fr-FR"/>
        </w:rPr>
        <w:t>de référence: document informel INF.3</w:t>
      </w:r>
      <w:r>
        <w:rPr>
          <w:i/>
          <w:iCs/>
          <w:lang w:val="fr-FR"/>
        </w:rPr>
        <w:t>0</w:t>
      </w:r>
      <w:r w:rsidRPr="00E754BF">
        <w:rPr>
          <w:i/>
          <w:iCs/>
          <w:lang w:val="fr-FR"/>
        </w:rPr>
        <w:t>)</w:t>
      </w:r>
    </w:p>
    <w:p w14:paraId="0B55A42C" w14:textId="77777777" w:rsidR="0082186B" w:rsidRDefault="0082186B" w:rsidP="0082186B">
      <w:pPr>
        <w:pStyle w:val="SingleTxtG"/>
        <w:rPr>
          <w:lang w:val="fr-FR"/>
        </w:rPr>
      </w:pPr>
      <w:r w:rsidRPr="004D7E7D">
        <w:t>–</w:t>
      </w:r>
      <w:r w:rsidRPr="004D7E7D">
        <w:tab/>
      </w:r>
      <w:proofErr w:type="spellStart"/>
      <w:r w:rsidRPr="004D7E7D">
        <w:t>Ap</w:t>
      </w:r>
      <w:r w:rsidRPr="002315C1">
        <w:rPr>
          <w:lang w:val="fr-FR"/>
        </w:rPr>
        <w:t>rès</w:t>
      </w:r>
      <w:proofErr w:type="spellEnd"/>
      <w:r w:rsidRPr="002315C1">
        <w:rPr>
          <w:lang w:val="fr-FR"/>
        </w:rPr>
        <w:t xml:space="preserve"> la norme «EN </w:t>
      </w:r>
      <w:r>
        <w:rPr>
          <w:lang w:val="fr-FR"/>
        </w:rPr>
        <w:t>ISO 10297</w:t>
      </w:r>
      <w:r w:rsidRPr="002315C1">
        <w:rPr>
          <w:lang w:val="fr-FR"/>
        </w:rPr>
        <w:t>:</w:t>
      </w:r>
      <w:r w:rsidRPr="00EE6326">
        <w:rPr>
          <w:lang w:val="fr-FR"/>
        </w:rPr>
        <w:t>20</w:t>
      </w:r>
      <w:r>
        <w:rPr>
          <w:lang w:val="fr-FR"/>
        </w:rPr>
        <w:t>14</w:t>
      </w:r>
      <w:r w:rsidRPr="002315C1">
        <w:rPr>
          <w:lang w:val="fr-FR"/>
        </w:rPr>
        <w:t>», insérer la nouvelle norme suivante:</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3257"/>
        <w:gridCol w:w="974"/>
        <w:gridCol w:w="1109"/>
        <w:gridCol w:w="897"/>
      </w:tblGrid>
      <w:tr w:rsidR="0082186B" w:rsidRPr="00A17464" w14:paraId="0D6F56A8" w14:textId="77777777" w:rsidTr="002068EF">
        <w:trPr>
          <w:cantSplit/>
        </w:trPr>
        <w:tc>
          <w:tcPr>
            <w:tcW w:w="1974" w:type="dxa"/>
          </w:tcPr>
          <w:p w14:paraId="6F87D425" w14:textId="77777777" w:rsidR="0082186B" w:rsidRPr="00A17464" w:rsidRDefault="0082186B" w:rsidP="002068EF">
            <w:pPr>
              <w:tabs>
                <w:tab w:val="left" w:pos="1418"/>
              </w:tabs>
              <w:rPr>
                <w:rFonts w:cs="Arial"/>
              </w:rPr>
            </w:pPr>
            <w:r w:rsidRPr="00A17464">
              <w:rPr>
                <w:rFonts w:cs="Arial"/>
              </w:rPr>
              <w:lastRenderedPageBreak/>
              <w:t>EN </w:t>
            </w:r>
            <w:r>
              <w:rPr>
                <w:rFonts w:cs="Arial"/>
              </w:rPr>
              <w:t>ISO </w:t>
            </w:r>
            <w:r>
              <w:rPr>
                <w:rFonts w:cs="Arial"/>
                <w:bCs/>
                <w:szCs w:val="22"/>
                <w:lang w:val="fr-FR"/>
              </w:rPr>
              <w:t>10297</w:t>
            </w:r>
            <w:r w:rsidRPr="002315C1">
              <w:rPr>
                <w:rFonts w:cs="Arial"/>
                <w:bCs/>
                <w:szCs w:val="22"/>
                <w:lang w:val="fr-FR"/>
              </w:rPr>
              <w:t>:</w:t>
            </w:r>
            <w:r w:rsidRPr="00EE6326">
              <w:rPr>
                <w:rFonts w:cs="Arial"/>
                <w:szCs w:val="22"/>
                <w:lang w:val="fr-FR"/>
              </w:rPr>
              <w:t>20</w:t>
            </w:r>
            <w:r>
              <w:rPr>
                <w:rFonts w:cs="Arial"/>
                <w:szCs w:val="22"/>
                <w:lang w:val="fr-FR"/>
              </w:rPr>
              <w:t>14+</w:t>
            </w:r>
            <w:r>
              <w:rPr>
                <w:rFonts w:cs="Arial"/>
                <w:szCs w:val="22"/>
                <w:lang w:val="fr-FR"/>
              </w:rPr>
              <w:br/>
              <w:t>A1:[2017]</w:t>
            </w:r>
          </w:p>
        </w:tc>
        <w:tc>
          <w:tcPr>
            <w:tcW w:w="3397" w:type="dxa"/>
            <w:vAlign w:val="center"/>
          </w:tcPr>
          <w:p w14:paraId="48E27711" w14:textId="77777777" w:rsidR="0082186B" w:rsidRPr="0022330F" w:rsidRDefault="0082186B" w:rsidP="002068EF">
            <w:pPr>
              <w:rPr>
                <w:rFonts w:cs="Arial"/>
              </w:rPr>
            </w:pPr>
            <w:r w:rsidRPr="00F027C3">
              <w:rPr>
                <w:rFonts w:cs="Arial"/>
                <w:bCs/>
                <w:lang w:val="fr-FR"/>
              </w:rPr>
              <w:t>Bouteilles à gaz transportables − Robinets de bouteilles − Spécifications et essais de type</w:t>
            </w:r>
          </w:p>
        </w:tc>
        <w:tc>
          <w:tcPr>
            <w:tcW w:w="989" w:type="dxa"/>
            <w:vAlign w:val="center"/>
          </w:tcPr>
          <w:p w14:paraId="32FEA91C" w14:textId="77777777" w:rsidR="0082186B" w:rsidRPr="0022330F" w:rsidRDefault="0082186B" w:rsidP="002068EF">
            <w:pPr>
              <w:rPr>
                <w:rFonts w:cs="Arial"/>
              </w:rPr>
            </w:pPr>
            <w:r w:rsidRPr="0022330F">
              <w:rPr>
                <w:rFonts w:cs="Arial"/>
              </w:rPr>
              <w:t>6.</w:t>
            </w:r>
            <w:r>
              <w:rPr>
                <w:rFonts w:cs="Arial"/>
              </w:rPr>
              <w:t>2.3.1</w:t>
            </w:r>
            <w:r w:rsidRPr="0022330F">
              <w:rPr>
                <w:rFonts w:cs="Arial"/>
              </w:rPr>
              <w:t xml:space="preserve"> et 6.</w:t>
            </w:r>
            <w:r>
              <w:rPr>
                <w:rFonts w:cs="Arial"/>
              </w:rPr>
              <w:t>2.3.3</w:t>
            </w:r>
          </w:p>
        </w:tc>
        <w:tc>
          <w:tcPr>
            <w:tcW w:w="1130" w:type="dxa"/>
            <w:vAlign w:val="center"/>
          </w:tcPr>
          <w:p w14:paraId="6EAA5A28" w14:textId="77777777" w:rsidR="0082186B" w:rsidRPr="0022330F" w:rsidRDefault="0082186B" w:rsidP="002068EF">
            <w:pPr>
              <w:jc w:val="center"/>
              <w:rPr>
                <w:rFonts w:cs="Arial"/>
              </w:rPr>
            </w:pPr>
            <w:r w:rsidRPr="0022330F">
              <w:rPr>
                <w:rFonts w:cs="Arial"/>
                <w:bCs/>
              </w:rPr>
              <w:t>Jusqu’à nouvel ordre</w:t>
            </w:r>
          </w:p>
        </w:tc>
        <w:tc>
          <w:tcPr>
            <w:tcW w:w="947" w:type="dxa"/>
          </w:tcPr>
          <w:p w14:paraId="18519935" w14:textId="77777777" w:rsidR="0082186B" w:rsidRPr="00A17464" w:rsidRDefault="0082186B" w:rsidP="002068EF">
            <w:pPr>
              <w:tabs>
                <w:tab w:val="left" w:pos="1418"/>
              </w:tabs>
              <w:rPr>
                <w:rFonts w:cs="Arial"/>
              </w:rPr>
            </w:pPr>
          </w:p>
        </w:tc>
      </w:tr>
    </w:tbl>
    <w:p w14:paraId="035C1AB1" w14:textId="77777777" w:rsidR="0082186B" w:rsidRDefault="0082186B" w:rsidP="0082186B">
      <w:pPr>
        <w:pStyle w:val="SingleTxtG"/>
        <w:rPr>
          <w:lang w:val="fr-FR"/>
        </w:rPr>
      </w:pPr>
      <w:r w:rsidRPr="00E754BF">
        <w:rPr>
          <w:i/>
          <w:lang w:val="fr-FR"/>
        </w:rPr>
        <w:t>(</w:t>
      </w:r>
      <w:r w:rsidRPr="00E754BF">
        <w:rPr>
          <w:i/>
        </w:rPr>
        <w:t xml:space="preserve">Document </w:t>
      </w:r>
      <w:r w:rsidRPr="00E754BF">
        <w:rPr>
          <w:i/>
          <w:lang w:val="fr-FR"/>
        </w:rPr>
        <w:t>de référence : document informel INF.3</w:t>
      </w:r>
      <w:r>
        <w:rPr>
          <w:i/>
          <w:lang w:val="fr-FR"/>
        </w:rPr>
        <w:t>0</w:t>
      </w:r>
      <w:r w:rsidRPr="00E754BF">
        <w:rPr>
          <w:i/>
          <w:lang w:val="fr-FR"/>
        </w:rPr>
        <w:t>)</w:t>
      </w:r>
    </w:p>
    <w:p w14:paraId="7F78997E" w14:textId="77777777" w:rsidR="0082186B" w:rsidRPr="00C874D7" w:rsidRDefault="0082186B" w:rsidP="0082186B">
      <w:pPr>
        <w:pStyle w:val="SingleTxtG"/>
      </w:pPr>
      <w:r w:rsidRPr="00F6441C">
        <w:t>–</w:t>
      </w:r>
      <w:r w:rsidRPr="00F6441C">
        <w:tab/>
      </w:r>
      <w:r w:rsidRPr="004F3A09">
        <w:t>Pour</w:t>
      </w:r>
      <w:r>
        <w:t xml:space="preserve"> la </w:t>
      </w:r>
      <w:proofErr w:type="spellStart"/>
      <w:r>
        <w:t>norme</w:t>
      </w:r>
      <w:proofErr w:type="spellEnd"/>
      <w:r>
        <w:t xml:space="preserve"> «EN 1626:2008</w:t>
      </w:r>
      <w:r w:rsidRPr="00C874D7">
        <w:t xml:space="preserve">», </w:t>
      </w:r>
      <w:proofErr w:type="spellStart"/>
      <w:r w:rsidRPr="00C874D7">
        <w:t>dans</w:t>
      </w:r>
      <w:proofErr w:type="spellEnd"/>
      <w:r w:rsidRPr="00C874D7">
        <w:t xml:space="preserve"> la </w:t>
      </w:r>
      <w:proofErr w:type="spellStart"/>
      <w:r w:rsidRPr="00C874D7">
        <w:t>colonne</w:t>
      </w:r>
      <w:proofErr w:type="spellEnd"/>
      <w:r w:rsidRPr="00C874D7">
        <w:t xml:space="preserve"> (2), </w:t>
      </w:r>
      <w:proofErr w:type="spellStart"/>
      <w:r w:rsidRPr="00C874D7">
        <w:t>ajouter</w:t>
      </w:r>
      <w:proofErr w:type="spellEnd"/>
      <w:r w:rsidRPr="00C874D7">
        <w:t xml:space="preserve"> le nouveau nota </w:t>
      </w:r>
      <w:proofErr w:type="spellStart"/>
      <w:r w:rsidRPr="00C874D7">
        <w:t>suivant</w:t>
      </w:r>
      <w:proofErr w:type="spellEnd"/>
      <w:r w:rsidRPr="00C874D7">
        <w:t>:</w:t>
      </w:r>
    </w:p>
    <w:p w14:paraId="50A56285" w14:textId="77777777" w:rsidR="0082186B" w:rsidRDefault="0082186B" w:rsidP="0082186B">
      <w:pPr>
        <w:pStyle w:val="SingleTxtG"/>
      </w:pPr>
      <w:r>
        <w:t>«</w:t>
      </w:r>
      <w:r w:rsidRPr="009A376D">
        <w:rPr>
          <w:b/>
          <w:i/>
        </w:rPr>
        <w:t>NOTA:</w:t>
      </w:r>
      <w:r w:rsidRPr="009A376D">
        <w:rPr>
          <w:i/>
        </w:rPr>
        <w:tab/>
      </w:r>
      <w:r w:rsidRPr="009A376D">
        <w:rPr>
          <w:i/>
          <w:lang w:val="fr-CA"/>
        </w:rPr>
        <w:t>Cette</w:t>
      </w:r>
      <w:r w:rsidRPr="009A376D">
        <w:rPr>
          <w:i/>
        </w:rPr>
        <w:t xml:space="preserve"> </w:t>
      </w:r>
      <w:proofErr w:type="spellStart"/>
      <w:r w:rsidRPr="009A376D">
        <w:rPr>
          <w:i/>
        </w:rPr>
        <w:t>norme</w:t>
      </w:r>
      <w:proofErr w:type="spellEnd"/>
      <w:r w:rsidRPr="009A376D">
        <w:rPr>
          <w:i/>
        </w:rPr>
        <w:t xml:space="preserve"> </w:t>
      </w:r>
      <w:proofErr w:type="spellStart"/>
      <w:r w:rsidRPr="009A376D">
        <w:rPr>
          <w:i/>
        </w:rPr>
        <w:t>est</w:t>
      </w:r>
      <w:proofErr w:type="spellEnd"/>
      <w:r w:rsidRPr="009A376D">
        <w:rPr>
          <w:i/>
        </w:rPr>
        <w:t xml:space="preserve"> </w:t>
      </w:r>
      <w:proofErr w:type="spellStart"/>
      <w:r w:rsidRPr="009A376D">
        <w:rPr>
          <w:i/>
        </w:rPr>
        <w:t>également</w:t>
      </w:r>
      <w:proofErr w:type="spellEnd"/>
      <w:r w:rsidRPr="009A376D">
        <w:rPr>
          <w:i/>
        </w:rPr>
        <w:t xml:space="preserve"> applicable aux </w:t>
      </w:r>
      <w:proofErr w:type="spellStart"/>
      <w:r w:rsidRPr="009A376D">
        <w:rPr>
          <w:i/>
        </w:rPr>
        <w:t>robinets</w:t>
      </w:r>
      <w:proofErr w:type="spellEnd"/>
      <w:r w:rsidRPr="009A376D">
        <w:rPr>
          <w:i/>
        </w:rPr>
        <w:t xml:space="preserve"> </w:t>
      </w:r>
      <w:r w:rsidRPr="009A376D">
        <w:rPr>
          <w:i/>
          <w:lang w:val="fr-CA"/>
        </w:rPr>
        <w:t>pour le transport du No ONU 1972 (MÉTHANE LIQUIDE RÉFRIGÉRÉ ou GAZ NATUREL LIQUIDE RÉFRIGÉRÉ)</w:t>
      </w:r>
      <w:proofErr w:type="gramStart"/>
      <w:r w:rsidRPr="009A376D">
        <w:rPr>
          <w:i/>
          <w:lang w:val="fr-CA"/>
        </w:rPr>
        <w:t>.</w:t>
      </w:r>
      <w:r w:rsidRPr="00157710">
        <w:t>»</w:t>
      </w:r>
      <w:proofErr w:type="gramEnd"/>
      <w:r w:rsidRPr="00157710">
        <w:t>.</w:t>
      </w:r>
    </w:p>
    <w:p w14:paraId="73C169F2" w14:textId="77777777" w:rsidR="0082186B" w:rsidRPr="00157710" w:rsidRDefault="0082186B" w:rsidP="0082186B">
      <w:pPr>
        <w:pStyle w:val="SingleTxtG"/>
      </w:pPr>
      <w:r w:rsidRPr="00E754BF">
        <w:rPr>
          <w:i/>
          <w:lang w:val="fr-FR"/>
        </w:rPr>
        <w:t>(</w:t>
      </w:r>
      <w:r w:rsidRPr="00E754BF">
        <w:rPr>
          <w:i/>
        </w:rPr>
        <w:t>Document</w:t>
      </w:r>
      <w:r>
        <w:rPr>
          <w:i/>
        </w:rPr>
        <w:t>s</w:t>
      </w:r>
      <w:r w:rsidRPr="00E754BF">
        <w:rPr>
          <w:i/>
        </w:rPr>
        <w:t xml:space="preserve"> </w:t>
      </w:r>
      <w:r w:rsidRPr="00E754BF">
        <w:rPr>
          <w:i/>
          <w:lang w:val="fr-FR"/>
        </w:rPr>
        <w:t>de référence: document</w:t>
      </w:r>
      <w:r>
        <w:rPr>
          <w:i/>
          <w:lang w:val="fr-FR"/>
        </w:rPr>
        <w:t>s</w:t>
      </w:r>
      <w:r w:rsidRPr="00E754BF">
        <w:rPr>
          <w:i/>
          <w:lang w:val="fr-FR"/>
        </w:rPr>
        <w:t xml:space="preserve"> informel</w:t>
      </w:r>
      <w:r>
        <w:rPr>
          <w:i/>
          <w:lang w:val="fr-FR"/>
        </w:rPr>
        <w:t xml:space="preserve">s INF.28 et </w:t>
      </w:r>
      <w:r w:rsidRPr="00E754BF">
        <w:rPr>
          <w:i/>
          <w:lang w:val="fr-FR"/>
        </w:rPr>
        <w:t>INF.3</w:t>
      </w:r>
      <w:r>
        <w:rPr>
          <w:i/>
          <w:lang w:val="fr-FR"/>
        </w:rPr>
        <w:t>0</w:t>
      </w:r>
      <w:r w:rsidRPr="00E754BF">
        <w:rPr>
          <w:i/>
          <w:lang w:val="fr-FR"/>
        </w:rPr>
        <w:t>)</w:t>
      </w:r>
    </w:p>
    <w:p w14:paraId="5E0A5CC0" w14:textId="77777777" w:rsidR="0082186B" w:rsidRPr="00CC4733" w:rsidRDefault="0082186B" w:rsidP="0082186B">
      <w:pPr>
        <w:pStyle w:val="H1G"/>
      </w:pPr>
      <w:r>
        <w:tab/>
      </w:r>
      <w:r>
        <w:tab/>
      </w:r>
      <w:proofErr w:type="spellStart"/>
      <w:r w:rsidRPr="00CC4733">
        <w:t>Chapitre</w:t>
      </w:r>
      <w:proofErr w:type="spellEnd"/>
      <w:r w:rsidRPr="00CC4733">
        <w:t xml:space="preserve"> 6.8</w:t>
      </w:r>
    </w:p>
    <w:p w14:paraId="4E952B0F" w14:textId="77777777" w:rsidR="0082186B" w:rsidRDefault="0082186B" w:rsidP="0082186B">
      <w:pPr>
        <w:pStyle w:val="SingleTxtG"/>
      </w:pPr>
      <w:r w:rsidRPr="00896077">
        <w:rPr>
          <w:bCs/>
        </w:rPr>
        <w:t>6.8.2.1.23</w:t>
      </w:r>
      <w:r>
        <w:rPr>
          <w:b/>
        </w:rPr>
        <w:tab/>
      </w:r>
      <w:proofErr w:type="spellStart"/>
      <w:proofErr w:type="gramStart"/>
      <w:r w:rsidRPr="00DB54A0">
        <w:t>Dans</w:t>
      </w:r>
      <w:proofErr w:type="spellEnd"/>
      <w:proofErr w:type="gramEnd"/>
      <w:r w:rsidRPr="00DB54A0">
        <w:t xml:space="preserve"> la </w:t>
      </w:r>
      <w:proofErr w:type="spellStart"/>
      <w:r w:rsidRPr="00DB54A0">
        <w:t>dernière</w:t>
      </w:r>
      <w:proofErr w:type="spellEnd"/>
      <w:r w:rsidRPr="00DB54A0">
        <w:t xml:space="preserve"> phrase du premier </w:t>
      </w:r>
      <w:proofErr w:type="spellStart"/>
      <w:r w:rsidRPr="00DB54A0">
        <w:t>paragraphe</w:t>
      </w:r>
      <w:proofErr w:type="spellEnd"/>
      <w:r w:rsidRPr="00DB54A0">
        <w:t xml:space="preserve">, après «par </w:t>
      </w:r>
      <w:proofErr w:type="spellStart"/>
      <w:r w:rsidRPr="00DB54A0">
        <w:t>ultrasons</w:t>
      </w:r>
      <w:proofErr w:type="spellEnd"/>
      <w:r w:rsidRPr="00DB54A0">
        <w:t xml:space="preserve">», </w:t>
      </w:r>
      <w:proofErr w:type="spellStart"/>
      <w:r w:rsidRPr="00DB54A0">
        <w:t>insérer</w:t>
      </w:r>
      <w:proofErr w:type="spellEnd"/>
      <w:r w:rsidRPr="00DB54A0">
        <w:t xml:space="preserve"> la nouvelle note de bas de page *) </w:t>
      </w:r>
      <w:proofErr w:type="spellStart"/>
      <w:r w:rsidRPr="00DB54A0">
        <w:t>libellée</w:t>
      </w:r>
      <w:proofErr w:type="spellEnd"/>
      <w:r w:rsidRPr="00DB54A0">
        <w:t xml:space="preserve"> </w:t>
      </w:r>
      <w:proofErr w:type="spellStart"/>
      <w:r w:rsidRPr="00DB54A0">
        <w:t>comme</w:t>
      </w:r>
      <w:proofErr w:type="spellEnd"/>
      <w:r w:rsidRPr="00DB54A0">
        <w:t xml:space="preserve"> suit:</w:t>
      </w:r>
    </w:p>
    <w:p w14:paraId="4BA1BB36" w14:textId="77777777" w:rsidR="0082186B" w:rsidRDefault="0082186B" w:rsidP="0082186B">
      <w:pPr>
        <w:pStyle w:val="SingleTxtG"/>
      </w:pPr>
      <w:r>
        <w:t>«*</w:t>
      </w:r>
      <w:r>
        <w:tab/>
      </w:r>
      <w:r w:rsidRPr="00DB54A0">
        <w:t>Les</w:t>
      </w:r>
      <w:r>
        <w:t xml:space="preserve"> assemblages à </w:t>
      </w:r>
      <w:proofErr w:type="spellStart"/>
      <w:r w:rsidRPr="00DB54A0">
        <w:t>recouvrement</w:t>
      </w:r>
      <w:proofErr w:type="spellEnd"/>
      <w:r w:rsidRPr="00DB54A0">
        <w:t xml:space="preserve"> </w:t>
      </w:r>
      <w:r w:rsidRPr="00560143">
        <w:t>d’un fond et d</w:t>
      </w:r>
      <w:r>
        <w:t>e la</w:t>
      </w:r>
      <w:r w:rsidRPr="00560143">
        <w:t xml:space="preserve"> </w:t>
      </w:r>
      <w:proofErr w:type="spellStart"/>
      <w:r w:rsidRPr="00560143">
        <w:t>virole</w:t>
      </w:r>
      <w:proofErr w:type="spellEnd"/>
      <w:r w:rsidRPr="00DB54A0">
        <w:t xml:space="preserve"> </w:t>
      </w:r>
      <w:proofErr w:type="spellStart"/>
      <w:r w:rsidRPr="00DB54A0">
        <w:t>peuvent</w:t>
      </w:r>
      <w:proofErr w:type="spellEnd"/>
      <w:r w:rsidRPr="00DB54A0">
        <w:t xml:space="preserve"> </w:t>
      </w:r>
      <w:proofErr w:type="spellStart"/>
      <w:r w:rsidRPr="00DB54A0">
        <w:t>être</w:t>
      </w:r>
      <w:proofErr w:type="spellEnd"/>
      <w:r w:rsidRPr="00DB54A0">
        <w:t xml:space="preserve"> </w:t>
      </w:r>
      <w:proofErr w:type="spellStart"/>
      <w:r>
        <w:t>contrôlés</w:t>
      </w:r>
      <w:proofErr w:type="spellEnd"/>
      <w:r>
        <w:t xml:space="preserve"> </w:t>
      </w:r>
      <w:r w:rsidRPr="00DB54A0">
        <w:t xml:space="preserve">par des </w:t>
      </w:r>
      <w:proofErr w:type="spellStart"/>
      <w:r w:rsidRPr="006B724C">
        <w:t>méthodes</w:t>
      </w:r>
      <w:proofErr w:type="spellEnd"/>
      <w:r w:rsidRPr="006B724C">
        <w:t xml:space="preserve"> alternatives à la </w:t>
      </w:r>
      <w:proofErr w:type="spellStart"/>
      <w:r w:rsidRPr="006B724C">
        <w:t>radiographie</w:t>
      </w:r>
      <w:proofErr w:type="spellEnd"/>
      <w:r w:rsidRPr="006B724C">
        <w:t xml:space="preserve"> </w:t>
      </w:r>
      <w:proofErr w:type="spellStart"/>
      <w:r w:rsidRPr="006B724C">
        <w:t>ou</w:t>
      </w:r>
      <w:proofErr w:type="spellEnd"/>
      <w:r w:rsidRPr="006B724C">
        <w:t xml:space="preserve"> aux </w:t>
      </w:r>
      <w:proofErr w:type="spellStart"/>
      <w:r w:rsidRPr="006B724C">
        <w:t>ultrasons</w:t>
      </w:r>
      <w:proofErr w:type="spellEnd"/>
      <w:proofErr w:type="gramStart"/>
      <w:r w:rsidRPr="00DB54A0">
        <w:t>.</w:t>
      </w:r>
      <w:r>
        <w:t>»</w:t>
      </w:r>
      <w:proofErr w:type="gramEnd"/>
      <w:r>
        <w:t>.</w:t>
      </w:r>
    </w:p>
    <w:p w14:paraId="1697DB84" w14:textId="77777777" w:rsidR="0082186B" w:rsidRPr="00DB54A0" w:rsidRDefault="0082186B" w:rsidP="0082186B">
      <w:pPr>
        <w:pStyle w:val="SingleTxtG"/>
      </w:pPr>
      <w:r w:rsidRPr="00E754BF">
        <w:rPr>
          <w:i/>
          <w:iCs/>
          <w:lang w:val="fr-FR"/>
        </w:rPr>
        <w:t>(</w:t>
      </w:r>
      <w:r w:rsidRPr="00E754BF">
        <w:rPr>
          <w:i/>
        </w:rPr>
        <w:t>Document</w:t>
      </w:r>
      <w:r>
        <w:rPr>
          <w:i/>
        </w:rPr>
        <w:t>s</w:t>
      </w:r>
      <w:r w:rsidRPr="00E754BF">
        <w:rPr>
          <w:i/>
        </w:rPr>
        <w:t xml:space="preserve"> </w:t>
      </w:r>
      <w:r>
        <w:rPr>
          <w:i/>
          <w:iCs/>
          <w:lang w:val="fr-FR"/>
        </w:rPr>
        <w:t>de référence</w:t>
      </w:r>
      <w:r w:rsidRPr="00E754BF">
        <w:rPr>
          <w:i/>
          <w:iCs/>
          <w:lang w:val="fr-FR"/>
        </w:rPr>
        <w:t xml:space="preserve">: </w:t>
      </w:r>
      <w:r>
        <w:rPr>
          <w:i/>
          <w:iCs/>
          <w:lang w:val="fr-FR"/>
        </w:rPr>
        <w:t xml:space="preserve">ECE/TRANS/WP.15/AC.1/2017/19 et </w:t>
      </w:r>
      <w:r w:rsidRPr="00E754BF">
        <w:rPr>
          <w:i/>
          <w:iCs/>
          <w:lang w:val="fr-FR"/>
        </w:rPr>
        <w:t>document informel</w:t>
      </w:r>
      <w:r>
        <w:rPr>
          <w:i/>
          <w:iCs/>
          <w:lang w:val="fr-FR"/>
        </w:rPr>
        <w:t xml:space="preserve"> INF.34</w:t>
      </w:r>
      <w:r w:rsidRPr="00E754BF">
        <w:rPr>
          <w:i/>
          <w:iCs/>
          <w:lang w:val="fr-FR"/>
        </w:rPr>
        <w:t>)</w:t>
      </w:r>
    </w:p>
    <w:p w14:paraId="5ACD02B6" w14:textId="77777777" w:rsidR="0082186B" w:rsidRPr="005C412B" w:rsidRDefault="0082186B" w:rsidP="0082186B">
      <w:pPr>
        <w:pStyle w:val="SingleTxtG"/>
      </w:pPr>
      <w:r w:rsidRPr="005C412B">
        <w:t>Pour «</w:t>
      </w:r>
      <w:r w:rsidRPr="005C412B">
        <w:rPr>
          <w:lang w:val="fr-FR"/>
        </w:rPr>
        <w:sym w:font="Symbol" w:char="F06C"/>
      </w:r>
      <w:r w:rsidRPr="005C412B">
        <w:t xml:space="preserve"> = 0</w:t>
      </w:r>
      <w:proofErr w:type="gramStart"/>
      <w:r w:rsidRPr="005C412B">
        <w:t>,8</w:t>
      </w:r>
      <w:proofErr w:type="gramEnd"/>
      <w:r w:rsidRPr="005C412B">
        <w:t xml:space="preserve">», modifier la </w:t>
      </w:r>
      <w:proofErr w:type="spellStart"/>
      <w:r w:rsidRPr="005C412B">
        <w:t>deuxième</w:t>
      </w:r>
      <w:proofErr w:type="spellEnd"/>
      <w:r w:rsidRPr="005C412B">
        <w:t xml:space="preserve"> phrase </w:t>
      </w:r>
      <w:proofErr w:type="spellStart"/>
      <w:r w:rsidRPr="005C412B">
        <w:t>comme</w:t>
      </w:r>
      <w:proofErr w:type="spellEnd"/>
      <w:r w:rsidRPr="005C412B">
        <w:t xml:space="preserve"> suit:</w:t>
      </w:r>
    </w:p>
    <w:p w14:paraId="05EDDCF5" w14:textId="77777777" w:rsidR="0082186B" w:rsidRPr="006B724C" w:rsidRDefault="0082186B" w:rsidP="0082186B">
      <w:pPr>
        <w:pStyle w:val="SingleTxtG"/>
        <w:rPr>
          <w:bCs/>
        </w:rPr>
      </w:pPr>
      <w:r w:rsidRPr="005C412B">
        <w:t>«</w:t>
      </w:r>
      <w:r w:rsidRPr="005C412B">
        <w:rPr>
          <w:bCs/>
        </w:rPr>
        <w:t xml:space="preserve">Les </w:t>
      </w:r>
      <w:proofErr w:type="spellStart"/>
      <w:r w:rsidRPr="005C412B">
        <w:rPr>
          <w:bCs/>
        </w:rPr>
        <w:t>contrôles</w:t>
      </w:r>
      <w:proofErr w:type="spellEnd"/>
      <w:r w:rsidRPr="005C412B">
        <w:rPr>
          <w:bCs/>
        </w:rPr>
        <w:t xml:space="preserve"> non </w:t>
      </w:r>
      <w:proofErr w:type="spellStart"/>
      <w:r w:rsidRPr="005C412B">
        <w:rPr>
          <w:bCs/>
        </w:rPr>
        <w:t>destructifs</w:t>
      </w:r>
      <w:proofErr w:type="spellEnd"/>
      <w:r w:rsidRPr="005C412B">
        <w:rPr>
          <w:bCs/>
        </w:rPr>
        <w:t xml:space="preserve"> </w:t>
      </w:r>
      <w:proofErr w:type="spellStart"/>
      <w:r w:rsidRPr="005C412B">
        <w:rPr>
          <w:bCs/>
        </w:rPr>
        <w:t>doivent</w:t>
      </w:r>
      <w:proofErr w:type="spellEnd"/>
      <w:r w:rsidRPr="005C412B">
        <w:rPr>
          <w:bCs/>
        </w:rPr>
        <w:t xml:space="preserve"> </w:t>
      </w:r>
      <w:proofErr w:type="spellStart"/>
      <w:r w:rsidRPr="005C412B">
        <w:rPr>
          <w:bCs/>
        </w:rPr>
        <w:t>comprendre</w:t>
      </w:r>
      <w:proofErr w:type="spellEnd"/>
      <w:r w:rsidRPr="005C412B">
        <w:rPr>
          <w:bCs/>
        </w:rPr>
        <w:t xml:space="preserve"> </w:t>
      </w:r>
      <w:proofErr w:type="spellStart"/>
      <w:r w:rsidRPr="005C412B">
        <w:rPr>
          <w:bCs/>
        </w:rPr>
        <w:t>tous</w:t>
      </w:r>
      <w:proofErr w:type="spellEnd"/>
      <w:r w:rsidRPr="005C412B">
        <w:rPr>
          <w:bCs/>
        </w:rPr>
        <w:t xml:space="preserve"> les </w:t>
      </w:r>
      <w:proofErr w:type="spellStart"/>
      <w:r w:rsidRPr="005C412B">
        <w:rPr>
          <w:bCs/>
        </w:rPr>
        <w:t>nœuds</w:t>
      </w:r>
      <w:proofErr w:type="spellEnd"/>
      <w:r w:rsidRPr="005C412B">
        <w:rPr>
          <w:bCs/>
        </w:rPr>
        <w:t xml:space="preserve"> de </w:t>
      </w:r>
      <w:proofErr w:type="spellStart"/>
      <w:r w:rsidRPr="005C412B">
        <w:rPr>
          <w:bCs/>
        </w:rPr>
        <w:t>soudure</w:t>
      </w:r>
      <w:proofErr w:type="spellEnd"/>
      <w:r w:rsidRPr="005C412B">
        <w:rPr>
          <w:bCs/>
        </w:rPr>
        <w:t xml:space="preserve"> </w:t>
      </w:r>
      <w:proofErr w:type="spellStart"/>
      <w:r w:rsidRPr="005C412B">
        <w:rPr>
          <w:bCs/>
        </w:rPr>
        <w:t>en</w:t>
      </w:r>
      <w:proofErr w:type="spellEnd"/>
      <w:r w:rsidRPr="005C412B">
        <w:rPr>
          <w:bCs/>
        </w:rPr>
        <w:t xml:space="preserve"> «T»</w:t>
      </w:r>
      <w:r w:rsidRPr="00826B49">
        <w:rPr>
          <w:bCs/>
        </w:rPr>
        <w:t xml:space="preserve">, </w:t>
      </w:r>
      <w:proofErr w:type="spellStart"/>
      <w:r w:rsidRPr="00826B49">
        <w:rPr>
          <w:bCs/>
        </w:rPr>
        <w:t>tous</w:t>
      </w:r>
      <w:proofErr w:type="spellEnd"/>
      <w:r w:rsidRPr="00826B49">
        <w:rPr>
          <w:bCs/>
        </w:rPr>
        <w:t xml:space="preserve"> les inserts </w:t>
      </w:r>
      <w:proofErr w:type="spellStart"/>
      <w:r w:rsidRPr="00826B49">
        <w:t>utilisés</w:t>
      </w:r>
      <w:proofErr w:type="spellEnd"/>
      <w:r w:rsidRPr="00826B49">
        <w:rPr>
          <w:bCs/>
        </w:rPr>
        <w:t xml:space="preserve"> pour </w:t>
      </w:r>
      <w:proofErr w:type="spellStart"/>
      <w:r w:rsidRPr="00826B49">
        <w:rPr>
          <w:bCs/>
        </w:rPr>
        <w:t>éviter</w:t>
      </w:r>
      <w:proofErr w:type="spellEnd"/>
      <w:r w:rsidRPr="00826B49">
        <w:rPr>
          <w:bCs/>
        </w:rPr>
        <w:t xml:space="preserve"> des </w:t>
      </w:r>
      <w:proofErr w:type="spellStart"/>
      <w:r w:rsidRPr="00826B49">
        <w:rPr>
          <w:bCs/>
        </w:rPr>
        <w:t>soudures</w:t>
      </w:r>
      <w:proofErr w:type="spellEnd"/>
      <w:r w:rsidRPr="00826B49">
        <w:rPr>
          <w:bCs/>
        </w:rPr>
        <w:t xml:space="preserve"> </w:t>
      </w:r>
      <w:proofErr w:type="spellStart"/>
      <w:r w:rsidRPr="00826B49">
        <w:rPr>
          <w:bCs/>
        </w:rPr>
        <w:t>en</w:t>
      </w:r>
      <w:proofErr w:type="spellEnd"/>
      <w:r w:rsidRPr="00826B49">
        <w:rPr>
          <w:bCs/>
        </w:rPr>
        <w:t xml:space="preserve"> </w:t>
      </w:r>
      <w:proofErr w:type="spellStart"/>
      <w:r w:rsidRPr="00826B49">
        <w:rPr>
          <w:bCs/>
        </w:rPr>
        <w:t>croix</w:t>
      </w:r>
      <w:proofErr w:type="spellEnd"/>
      <w:r w:rsidRPr="00826B49">
        <w:rPr>
          <w:bCs/>
        </w:rPr>
        <w:t xml:space="preserve"> et </w:t>
      </w:r>
      <w:proofErr w:type="spellStart"/>
      <w:r w:rsidRPr="00826B49">
        <w:rPr>
          <w:bCs/>
        </w:rPr>
        <w:t>toutes</w:t>
      </w:r>
      <w:proofErr w:type="spellEnd"/>
      <w:r w:rsidRPr="00826B49">
        <w:rPr>
          <w:bCs/>
        </w:rPr>
        <w:t xml:space="preserve"> les </w:t>
      </w:r>
      <w:proofErr w:type="spellStart"/>
      <w:r w:rsidRPr="00826B49">
        <w:rPr>
          <w:bCs/>
        </w:rPr>
        <w:t>soudures</w:t>
      </w:r>
      <w:proofErr w:type="spellEnd"/>
      <w:r w:rsidRPr="00826B49">
        <w:rPr>
          <w:bCs/>
        </w:rPr>
        <w:t xml:space="preserve"> </w:t>
      </w:r>
      <w:proofErr w:type="spellStart"/>
      <w:r w:rsidRPr="00826B49">
        <w:rPr>
          <w:bCs/>
        </w:rPr>
        <w:t>dans</w:t>
      </w:r>
      <w:proofErr w:type="spellEnd"/>
      <w:r w:rsidRPr="00826B49">
        <w:t xml:space="preserve"> la </w:t>
      </w:r>
      <w:proofErr w:type="spellStart"/>
      <w:r w:rsidRPr="00826B49">
        <w:t>carre</w:t>
      </w:r>
      <w:proofErr w:type="spellEnd"/>
      <w:r w:rsidRPr="00826B49">
        <w:t xml:space="preserve"> des </w:t>
      </w:r>
      <w:proofErr w:type="spellStart"/>
      <w:r w:rsidRPr="00826B49">
        <w:t>fond</w:t>
      </w:r>
      <w:r w:rsidRPr="006B724C">
        <w:t>s</w:t>
      </w:r>
      <w:proofErr w:type="spellEnd"/>
      <w:r w:rsidRPr="006B724C">
        <w:t xml:space="preserve"> de la </w:t>
      </w:r>
      <w:proofErr w:type="spellStart"/>
      <w:r w:rsidRPr="006B724C">
        <w:t>citerne</w:t>
      </w:r>
      <w:proofErr w:type="spellEnd"/>
      <w:proofErr w:type="gramStart"/>
      <w:r w:rsidRPr="006B724C">
        <w:rPr>
          <w:bCs/>
        </w:rPr>
        <w:t>.»</w:t>
      </w:r>
      <w:proofErr w:type="gramEnd"/>
      <w:r w:rsidRPr="006B724C">
        <w:rPr>
          <w:bCs/>
        </w:rPr>
        <w:t>.</w:t>
      </w:r>
    </w:p>
    <w:p w14:paraId="11425882" w14:textId="77777777" w:rsidR="0082186B" w:rsidRPr="006B724C" w:rsidRDefault="0082186B" w:rsidP="0082186B">
      <w:pPr>
        <w:pStyle w:val="SingleTxtG"/>
        <w:rPr>
          <w:i/>
          <w:iCs/>
          <w:lang w:val="fr-FR"/>
        </w:rPr>
      </w:pPr>
      <w:r w:rsidRPr="006B724C">
        <w:rPr>
          <w:i/>
          <w:iCs/>
          <w:lang w:val="fr-FR"/>
        </w:rPr>
        <w:t>(</w:t>
      </w:r>
      <w:r w:rsidRPr="006B724C">
        <w:rPr>
          <w:i/>
        </w:rPr>
        <w:t xml:space="preserve">Documents </w:t>
      </w:r>
      <w:r w:rsidRPr="006B724C">
        <w:rPr>
          <w:i/>
          <w:iCs/>
          <w:lang w:val="fr-FR"/>
        </w:rPr>
        <w:t>de référence: ECE/TRANS/WP.15/AC.1/2017/19 et document informel INF.34)</w:t>
      </w:r>
    </w:p>
    <w:p w14:paraId="394A1ADD" w14:textId="77777777" w:rsidR="0082186B" w:rsidRPr="006B724C" w:rsidRDefault="0082186B" w:rsidP="0082186B">
      <w:pPr>
        <w:pStyle w:val="SingleTxtG"/>
      </w:pPr>
      <w:r w:rsidRPr="006B724C">
        <w:t>Pour «</w:t>
      </w:r>
      <w:r w:rsidRPr="006B724C">
        <w:rPr>
          <w:lang w:val="fr-FR"/>
        </w:rPr>
        <w:sym w:font="Symbol" w:char="F06C"/>
      </w:r>
      <w:r w:rsidRPr="006B724C">
        <w:t xml:space="preserve"> = 0</w:t>
      </w:r>
      <w:proofErr w:type="gramStart"/>
      <w:r w:rsidRPr="006B724C">
        <w:t>,9</w:t>
      </w:r>
      <w:proofErr w:type="gramEnd"/>
      <w:r w:rsidRPr="006B724C">
        <w:t xml:space="preserve">», modifier la </w:t>
      </w:r>
      <w:proofErr w:type="spellStart"/>
      <w:r w:rsidRPr="006B724C">
        <w:t>deuxième</w:t>
      </w:r>
      <w:proofErr w:type="spellEnd"/>
      <w:r w:rsidRPr="006B724C">
        <w:t xml:space="preserve"> phrase </w:t>
      </w:r>
      <w:proofErr w:type="spellStart"/>
      <w:r w:rsidRPr="006B724C">
        <w:t>comme</w:t>
      </w:r>
      <w:proofErr w:type="spellEnd"/>
      <w:r w:rsidRPr="006B724C">
        <w:t xml:space="preserve"> suit:</w:t>
      </w:r>
    </w:p>
    <w:p w14:paraId="6AF56D7E" w14:textId="77777777" w:rsidR="0082186B" w:rsidRDefault="0082186B" w:rsidP="0082186B">
      <w:pPr>
        <w:pStyle w:val="SingleTxtG"/>
      </w:pPr>
      <w:r w:rsidRPr="006B724C">
        <w:t xml:space="preserve">«Les </w:t>
      </w:r>
      <w:proofErr w:type="spellStart"/>
      <w:r w:rsidRPr="006B724C">
        <w:t>contrôles</w:t>
      </w:r>
      <w:proofErr w:type="spellEnd"/>
      <w:r w:rsidRPr="006B724C">
        <w:t xml:space="preserve"> non </w:t>
      </w:r>
      <w:proofErr w:type="spellStart"/>
      <w:r w:rsidRPr="006B724C">
        <w:t>destructifs</w:t>
      </w:r>
      <w:proofErr w:type="spellEnd"/>
      <w:r w:rsidRPr="006B724C">
        <w:t xml:space="preserve"> </w:t>
      </w:r>
      <w:proofErr w:type="spellStart"/>
      <w:r w:rsidRPr="006B724C">
        <w:t>doivent</w:t>
      </w:r>
      <w:proofErr w:type="spellEnd"/>
      <w:r w:rsidRPr="006B724C">
        <w:t xml:space="preserve"> </w:t>
      </w:r>
      <w:proofErr w:type="spellStart"/>
      <w:r w:rsidRPr="006B724C">
        <w:t>comprendre</w:t>
      </w:r>
      <w:proofErr w:type="spellEnd"/>
      <w:r w:rsidRPr="006B724C">
        <w:t xml:space="preserve"> </w:t>
      </w:r>
      <w:proofErr w:type="spellStart"/>
      <w:r w:rsidRPr="006B724C">
        <w:t>tous</w:t>
      </w:r>
      <w:proofErr w:type="spellEnd"/>
      <w:r w:rsidRPr="006B724C">
        <w:t xml:space="preserve"> les </w:t>
      </w:r>
      <w:proofErr w:type="spellStart"/>
      <w:r w:rsidRPr="006B724C">
        <w:t>nœuds</w:t>
      </w:r>
      <w:proofErr w:type="spellEnd"/>
      <w:r w:rsidRPr="006B724C">
        <w:t xml:space="preserve"> de </w:t>
      </w:r>
      <w:proofErr w:type="spellStart"/>
      <w:r w:rsidRPr="006B724C">
        <w:t>soudure</w:t>
      </w:r>
      <w:proofErr w:type="spellEnd"/>
      <w:r w:rsidRPr="006B724C">
        <w:t xml:space="preserve">, </w:t>
      </w:r>
      <w:proofErr w:type="spellStart"/>
      <w:r w:rsidRPr="006B724C">
        <w:t>tous</w:t>
      </w:r>
      <w:proofErr w:type="spellEnd"/>
      <w:r w:rsidRPr="006B724C">
        <w:t xml:space="preserve"> les inserts </w:t>
      </w:r>
      <w:proofErr w:type="spellStart"/>
      <w:r w:rsidRPr="006B724C">
        <w:t>utilisés</w:t>
      </w:r>
      <w:proofErr w:type="spellEnd"/>
      <w:r w:rsidRPr="006B724C">
        <w:t xml:space="preserve"> pour </w:t>
      </w:r>
      <w:proofErr w:type="spellStart"/>
      <w:r w:rsidRPr="006B724C">
        <w:t>éviter</w:t>
      </w:r>
      <w:proofErr w:type="spellEnd"/>
      <w:r w:rsidRPr="006B724C">
        <w:t xml:space="preserve"> des </w:t>
      </w:r>
      <w:proofErr w:type="spellStart"/>
      <w:r w:rsidRPr="006B724C">
        <w:t>soudures</w:t>
      </w:r>
      <w:proofErr w:type="spellEnd"/>
      <w:r w:rsidRPr="006B724C">
        <w:t xml:space="preserve"> </w:t>
      </w:r>
      <w:proofErr w:type="spellStart"/>
      <w:r w:rsidRPr="006B724C">
        <w:t>en</w:t>
      </w:r>
      <w:proofErr w:type="spellEnd"/>
      <w:r w:rsidRPr="006B724C">
        <w:t xml:space="preserve"> </w:t>
      </w:r>
      <w:proofErr w:type="spellStart"/>
      <w:r w:rsidRPr="006B724C">
        <w:t>croix</w:t>
      </w:r>
      <w:proofErr w:type="spellEnd"/>
      <w:r w:rsidRPr="006B724C">
        <w:t xml:space="preserve">, </w:t>
      </w:r>
      <w:proofErr w:type="spellStart"/>
      <w:r w:rsidRPr="006B724C">
        <w:rPr>
          <w:bCs/>
        </w:rPr>
        <w:t>toutes</w:t>
      </w:r>
      <w:proofErr w:type="spellEnd"/>
      <w:r w:rsidRPr="006B724C">
        <w:rPr>
          <w:bCs/>
        </w:rPr>
        <w:t xml:space="preserve"> les </w:t>
      </w:r>
      <w:proofErr w:type="spellStart"/>
      <w:r w:rsidRPr="006B724C">
        <w:rPr>
          <w:bCs/>
        </w:rPr>
        <w:t>soudures</w:t>
      </w:r>
      <w:proofErr w:type="spellEnd"/>
      <w:r w:rsidRPr="006B724C">
        <w:rPr>
          <w:bCs/>
        </w:rPr>
        <w:t xml:space="preserve"> </w:t>
      </w:r>
      <w:proofErr w:type="spellStart"/>
      <w:r w:rsidRPr="006B724C">
        <w:rPr>
          <w:bCs/>
        </w:rPr>
        <w:t>dans</w:t>
      </w:r>
      <w:proofErr w:type="spellEnd"/>
      <w:r w:rsidRPr="006B724C">
        <w:rPr>
          <w:bCs/>
        </w:rPr>
        <w:t xml:space="preserve"> la </w:t>
      </w:r>
      <w:proofErr w:type="spellStart"/>
      <w:r w:rsidRPr="006B724C">
        <w:t>carre</w:t>
      </w:r>
      <w:proofErr w:type="spellEnd"/>
      <w:r w:rsidRPr="006B724C">
        <w:rPr>
          <w:bCs/>
        </w:rPr>
        <w:t xml:space="preserve"> des </w:t>
      </w:r>
      <w:proofErr w:type="spellStart"/>
      <w:r w:rsidRPr="006B724C">
        <w:rPr>
          <w:bCs/>
        </w:rPr>
        <w:t>fonds</w:t>
      </w:r>
      <w:proofErr w:type="spellEnd"/>
      <w:r w:rsidRPr="006B724C">
        <w:rPr>
          <w:bCs/>
        </w:rPr>
        <w:t xml:space="preserve"> </w:t>
      </w:r>
      <w:r w:rsidRPr="006B724C">
        <w:t xml:space="preserve">de la </w:t>
      </w:r>
      <w:proofErr w:type="spellStart"/>
      <w:r w:rsidRPr="006B724C">
        <w:t>citerne</w:t>
      </w:r>
      <w:proofErr w:type="spellEnd"/>
      <w:r w:rsidRPr="00826B49">
        <w:t xml:space="preserve"> et </w:t>
      </w:r>
      <w:proofErr w:type="spellStart"/>
      <w:r w:rsidRPr="00826B49">
        <w:t>toutes</w:t>
      </w:r>
      <w:proofErr w:type="spellEnd"/>
      <w:r w:rsidRPr="00826B49">
        <w:t xml:space="preserve"> les </w:t>
      </w:r>
      <w:proofErr w:type="spellStart"/>
      <w:r w:rsidRPr="00826B49">
        <w:t>soudures</w:t>
      </w:r>
      <w:proofErr w:type="spellEnd"/>
      <w:r w:rsidRPr="00826B49">
        <w:t xml:space="preserve"> </w:t>
      </w:r>
      <w:proofErr w:type="spellStart"/>
      <w:r w:rsidRPr="00826B49">
        <w:t>d'assemblage</w:t>
      </w:r>
      <w:proofErr w:type="spellEnd"/>
      <w:r w:rsidRPr="00826B49">
        <w:t xml:space="preserve"> </w:t>
      </w:r>
      <w:proofErr w:type="spellStart"/>
      <w:r w:rsidRPr="00826B49">
        <w:t>d'équipements</w:t>
      </w:r>
      <w:proofErr w:type="spellEnd"/>
      <w:r w:rsidRPr="00826B49">
        <w:t xml:space="preserve"> de </w:t>
      </w:r>
      <w:proofErr w:type="spellStart"/>
      <w:r w:rsidRPr="00826B49">
        <w:t>diamètre</w:t>
      </w:r>
      <w:proofErr w:type="spellEnd"/>
      <w:r w:rsidRPr="00826B49">
        <w:t xml:space="preserve"> important</w:t>
      </w:r>
      <w:r w:rsidRPr="00B85065">
        <w:t>.».</w:t>
      </w:r>
    </w:p>
    <w:p w14:paraId="6476797A" w14:textId="77777777" w:rsidR="0082186B" w:rsidRDefault="0082186B" w:rsidP="0082186B">
      <w:pPr>
        <w:pStyle w:val="SingleTxtG"/>
        <w:rPr>
          <w:b/>
        </w:rPr>
      </w:pPr>
      <w:r w:rsidRPr="00E754BF">
        <w:rPr>
          <w:i/>
          <w:iCs/>
          <w:lang w:val="fr-FR"/>
        </w:rPr>
        <w:t>(</w:t>
      </w:r>
      <w:r w:rsidRPr="00E754BF">
        <w:rPr>
          <w:i/>
        </w:rPr>
        <w:t>Document</w:t>
      </w:r>
      <w:r>
        <w:rPr>
          <w:i/>
        </w:rPr>
        <w:t>s</w:t>
      </w:r>
      <w:r w:rsidRPr="00E754BF">
        <w:rPr>
          <w:i/>
        </w:rPr>
        <w:t xml:space="preserve"> </w:t>
      </w:r>
      <w:r w:rsidRPr="00E754BF">
        <w:rPr>
          <w:i/>
          <w:iCs/>
          <w:lang w:val="fr-FR"/>
        </w:rPr>
        <w:t xml:space="preserve">de référence: </w:t>
      </w:r>
      <w:r>
        <w:rPr>
          <w:i/>
          <w:iCs/>
          <w:lang w:val="fr-FR"/>
        </w:rPr>
        <w:t xml:space="preserve">ECE/TRANS/WP.15/AC.1/2017/19 et </w:t>
      </w:r>
      <w:r w:rsidRPr="00E754BF">
        <w:rPr>
          <w:i/>
          <w:iCs/>
          <w:lang w:val="fr-FR"/>
        </w:rPr>
        <w:t>document informel</w:t>
      </w:r>
      <w:r>
        <w:rPr>
          <w:i/>
          <w:iCs/>
          <w:lang w:val="fr-FR"/>
        </w:rPr>
        <w:t xml:space="preserve"> INF.34</w:t>
      </w:r>
      <w:r w:rsidRPr="00E754BF">
        <w:rPr>
          <w:i/>
          <w:iCs/>
          <w:lang w:val="fr-FR"/>
        </w:rPr>
        <w:t>)</w:t>
      </w:r>
    </w:p>
    <w:p w14:paraId="301F1D28" w14:textId="77777777" w:rsidR="0082186B" w:rsidRDefault="0082186B" w:rsidP="0082186B">
      <w:pPr>
        <w:pStyle w:val="SingleTxtG"/>
        <w:rPr>
          <w:b/>
        </w:rPr>
      </w:pPr>
      <w:r w:rsidRPr="00896077">
        <w:rPr>
          <w:bCs/>
        </w:rPr>
        <w:t>6.8.2.2.3</w:t>
      </w:r>
      <w:r>
        <w:rPr>
          <w:b/>
        </w:rPr>
        <w:tab/>
      </w:r>
      <w:proofErr w:type="spellStart"/>
      <w:r w:rsidRPr="00CC4733">
        <w:t>Ajouter</w:t>
      </w:r>
      <w:proofErr w:type="spellEnd"/>
      <w:r w:rsidRPr="00CC4733">
        <w:t xml:space="preserve"> </w:t>
      </w:r>
      <w:proofErr w:type="gramStart"/>
      <w:r w:rsidRPr="00CC4733">
        <w:t>un</w:t>
      </w:r>
      <w:proofErr w:type="gramEnd"/>
      <w:r w:rsidRPr="00CC4733">
        <w:t xml:space="preserve"> nouveau </w:t>
      </w:r>
      <w:proofErr w:type="spellStart"/>
      <w:r>
        <w:t>avant-dernier</w:t>
      </w:r>
      <w:proofErr w:type="spellEnd"/>
      <w:r>
        <w:t>/</w:t>
      </w:r>
      <w:proofErr w:type="spellStart"/>
      <w:r w:rsidRPr="00CC4733">
        <w:t>dernier</w:t>
      </w:r>
      <w:proofErr w:type="spellEnd"/>
      <w:r w:rsidRPr="00CC4733">
        <w:t xml:space="preserve"> </w:t>
      </w:r>
      <w:proofErr w:type="spellStart"/>
      <w:r w:rsidRPr="00CC4733">
        <w:t>paragraphe</w:t>
      </w:r>
      <w:proofErr w:type="spellEnd"/>
      <w:r w:rsidRPr="00CC4733">
        <w:t xml:space="preserve"> </w:t>
      </w:r>
      <w:proofErr w:type="spellStart"/>
      <w:r w:rsidRPr="00CC4733">
        <w:t>libellé</w:t>
      </w:r>
      <w:proofErr w:type="spellEnd"/>
      <w:r w:rsidRPr="00CC4733">
        <w:t xml:space="preserve"> </w:t>
      </w:r>
      <w:proofErr w:type="spellStart"/>
      <w:r w:rsidRPr="00CC4733">
        <w:t>comme</w:t>
      </w:r>
      <w:proofErr w:type="spellEnd"/>
      <w:r w:rsidRPr="00CC4733">
        <w:t xml:space="preserve"> suit:</w:t>
      </w:r>
    </w:p>
    <w:p w14:paraId="34AE4739" w14:textId="77777777" w:rsidR="0082186B" w:rsidRDefault="0082186B" w:rsidP="0082186B">
      <w:pPr>
        <w:pStyle w:val="SingleTxtG"/>
      </w:pPr>
      <w:r w:rsidRPr="00974DAA">
        <w:t>«</w:t>
      </w:r>
      <w:proofErr w:type="spellStart"/>
      <w:r>
        <w:t>Dans</w:t>
      </w:r>
      <w:proofErr w:type="spellEnd"/>
      <w:r>
        <w:t xml:space="preserve"> le </w:t>
      </w:r>
      <w:proofErr w:type="spellStart"/>
      <w:proofErr w:type="gramStart"/>
      <w:r>
        <w:t>cas</w:t>
      </w:r>
      <w:proofErr w:type="spellEnd"/>
      <w:proofErr w:type="gramEnd"/>
      <w:r>
        <w:t xml:space="preserve"> des </w:t>
      </w:r>
      <w:proofErr w:type="spellStart"/>
      <w:r w:rsidRPr="006B724C">
        <w:t>dispositifs</w:t>
      </w:r>
      <w:proofErr w:type="spellEnd"/>
      <w:r w:rsidRPr="006B724C">
        <w:t xml:space="preserve"> de respiration, les </w:t>
      </w:r>
      <w:proofErr w:type="spellStart"/>
      <w:r w:rsidRPr="006B724C">
        <w:t>arrête-flammes</w:t>
      </w:r>
      <w:proofErr w:type="spellEnd"/>
      <w:r w:rsidRPr="006B724C">
        <w:t xml:space="preserve"> </w:t>
      </w:r>
      <w:proofErr w:type="spellStart"/>
      <w:r w:rsidRPr="00974DAA">
        <w:t>doivent</w:t>
      </w:r>
      <w:proofErr w:type="spellEnd"/>
      <w:r w:rsidRPr="00974DAA">
        <w:t xml:space="preserve"> </w:t>
      </w:r>
      <w:proofErr w:type="spellStart"/>
      <w:r w:rsidRPr="00974DAA">
        <w:t>être</w:t>
      </w:r>
      <w:proofErr w:type="spellEnd"/>
      <w:r w:rsidRPr="00974DAA">
        <w:t xml:space="preserve"> </w:t>
      </w:r>
      <w:proofErr w:type="spellStart"/>
      <w:r w:rsidRPr="00974DAA">
        <w:t>adaptés</w:t>
      </w:r>
      <w:proofErr w:type="spellEnd"/>
      <w:r w:rsidRPr="00974DAA">
        <w:t xml:space="preserve"> </w:t>
      </w:r>
      <w:r>
        <w:t>aux</w:t>
      </w:r>
      <w:r w:rsidRPr="00974DAA">
        <w:t xml:space="preserve"> </w:t>
      </w:r>
      <w:proofErr w:type="spellStart"/>
      <w:r w:rsidRPr="00974DAA">
        <w:t>vapeur</w:t>
      </w:r>
      <w:r>
        <w:t>s</w:t>
      </w:r>
      <w:proofErr w:type="spellEnd"/>
      <w:r w:rsidRPr="00974DAA">
        <w:t xml:space="preserve"> </w:t>
      </w:r>
      <w:proofErr w:type="spellStart"/>
      <w:r w:rsidRPr="00974DAA">
        <w:t>émise</w:t>
      </w:r>
      <w:r>
        <w:t>s</w:t>
      </w:r>
      <w:proofErr w:type="spellEnd"/>
      <w:r w:rsidRPr="00974DAA">
        <w:t xml:space="preserve"> par les </w:t>
      </w:r>
      <w:proofErr w:type="spellStart"/>
      <w:r w:rsidRPr="00974DAA">
        <w:t>matières</w:t>
      </w:r>
      <w:proofErr w:type="spellEnd"/>
      <w:r w:rsidRPr="00974DAA">
        <w:t xml:space="preserve"> </w:t>
      </w:r>
      <w:proofErr w:type="spellStart"/>
      <w:r w:rsidRPr="00974DAA">
        <w:t>transportées</w:t>
      </w:r>
      <w:proofErr w:type="spellEnd"/>
      <w:r w:rsidRPr="00974DAA">
        <w:t xml:space="preserve"> (</w:t>
      </w:r>
      <w:r w:rsidRPr="00974DAA">
        <w:rPr>
          <w:lang w:val="fr-FR"/>
        </w:rPr>
        <w:t>interstice expérimental maximal de sécurité</w:t>
      </w:r>
      <w:r w:rsidRPr="00974DAA">
        <w:t xml:space="preserve"> − IEMS), à la </w:t>
      </w:r>
      <w:proofErr w:type="spellStart"/>
      <w:r w:rsidRPr="00974DAA">
        <w:t>plage</w:t>
      </w:r>
      <w:proofErr w:type="spellEnd"/>
      <w:r w:rsidRPr="00974DAA">
        <w:t xml:space="preserve"> de </w:t>
      </w:r>
      <w:proofErr w:type="spellStart"/>
      <w:r w:rsidRPr="00974DAA">
        <w:t>température</w:t>
      </w:r>
      <w:proofErr w:type="spellEnd"/>
      <w:r w:rsidRPr="00974DAA">
        <w:t xml:space="preserve"> et à </w:t>
      </w:r>
      <w:proofErr w:type="spellStart"/>
      <w:r w:rsidRPr="00974DAA">
        <w:t>l’application</w:t>
      </w:r>
      <w:proofErr w:type="spellEnd"/>
      <w:r w:rsidRPr="00974DAA">
        <w:t xml:space="preserve"> </w:t>
      </w:r>
      <w:proofErr w:type="spellStart"/>
      <w:r w:rsidRPr="00974DAA">
        <w:t>prévue</w:t>
      </w:r>
      <w:proofErr w:type="spellEnd"/>
      <w:r w:rsidRPr="00974DAA">
        <w:t xml:space="preserve">. </w:t>
      </w:r>
      <w:proofErr w:type="spellStart"/>
      <w:r w:rsidRPr="00974DAA">
        <w:t>Ils</w:t>
      </w:r>
      <w:proofErr w:type="spellEnd"/>
      <w:r w:rsidRPr="00974DAA">
        <w:t xml:space="preserve"> </w:t>
      </w:r>
      <w:proofErr w:type="spellStart"/>
      <w:r w:rsidRPr="00974DAA">
        <w:t>doivent</w:t>
      </w:r>
      <w:proofErr w:type="spellEnd"/>
      <w:r w:rsidRPr="00974DAA">
        <w:t xml:space="preserve"> </w:t>
      </w:r>
      <w:proofErr w:type="spellStart"/>
      <w:r>
        <w:t>répondre</w:t>
      </w:r>
      <w:proofErr w:type="spellEnd"/>
      <w:r>
        <w:t xml:space="preserve"> aux</w:t>
      </w:r>
      <w:r w:rsidRPr="00974DAA">
        <w:t xml:space="preserve"> prescriptions et </w:t>
      </w:r>
      <w:proofErr w:type="spellStart"/>
      <w:r>
        <w:t>essais</w:t>
      </w:r>
      <w:proofErr w:type="spellEnd"/>
      <w:r w:rsidRPr="00974DAA">
        <w:t xml:space="preserve"> </w:t>
      </w:r>
      <w:proofErr w:type="spellStart"/>
      <w:r w:rsidRPr="00974DAA">
        <w:t>spécifiés</w:t>
      </w:r>
      <w:proofErr w:type="spellEnd"/>
      <w:r w:rsidRPr="00974DAA">
        <w:t xml:space="preserve"> </w:t>
      </w:r>
      <w:proofErr w:type="spellStart"/>
      <w:r w:rsidRPr="00974DAA">
        <w:t>dans</w:t>
      </w:r>
      <w:proofErr w:type="spellEnd"/>
      <w:r w:rsidRPr="00974DAA">
        <w:t xml:space="preserve"> la </w:t>
      </w:r>
      <w:proofErr w:type="spellStart"/>
      <w:r w:rsidRPr="00974DAA">
        <w:t>norme</w:t>
      </w:r>
      <w:proofErr w:type="spellEnd"/>
      <w:r w:rsidRPr="00974DAA">
        <w:t xml:space="preserve"> EN</w:t>
      </w:r>
      <w:r>
        <w:t> </w:t>
      </w:r>
      <w:r w:rsidRPr="00974DAA">
        <w:t>ISO</w:t>
      </w:r>
      <w:r>
        <w:t> </w:t>
      </w:r>
      <w:r w:rsidRPr="00974DAA">
        <w:t>16852</w:t>
      </w:r>
      <w:proofErr w:type="gramStart"/>
      <w:r w:rsidRPr="00974DAA">
        <w:t>:</w:t>
      </w:r>
      <w:r>
        <w:t>[</w:t>
      </w:r>
      <w:proofErr w:type="gramEnd"/>
      <w:r w:rsidRPr="00974DAA">
        <w:t>2010</w:t>
      </w:r>
      <w:r>
        <w:t>]</w:t>
      </w:r>
      <w:r w:rsidRPr="00974DAA">
        <w:t xml:space="preserve">, pour les </w:t>
      </w:r>
      <w:proofErr w:type="spellStart"/>
      <w:r w:rsidRPr="00974DAA">
        <w:t>cas</w:t>
      </w:r>
      <w:proofErr w:type="spellEnd"/>
      <w:r w:rsidRPr="00974DAA">
        <w:t xml:space="preserve"> </w:t>
      </w:r>
      <w:proofErr w:type="spellStart"/>
      <w:r w:rsidRPr="00974DAA">
        <w:t>énum</w:t>
      </w:r>
      <w:r>
        <w:t>érés</w:t>
      </w:r>
      <w:proofErr w:type="spellEnd"/>
      <w:r>
        <w:t xml:space="preserve"> </w:t>
      </w:r>
      <w:proofErr w:type="spellStart"/>
      <w:r>
        <w:t>dans</w:t>
      </w:r>
      <w:proofErr w:type="spellEnd"/>
      <w:r>
        <w:t xml:space="preserve"> le tableau ci-</w:t>
      </w:r>
      <w:proofErr w:type="spellStart"/>
      <w:r>
        <w:t>dessous</w:t>
      </w:r>
      <w:proofErr w:type="spellEnd"/>
      <w:r w:rsidRPr="00974DAA">
        <w:t>:</w:t>
      </w:r>
    </w:p>
    <w:tbl>
      <w:tblPr>
        <w:tblStyle w:val="TableGrid"/>
        <w:tblW w:w="7797" w:type="dxa"/>
        <w:tblInd w:w="1139" w:type="dxa"/>
        <w:tblLayout w:type="fixed"/>
        <w:tblLook w:val="04A0" w:firstRow="1" w:lastRow="0" w:firstColumn="1" w:lastColumn="0" w:noHBand="0" w:noVBand="1"/>
      </w:tblPr>
      <w:tblGrid>
        <w:gridCol w:w="2693"/>
        <w:gridCol w:w="5104"/>
      </w:tblGrid>
      <w:tr w:rsidR="0082186B" w:rsidRPr="00E714E2" w14:paraId="4FEB03B1" w14:textId="77777777" w:rsidTr="002068EF">
        <w:trPr>
          <w:tblHeader/>
        </w:trPr>
        <w:tc>
          <w:tcPr>
            <w:tcW w:w="2693" w:type="dxa"/>
            <w:shd w:val="clear" w:color="auto" w:fill="auto"/>
            <w:vAlign w:val="bottom"/>
          </w:tcPr>
          <w:p w14:paraId="1CEF1852" w14:textId="77777777" w:rsidR="0082186B" w:rsidRPr="00E714E2" w:rsidRDefault="0082186B" w:rsidP="002068EF">
            <w:r w:rsidRPr="00E714E2">
              <w:t>Application/installation</w:t>
            </w:r>
          </w:p>
        </w:tc>
        <w:tc>
          <w:tcPr>
            <w:tcW w:w="5104" w:type="dxa"/>
            <w:shd w:val="clear" w:color="auto" w:fill="auto"/>
            <w:vAlign w:val="bottom"/>
          </w:tcPr>
          <w:p w14:paraId="1B84C7A0" w14:textId="77777777" w:rsidR="0082186B" w:rsidRPr="00E714E2" w:rsidRDefault="0082186B" w:rsidP="002068EF">
            <w:r>
              <w:t>Exigences relatives aux essais</w:t>
            </w:r>
          </w:p>
        </w:tc>
      </w:tr>
      <w:tr w:rsidR="0082186B" w:rsidRPr="00C47D33" w14:paraId="7F08C49D" w14:textId="77777777" w:rsidTr="002068EF">
        <w:tc>
          <w:tcPr>
            <w:tcW w:w="2693" w:type="dxa"/>
            <w:tcBorders>
              <w:bottom w:val="single" w:sz="4" w:space="0" w:color="auto"/>
            </w:tcBorders>
            <w:shd w:val="clear" w:color="auto" w:fill="auto"/>
          </w:tcPr>
          <w:p w14:paraId="05F96A7B" w14:textId="77777777" w:rsidR="0082186B" w:rsidRPr="00C47D33" w:rsidRDefault="0082186B" w:rsidP="002068EF">
            <w:r>
              <w:t>Communication directe</w:t>
            </w:r>
            <w:r w:rsidRPr="00C47D33">
              <w:t xml:space="preserve"> avec l’atmosphère</w:t>
            </w:r>
          </w:p>
        </w:tc>
        <w:tc>
          <w:tcPr>
            <w:tcW w:w="5104" w:type="dxa"/>
            <w:shd w:val="clear" w:color="auto" w:fill="auto"/>
          </w:tcPr>
          <w:p w14:paraId="4C76A79B" w14:textId="77777777" w:rsidR="0082186B" w:rsidRPr="00C47D33" w:rsidRDefault="0082186B" w:rsidP="002068EF">
            <w:r w:rsidRPr="00C47D33">
              <w:t>EN</w:t>
            </w:r>
            <w:r>
              <w:t> </w:t>
            </w:r>
            <w:r w:rsidRPr="00C47D33">
              <w:t>ISO</w:t>
            </w:r>
            <w:r>
              <w:t> </w:t>
            </w:r>
            <w:r w:rsidRPr="00C47D33">
              <w:t>16852:</w:t>
            </w:r>
            <w:r>
              <w:t>[</w:t>
            </w:r>
            <w:r w:rsidRPr="00C47D33">
              <w:t>2010</w:t>
            </w:r>
            <w:r>
              <w:t>]</w:t>
            </w:r>
            <w:r w:rsidRPr="00C47D33">
              <w:t>, 7.3.2.1</w:t>
            </w:r>
          </w:p>
        </w:tc>
      </w:tr>
      <w:tr w:rsidR="0082186B" w:rsidRPr="00C47D33" w14:paraId="6BC66603" w14:textId="77777777" w:rsidTr="002068EF">
        <w:tc>
          <w:tcPr>
            <w:tcW w:w="2693" w:type="dxa"/>
            <w:tcBorders>
              <w:bottom w:val="nil"/>
            </w:tcBorders>
            <w:shd w:val="clear" w:color="auto" w:fill="auto"/>
          </w:tcPr>
          <w:p w14:paraId="0E6BBD0A" w14:textId="77777777" w:rsidR="0082186B" w:rsidRPr="00C47D33" w:rsidRDefault="0082186B" w:rsidP="002068EF">
            <w:r>
              <w:t>Communication</w:t>
            </w:r>
            <w:r w:rsidRPr="00C47D33">
              <w:t xml:space="preserve"> avec la tuyauterie</w:t>
            </w:r>
          </w:p>
        </w:tc>
        <w:tc>
          <w:tcPr>
            <w:tcW w:w="5104" w:type="dxa"/>
            <w:shd w:val="clear" w:color="auto" w:fill="auto"/>
            <w:vAlign w:val="bottom"/>
          </w:tcPr>
          <w:p w14:paraId="563FE1CD" w14:textId="77777777" w:rsidR="0082186B" w:rsidRPr="00C47D33" w:rsidRDefault="0082186B" w:rsidP="002068EF">
            <w:r w:rsidRPr="00C47D33">
              <w:t>EN</w:t>
            </w:r>
            <w:r>
              <w:t> </w:t>
            </w:r>
            <w:r w:rsidRPr="00C47D33">
              <w:t>ISO</w:t>
            </w:r>
            <w:r>
              <w:t> </w:t>
            </w:r>
            <w:r w:rsidRPr="00C47D33">
              <w:t>16852:</w:t>
            </w:r>
            <w:r>
              <w:t>[</w:t>
            </w:r>
            <w:r w:rsidRPr="00C47D33">
              <w:t>2010</w:t>
            </w:r>
            <w:r>
              <w:t>]</w:t>
            </w:r>
            <w:r w:rsidRPr="00C47D33">
              <w:t xml:space="preserve">, 7.3.3.2 (s’applique à l’ensemble soupape/arrête-flamme </w:t>
            </w:r>
            <w:r>
              <w:t>lorsqu’ils sont soumis à l’essai</w:t>
            </w:r>
            <w:r w:rsidRPr="00C47D33">
              <w:t xml:space="preserve"> conjointement)</w:t>
            </w:r>
          </w:p>
        </w:tc>
      </w:tr>
      <w:tr w:rsidR="0082186B" w:rsidRPr="00C47D33" w14:paraId="65491578" w14:textId="77777777" w:rsidTr="002068EF">
        <w:tc>
          <w:tcPr>
            <w:tcW w:w="2693" w:type="dxa"/>
            <w:tcBorders>
              <w:top w:val="nil"/>
            </w:tcBorders>
            <w:shd w:val="clear" w:color="auto" w:fill="auto"/>
          </w:tcPr>
          <w:p w14:paraId="35447A8D" w14:textId="77777777" w:rsidR="0082186B" w:rsidRPr="00C47D33" w:rsidRDefault="0082186B" w:rsidP="002068EF"/>
        </w:tc>
        <w:tc>
          <w:tcPr>
            <w:tcW w:w="5104" w:type="dxa"/>
            <w:shd w:val="clear" w:color="auto" w:fill="auto"/>
            <w:vAlign w:val="bottom"/>
          </w:tcPr>
          <w:p w14:paraId="1F1E37A2" w14:textId="77777777" w:rsidR="0082186B" w:rsidRPr="00C47D33" w:rsidRDefault="0082186B" w:rsidP="002068EF">
            <w:r w:rsidRPr="00C47D33">
              <w:t>EN</w:t>
            </w:r>
            <w:r>
              <w:t> </w:t>
            </w:r>
            <w:r w:rsidRPr="00C47D33">
              <w:t>ISO</w:t>
            </w:r>
            <w:r>
              <w:t> </w:t>
            </w:r>
            <w:r w:rsidRPr="00C47D33">
              <w:t>16852:</w:t>
            </w:r>
            <w:r>
              <w:t>[</w:t>
            </w:r>
            <w:r w:rsidRPr="00C47D33">
              <w:t>2010</w:t>
            </w:r>
            <w:r>
              <w:t>]</w:t>
            </w:r>
            <w:r w:rsidRPr="00C47D33">
              <w:t>, 7.3.</w:t>
            </w:r>
            <w:r>
              <w:t>3.3</w:t>
            </w:r>
            <w:r w:rsidRPr="00C47D33">
              <w:t xml:space="preserve"> (s’applique aux arrête-flammes </w:t>
            </w:r>
            <w:r>
              <w:t>soumis à l’essai</w:t>
            </w:r>
            <w:r w:rsidRPr="00C47D33">
              <w:t xml:space="preserve"> indépendamment des</w:t>
            </w:r>
            <w:r>
              <w:t> </w:t>
            </w:r>
            <w:r w:rsidRPr="00C47D33">
              <w:t>soupapes)</w:t>
            </w:r>
          </w:p>
        </w:tc>
      </w:tr>
    </w:tbl>
    <w:p w14:paraId="3FC991B5" w14:textId="77777777" w:rsidR="0082186B" w:rsidRDefault="0082186B" w:rsidP="0082186B">
      <w:pPr>
        <w:pStyle w:val="SingleTxtG"/>
      </w:pPr>
      <w:r w:rsidRPr="006F64CF">
        <w:t>»</w:t>
      </w:r>
      <w:r>
        <w:t>.</w:t>
      </w:r>
    </w:p>
    <w:p w14:paraId="32E7A2EC" w14:textId="77777777" w:rsidR="0082186B" w:rsidRDefault="0082186B" w:rsidP="0082186B">
      <w:pPr>
        <w:pStyle w:val="SingleTxtG"/>
        <w:rPr>
          <w:b/>
        </w:rPr>
      </w:pPr>
      <w:r w:rsidRPr="00E754BF">
        <w:rPr>
          <w:i/>
          <w:iCs/>
          <w:lang w:val="fr-FR"/>
        </w:rPr>
        <w:t>(</w:t>
      </w:r>
      <w:r w:rsidRPr="00E754BF">
        <w:rPr>
          <w:i/>
        </w:rPr>
        <w:t>Document</w:t>
      </w:r>
      <w:r>
        <w:rPr>
          <w:i/>
        </w:rPr>
        <w:t>s</w:t>
      </w:r>
      <w:r w:rsidRPr="00E754BF">
        <w:rPr>
          <w:i/>
        </w:rPr>
        <w:t xml:space="preserve"> </w:t>
      </w:r>
      <w:r>
        <w:rPr>
          <w:i/>
          <w:iCs/>
          <w:lang w:val="fr-FR"/>
        </w:rPr>
        <w:t>de référence</w:t>
      </w:r>
      <w:r w:rsidRPr="00E754BF">
        <w:rPr>
          <w:i/>
          <w:iCs/>
          <w:lang w:val="fr-FR"/>
        </w:rPr>
        <w:t xml:space="preserve">: </w:t>
      </w:r>
      <w:r>
        <w:rPr>
          <w:i/>
          <w:iCs/>
          <w:lang w:val="fr-FR"/>
        </w:rPr>
        <w:t xml:space="preserve">ECE/TRANS/WP.15/AC.1/2017/18 et </w:t>
      </w:r>
      <w:r w:rsidRPr="00E754BF">
        <w:rPr>
          <w:i/>
          <w:iCs/>
          <w:lang w:val="fr-FR"/>
        </w:rPr>
        <w:t>document informel</w:t>
      </w:r>
      <w:r>
        <w:rPr>
          <w:i/>
          <w:iCs/>
          <w:lang w:val="fr-FR"/>
        </w:rPr>
        <w:t xml:space="preserve"> INF.34</w:t>
      </w:r>
      <w:r w:rsidRPr="00E754BF">
        <w:rPr>
          <w:i/>
          <w:iCs/>
          <w:lang w:val="fr-FR"/>
        </w:rPr>
        <w:t>)</w:t>
      </w:r>
    </w:p>
    <w:p w14:paraId="7B620D39" w14:textId="77777777" w:rsidR="0082186B" w:rsidRDefault="0082186B" w:rsidP="0082186B">
      <w:pPr>
        <w:pStyle w:val="SingleTxtG"/>
        <w:rPr>
          <w:b/>
        </w:rPr>
      </w:pPr>
      <w:r w:rsidRPr="00896077">
        <w:rPr>
          <w:bCs/>
        </w:rPr>
        <w:t>6.8.2.2.10</w:t>
      </w:r>
      <w:r>
        <w:rPr>
          <w:b/>
        </w:rPr>
        <w:tab/>
      </w:r>
      <w:r w:rsidRPr="00241862">
        <w:t xml:space="preserve">Modifier le </w:t>
      </w:r>
      <w:proofErr w:type="spellStart"/>
      <w:r w:rsidRPr="00241862">
        <w:t>deuxième</w:t>
      </w:r>
      <w:proofErr w:type="spellEnd"/>
      <w:r w:rsidRPr="00241862">
        <w:t xml:space="preserve"> </w:t>
      </w:r>
      <w:proofErr w:type="spellStart"/>
      <w:r>
        <w:t>paragraphe</w:t>
      </w:r>
      <w:proofErr w:type="spellEnd"/>
      <w:r>
        <w:t xml:space="preserve"> pour lire </w:t>
      </w:r>
      <w:proofErr w:type="spellStart"/>
      <w:r>
        <w:t>comme</w:t>
      </w:r>
      <w:proofErr w:type="spellEnd"/>
      <w:r>
        <w:t xml:space="preserve"> suit</w:t>
      </w:r>
      <w:r w:rsidRPr="00241862">
        <w:t>:</w:t>
      </w:r>
    </w:p>
    <w:p w14:paraId="7BA24D92" w14:textId="77777777" w:rsidR="0082186B" w:rsidRDefault="0082186B" w:rsidP="0082186B">
      <w:pPr>
        <w:pStyle w:val="SingleTxtG"/>
      </w:pPr>
      <w:r w:rsidRPr="00241862">
        <w:lastRenderedPageBreak/>
        <w:t xml:space="preserve">«Le </w:t>
      </w:r>
      <w:proofErr w:type="spellStart"/>
      <w:r w:rsidRPr="00241862">
        <w:t>disque</w:t>
      </w:r>
      <w:proofErr w:type="spellEnd"/>
      <w:r w:rsidRPr="00241862">
        <w:t xml:space="preserve"> de rupture </w:t>
      </w:r>
      <w:proofErr w:type="spellStart"/>
      <w:r w:rsidRPr="00241862">
        <w:t>doit</w:t>
      </w:r>
      <w:proofErr w:type="spellEnd"/>
      <w:r w:rsidRPr="00241862">
        <w:t xml:space="preserve"> </w:t>
      </w:r>
      <w:proofErr w:type="spellStart"/>
      <w:r w:rsidRPr="00241862">
        <w:t>céder</w:t>
      </w:r>
      <w:proofErr w:type="spellEnd"/>
      <w:r w:rsidRPr="00241862">
        <w:t xml:space="preserve"> à </w:t>
      </w:r>
      <w:proofErr w:type="spellStart"/>
      <w:r w:rsidRPr="00241862">
        <w:t>une</w:t>
      </w:r>
      <w:proofErr w:type="spellEnd"/>
      <w:r w:rsidRPr="00241862">
        <w:t xml:space="preserve"> </w:t>
      </w:r>
      <w:proofErr w:type="spellStart"/>
      <w:r w:rsidRPr="00241862">
        <w:t>pression</w:t>
      </w:r>
      <w:proofErr w:type="spellEnd"/>
      <w:r w:rsidRPr="00241862">
        <w:t xml:space="preserve"> </w:t>
      </w:r>
      <w:proofErr w:type="spellStart"/>
      <w:r w:rsidRPr="00241862">
        <w:t>nominale</w:t>
      </w:r>
      <w:proofErr w:type="spellEnd"/>
      <w:r w:rsidRPr="00B41956">
        <w:rPr>
          <w:rFonts w:eastAsia="SimSun"/>
          <w:i/>
        </w:rPr>
        <w:t xml:space="preserve"> </w:t>
      </w:r>
      <w:r w:rsidRPr="00F60C0F">
        <w:t>[</w:t>
      </w:r>
      <w:r w:rsidRPr="00E80240">
        <w:rPr>
          <w:lang w:val="fr-FR"/>
        </w:rPr>
        <w:t>comprise entre 0</w:t>
      </w:r>
      <w:proofErr w:type="gramStart"/>
      <w:r w:rsidRPr="00E80240">
        <w:rPr>
          <w:lang w:val="fr-FR"/>
        </w:rPr>
        <w:t>,9</w:t>
      </w:r>
      <w:proofErr w:type="gramEnd"/>
      <w:r w:rsidRPr="00E80240">
        <w:rPr>
          <w:lang w:val="fr-FR"/>
        </w:rPr>
        <w:t xml:space="preserve"> et 1 fois la pression d’épreuve</w:t>
      </w:r>
      <w:r w:rsidRPr="00F60C0F">
        <w:t>]</w:t>
      </w:r>
      <w:r>
        <w:rPr>
          <w:rFonts w:eastAsia="SimSun"/>
        </w:rPr>
        <w:t xml:space="preserve">, </w:t>
      </w:r>
      <w:proofErr w:type="spellStart"/>
      <w:r w:rsidRPr="004234C5">
        <w:rPr>
          <w:rFonts w:eastAsia="SimSun"/>
        </w:rPr>
        <w:t>sauf</w:t>
      </w:r>
      <w:proofErr w:type="spellEnd"/>
      <w:r w:rsidRPr="004234C5">
        <w:rPr>
          <w:rFonts w:eastAsia="SimSun"/>
        </w:rPr>
        <w:t xml:space="preserve"> pour</w:t>
      </w:r>
      <w:r>
        <w:rPr>
          <w:rFonts w:eastAsia="SimSun"/>
        </w:rPr>
        <w:t xml:space="preserve"> </w:t>
      </w:r>
      <w:r w:rsidRPr="00241862">
        <w:t xml:space="preserve">les </w:t>
      </w:r>
      <w:proofErr w:type="spellStart"/>
      <w:r w:rsidRPr="00241862">
        <w:t>citernes</w:t>
      </w:r>
      <w:proofErr w:type="spellEnd"/>
      <w:r w:rsidRPr="00241862">
        <w:t xml:space="preserve"> </w:t>
      </w:r>
      <w:proofErr w:type="spellStart"/>
      <w:r w:rsidRPr="00241862">
        <w:t>destinées</w:t>
      </w:r>
      <w:proofErr w:type="spellEnd"/>
      <w:r w:rsidRPr="00241862">
        <w:t xml:space="preserve"> au transport de </w:t>
      </w:r>
      <w:proofErr w:type="spellStart"/>
      <w:r w:rsidRPr="00241862">
        <w:t>gaz</w:t>
      </w:r>
      <w:proofErr w:type="spellEnd"/>
      <w:r w:rsidRPr="00241862">
        <w:t xml:space="preserve"> </w:t>
      </w:r>
      <w:proofErr w:type="spellStart"/>
      <w:r>
        <w:t>comprimés</w:t>
      </w:r>
      <w:proofErr w:type="spellEnd"/>
      <w:r>
        <w:t xml:space="preserve">, </w:t>
      </w:r>
      <w:proofErr w:type="spellStart"/>
      <w:r>
        <w:t>liquéfiés</w:t>
      </w:r>
      <w:proofErr w:type="spellEnd"/>
      <w:r>
        <w:t xml:space="preserve"> </w:t>
      </w:r>
      <w:proofErr w:type="spellStart"/>
      <w:r>
        <w:t>ou</w:t>
      </w:r>
      <w:proofErr w:type="spellEnd"/>
      <w:r>
        <w:t xml:space="preserve"> </w:t>
      </w:r>
      <w:proofErr w:type="spellStart"/>
      <w:r>
        <w:t>dissous</w:t>
      </w:r>
      <w:proofErr w:type="spellEnd"/>
      <w:r>
        <w:t xml:space="preserve"> </w:t>
      </w:r>
      <w:r w:rsidRPr="004234C5">
        <w:t xml:space="preserve">pour </w:t>
      </w:r>
      <w:proofErr w:type="spellStart"/>
      <w:r w:rsidRPr="004234C5">
        <w:t>lesquelles</w:t>
      </w:r>
      <w:proofErr w:type="spellEnd"/>
      <w:r>
        <w:t xml:space="preserve"> </w:t>
      </w:r>
      <w:r w:rsidRPr="00241862">
        <w:t>la</w:t>
      </w:r>
      <w:r w:rsidRPr="002F4A24">
        <w:t xml:space="preserve"> disposition du </w:t>
      </w:r>
      <w:proofErr w:type="spellStart"/>
      <w:r w:rsidRPr="002F4A24">
        <w:t>disque</w:t>
      </w:r>
      <w:proofErr w:type="spellEnd"/>
      <w:r w:rsidRPr="002F4A24">
        <w:t xml:space="preserve"> de rupture et de la </w:t>
      </w:r>
      <w:proofErr w:type="spellStart"/>
      <w:r w:rsidRPr="002F4A24">
        <w:t>soupape</w:t>
      </w:r>
      <w:proofErr w:type="spellEnd"/>
      <w:r w:rsidRPr="002F4A24">
        <w:t xml:space="preserve"> de </w:t>
      </w:r>
      <w:proofErr w:type="spellStart"/>
      <w:r w:rsidRPr="002F4A24">
        <w:t>sécurité</w:t>
      </w:r>
      <w:proofErr w:type="spellEnd"/>
      <w:r w:rsidRPr="002F4A24">
        <w:t xml:space="preserve"> </w:t>
      </w:r>
      <w:proofErr w:type="spellStart"/>
      <w:r w:rsidRPr="002F4A24">
        <w:t>doit</w:t>
      </w:r>
      <w:proofErr w:type="spellEnd"/>
      <w:r w:rsidRPr="002F4A24">
        <w:t xml:space="preserve"> </w:t>
      </w:r>
      <w:proofErr w:type="spellStart"/>
      <w:r w:rsidRPr="002F4A24">
        <w:t>satisfaire</w:t>
      </w:r>
      <w:proofErr w:type="spellEnd"/>
      <w:r w:rsidRPr="002F4A24">
        <w:t xml:space="preserve"> </w:t>
      </w:r>
      <w:proofErr w:type="spellStart"/>
      <w:r w:rsidRPr="002F4A24">
        <w:t>l</w:t>
      </w:r>
      <w:r>
        <w:t>’</w:t>
      </w:r>
      <w:r w:rsidRPr="002F4A24">
        <w:t>autorité</w:t>
      </w:r>
      <w:proofErr w:type="spellEnd"/>
      <w:r w:rsidRPr="002F4A24">
        <w:t xml:space="preserve"> </w:t>
      </w:r>
      <w:proofErr w:type="spellStart"/>
      <w:r w:rsidRPr="002F4A24">
        <w:t>compétente</w:t>
      </w:r>
      <w:proofErr w:type="spellEnd"/>
      <w:r w:rsidRPr="002F4A24">
        <w:t xml:space="preserve">. </w:t>
      </w:r>
      <w:r>
        <w:t>U</w:t>
      </w:r>
      <w:r w:rsidRPr="00810BE6">
        <w:t xml:space="preserve">n </w:t>
      </w:r>
      <w:proofErr w:type="spellStart"/>
      <w:r w:rsidRPr="00810BE6">
        <w:t>manomètre</w:t>
      </w:r>
      <w:proofErr w:type="spellEnd"/>
      <w:r w:rsidRPr="00810BE6">
        <w:t xml:space="preserve"> </w:t>
      </w:r>
      <w:proofErr w:type="spellStart"/>
      <w:r w:rsidRPr="00810BE6">
        <w:t>ou</w:t>
      </w:r>
      <w:proofErr w:type="spellEnd"/>
      <w:r w:rsidRPr="00810BE6">
        <w:t xml:space="preserve"> un </w:t>
      </w:r>
      <w:proofErr w:type="spellStart"/>
      <w:r w:rsidRPr="00810BE6">
        <w:t>autre</w:t>
      </w:r>
      <w:proofErr w:type="spellEnd"/>
      <w:r w:rsidRPr="00810BE6">
        <w:t xml:space="preserve"> </w:t>
      </w:r>
      <w:proofErr w:type="spellStart"/>
      <w:r w:rsidRPr="00810BE6">
        <w:t>indicateur</w:t>
      </w:r>
      <w:proofErr w:type="spellEnd"/>
      <w:r w:rsidRPr="00810BE6">
        <w:t xml:space="preserve"> </w:t>
      </w:r>
      <w:proofErr w:type="spellStart"/>
      <w:r w:rsidRPr="00810BE6">
        <w:t>approprié</w:t>
      </w:r>
      <w:proofErr w:type="spellEnd"/>
      <w:r w:rsidRPr="00810BE6">
        <w:t xml:space="preserve"> </w:t>
      </w:r>
      <w:proofErr w:type="spellStart"/>
      <w:r>
        <w:t>doit</w:t>
      </w:r>
      <w:proofErr w:type="spellEnd"/>
      <w:r>
        <w:t xml:space="preserve"> </w:t>
      </w:r>
      <w:proofErr w:type="spellStart"/>
      <w:r>
        <w:t>être</w:t>
      </w:r>
      <w:proofErr w:type="spellEnd"/>
      <w:r>
        <w:t xml:space="preserve"> </w:t>
      </w:r>
      <w:proofErr w:type="spellStart"/>
      <w:r>
        <w:t>installé</w:t>
      </w:r>
      <w:proofErr w:type="spellEnd"/>
      <w:r>
        <w:t xml:space="preserve"> </w:t>
      </w:r>
      <w:proofErr w:type="spellStart"/>
      <w:r w:rsidRPr="00810BE6">
        <w:t>dans</w:t>
      </w:r>
      <w:proofErr w:type="spellEnd"/>
      <w:r w:rsidRPr="00810BE6">
        <w:t xml:space="preserve"> </w:t>
      </w:r>
      <w:proofErr w:type="spellStart"/>
      <w:r w:rsidRPr="00810BE6">
        <w:t>l</w:t>
      </w:r>
      <w:r>
        <w:t>’</w:t>
      </w:r>
      <w:r w:rsidRPr="00810BE6">
        <w:t>espace</w:t>
      </w:r>
      <w:proofErr w:type="spellEnd"/>
      <w:r w:rsidRPr="00810BE6">
        <w:t xml:space="preserve"> entre le </w:t>
      </w:r>
      <w:proofErr w:type="spellStart"/>
      <w:r w:rsidRPr="00810BE6">
        <w:t>disque</w:t>
      </w:r>
      <w:proofErr w:type="spellEnd"/>
      <w:r w:rsidRPr="00810BE6">
        <w:t xml:space="preserve"> de rupture et la </w:t>
      </w:r>
      <w:proofErr w:type="spellStart"/>
      <w:r w:rsidRPr="00810BE6">
        <w:t>soupape</w:t>
      </w:r>
      <w:proofErr w:type="spellEnd"/>
      <w:r w:rsidRPr="00810BE6">
        <w:t xml:space="preserve"> de </w:t>
      </w:r>
      <w:proofErr w:type="spellStart"/>
      <w:r w:rsidRPr="00810BE6">
        <w:t>sécurité</w:t>
      </w:r>
      <w:proofErr w:type="spellEnd"/>
      <w:r w:rsidRPr="00810BE6">
        <w:t xml:space="preserve"> pour </w:t>
      </w:r>
      <w:proofErr w:type="spellStart"/>
      <w:r w:rsidRPr="00810BE6">
        <w:t>permettre</w:t>
      </w:r>
      <w:proofErr w:type="spellEnd"/>
      <w:r w:rsidRPr="00810BE6">
        <w:t xml:space="preserve"> de </w:t>
      </w:r>
      <w:proofErr w:type="spellStart"/>
      <w:r w:rsidRPr="00810BE6">
        <w:t>détecter</w:t>
      </w:r>
      <w:proofErr w:type="spellEnd"/>
      <w:r w:rsidRPr="00810BE6">
        <w:t xml:space="preserve"> </w:t>
      </w:r>
      <w:proofErr w:type="spellStart"/>
      <w:r>
        <w:t>une</w:t>
      </w:r>
      <w:proofErr w:type="spellEnd"/>
      <w:r w:rsidRPr="00810BE6">
        <w:t xml:space="preserve"> rupture, </w:t>
      </w:r>
      <w:proofErr w:type="spellStart"/>
      <w:r>
        <w:t>une</w:t>
      </w:r>
      <w:proofErr w:type="spellEnd"/>
      <w:r>
        <w:t xml:space="preserve"> </w:t>
      </w:r>
      <w:r w:rsidRPr="00810BE6">
        <w:t xml:space="preserve">perforation </w:t>
      </w:r>
      <w:proofErr w:type="spellStart"/>
      <w:r w:rsidRPr="00810BE6">
        <w:t>ou</w:t>
      </w:r>
      <w:proofErr w:type="spellEnd"/>
      <w:r w:rsidRPr="00810BE6">
        <w:t xml:space="preserve"> </w:t>
      </w:r>
      <w:proofErr w:type="spellStart"/>
      <w:r>
        <w:t>une</w:t>
      </w:r>
      <w:proofErr w:type="spellEnd"/>
      <w:r>
        <w:t xml:space="preserve"> </w:t>
      </w:r>
      <w:proofErr w:type="spellStart"/>
      <w:r w:rsidRPr="00810BE6">
        <w:t>fuite</w:t>
      </w:r>
      <w:proofErr w:type="spellEnd"/>
      <w:r w:rsidRPr="00810BE6">
        <w:t xml:space="preserve"> du </w:t>
      </w:r>
      <w:proofErr w:type="spellStart"/>
      <w:r w:rsidRPr="00810BE6">
        <w:t>disque</w:t>
      </w:r>
      <w:proofErr w:type="spellEnd"/>
      <w:proofErr w:type="gramStart"/>
      <w:r>
        <w:t>.»</w:t>
      </w:r>
      <w:proofErr w:type="gramEnd"/>
      <w:r>
        <w:t>.</w:t>
      </w:r>
    </w:p>
    <w:p w14:paraId="1C86E2A3" w14:textId="77777777" w:rsidR="0082186B" w:rsidRPr="00241862" w:rsidRDefault="0082186B" w:rsidP="0082186B">
      <w:pPr>
        <w:pStyle w:val="SingleTxtG"/>
      </w:pPr>
      <w:r w:rsidRPr="00E754BF">
        <w:rPr>
          <w:i/>
          <w:iCs/>
          <w:lang w:val="fr-FR"/>
        </w:rPr>
        <w:t>(</w:t>
      </w:r>
      <w:r w:rsidRPr="00E754BF">
        <w:rPr>
          <w:i/>
        </w:rPr>
        <w:t>Document</w:t>
      </w:r>
      <w:r>
        <w:rPr>
          <w:i/>
        </w:rPr>
        <w:t>s</w:t>
      </w:r>
      <w:r w:rsidRPr="00E754BF">
        <w:rPr>
          <w:i/>
        </w:rPr>
        <w:t xml:space="preserve"> </w:t>
      </w:r>
      <w:r w:rsidRPr="00E754BF">
        <w:rPr>
          <w:i/>
          <w:iCs/>
          <w:lang w:val="fr-FR"/>
        </w:rPr>
        <w:t xml:space="preserve">de référence: </w:t>
      </w:r>
      <w:r>
        <w:rPr>
          <w:i/>
          <w:iCs/>
          <w:lang w:val="fr-FR"/>
        </w:rPr>
        <w:t xml:space="preserve">ECE/TRANS/WP.15/AC.1/2017/17 et </w:t>
      </w:r>
      <w:r w:rsidRPr="00E754BF">
        <w:rPr>
          <w:i/>
          <w:iCs/>
          <w:lang w:val="fr-FR"/>
        </w:rPr>
        <w:t>document informel</w:t>
      </w:r>
      <w:r>
        <w:rPr>
          <w:i/>
          <w:iCs/>
          <w:lang w:val="fr-FR"/>
        </w:rPr>
        <w:t xml:space="preserve"> INF.34</w:t>
      </w:r>
      <w:r w:rsidRPr="00E754BF">
        <w:rPr>
          <w:i/>
          <w:iCs/>
          <w:lang w:val="fr-FR"/>
        </w:rPr>
        <w:t>)</w:t>
      </w:r>
    </w:p>
    <w:p w14:paraId="7DB13FC8" w14:textId="77777777" w:rsidR="0082186B" w:rsidRDefault="0082186B" w:rsidP="0082186B">
      <w:pPr>
        <w:pStyle w:val="SingleTxtG"/>
      </w:pPr>
      <w:r w:rsidRPr="00896077">
        <w:rPr>
          <w:bCs/>
        </w:rPr>
        <w:t>[6.8.2.3.1</w:t>
      </w:r>
      <w:r>
        <w:rPr>
          <w:b/>
        </w:rPr>
        <w:tab/>
      </w:r>
      <w:r>
        <w:t xml:space="preserve">Modifier le </w:t>
      </w:r>
      <w:proofErr w:type="spellStart"/>
      <w:r>
        <w:t>deuxième</w:t>
      </w:r>
      <w:proofErr w:type="spellEnd"/>
      <w:r>
        <w:t xml:space="preserve"> </w:t>
      </w:r>
      <w:proofErr w:type="spellStart"/>
      <w:r>
        <w:t>tiret</w:t>
      </w:r>
      <w:proofErr w:type="spellEnd"/>
      <w:r>
        <w:t xml:space="preserve"> pour lire </w:t>
      </w:r>
      <w:proofErr w:type="spellStart"/>
      <w:r>
        <w:t>en</w:t>
      </w:r>
      <w:proofErr w:type="spellEnd"/>
      <w:r>
        <w:t xml:space="preserve"> </w:t>
      </w:r>
      <w:proofErr w:type="spellStart"/>
      <w:r>
        <w:t>pleine</w:t>
      </w:r>
      <w:proofErr w:type="spellEnd"/>
      <w:r>
        <w:t xml:space="preserve"> page:</w:t>
      </w:r>
    </w:p>
    <w:p w14:paraId="13E8E12E" w14:textId="77777777" w:rsidR="0082186B" w:rsidRDefault="0082186B" w:rsidP="0082186B">
      <w:pPr>
        <w:pStyle w:val="SingleTxtG"/>
        <w:rPr>
          <w:b/>
        </w:rPr>
      </w:pPr>
      <w:r>
        <w:t>«</w:t>
      </w:r>
      <w:r w:rsidRPr="008D7BD1">
        <w:rPr>
          <w:lang w:val="fr-FR"/>
        </w:rPr>
        <w:t>‒</w:t>
      </w:r>
      <w:r w:rsidRPr="008D7BD1">
        <w:rPr>
          <w:lang w:val="fr-FR"/>
        </w:rPr>
        <w:tab/>
      </w:r>
      <w:r w:rsidRPr="006B724C">
        <w:t xml:space="preserve">un </w:t>
      </w:r>
      <w:proofErr w:type="spellStart"/>
      <w:r w:rsidRPr="006B724C">
        <w:t>numéro</w:t>
      </w:r>
      <w:proofErr w:type="spellEnd"/>
      <w:r w:rsidRPr="006B724C">
        <w:t xml:space="preserve"> </w:t>
      </w:r>
      <w:proofErr w:type="spellStart"/>
      <w:r w:rsidRPr="006B724C">
        <w:t>d'agrément</w:t>
      </w:r>
      <w:proofErr w:type="spellEnd"/>
      <w:r w:rsidRPr="006B724C">
        <w:t xml:space="preserve"> pour le type qui </w:t>
      </w:r>
      <w:proofErr w:type="spellStart"/>
      <w:r w:rsidRPr="006B724C">
        <w:t>do</w:t>
      </w:r>
      <w:r w:rsidRPr="004154CD">
        <w:t>it</w:t>
      </w:r>
      <w:proofErr w:type="spellEnd"/>
      <w:r w:rsidRPr="004154CD">
        <w:t xml:space="preserve"> se composer du </w:t>
      </w:r>
      <w:proofErr w:type="spellStart"/>
      <w:r w:rsidRPr="00DE4C19">
        <w:t>signe</w:t>
      </w:r>
      <w:proofErr w:type="spellEnd"/>
      <w:r w:rsidRPr="00DE4C19">
        <w:t xml:space="preserve"> </w:t>
      </w:r>
      <w:proofErr w:type="spellStart"/>
      <w:r w:rsidRPr="00DE4C19">
        <w:t>distinctif</w:t>
      </w:r>
      <w:proofErr w:type="spellEnd"/>
      <w:r w:rsidRPr="00DE4C19">
        <w:t xml:space="preserve"> </w:t>
      </w:r>
      <w:proofErr w:type="spellStart"/>
      <w:r w:rsidRPr="00DE4C19">
        <w:t>utilisé</w:t>
      </w:r>
      <w:proofErr w:type="spellEnd"/>
      <w:r w:rsidRPr="00DE4C19">
        <w:t xml:space="preserve"> sur les </w:t>
      </w:r>
      <w:proofErr w:type="spellStart"/>
      <w:r w:rsidRPr="00DE4C19">
        <w:t>véhicules</w:t>
      </w:r>
      <w:proofErr w:type="spellEnd"/>
      <w:r w:rsidRPr="00DE4C19">
        <w:t xml:space="preserve"> </w:t>
      </w:r>
      <w:proofErr w:type="spellStart"/>
      <w:r w:rsidRPr="00DE4C19">
        <w:t>en</w:t>
      </w:r>
      <w:proofErr w:type="spellEnd"/>
      <w:r w:rsidRPr="00DE4C19">
        <w:t xml:space="preserve"> circ</w:t>
      </w:r>
      <w:r>
        <w:t xml:space="preserve">ulation </w:t>
      </w:r>
      <w:proofErr w:type="spellStart"/>
      <w:r>
        <w:t>routière</w:t>
      </w:r>
      <w:proofErr w:type="spellEnd"/>
      <w:r>
        <w:t xml:space="preserve"> internationale</w:t>
      </w:r>
      <w:r w:rsidRPr="004363FA">
        <w:rPr>
          <w:vertAlign w:val="superscript"/>
        </w:rPr>
        <w:t>9)</w:t>
      </w:r>
      <w:r>
        <w:rPr>
          <w:vertAlign w:val="superscript"/>
        </w:rPr>
        <w:t>/</w:t>
      </w:r>
      <w:r w:rsidRPr="004363FA">
        <w:rPr>
          <w:vertAlign w:val="superscript"/>
        </w:rPr>
        <w:t xml:space="preserve">8) </w:t>
      </w:r>
      <w:r w:rsidRPr="00DE4C19">
        <w:t xml:space="preserve">pour </w:t>
      </w:r>
      <w:proofErr w:type="spellStart"/>
      <w:r w:rsidRPr="004154CD">
        <w:t>l'État</w:t>
      </w:r>
      <w:proofErr w:type="spellEnd"/>
      <w:r w:rsidRPr="004154CD">
        <w:t xml:space="preserve"> </w:t>
      </w:r>
      <w:proofErr w:type="spellStart"/>
      <w:r w:rsidRPr="004154CD">
        <w:t>dans</w:t>
      </w:r>
      <w:proofErr w:type="spellEnd"/>
      <w:r w:rsidRPr="004154CD">
        <w:t xml:space="preserve"> </w:t>
      </w:r>
      <w:proofErr w:type="spellStart"/>
      <w:r w:rsidRPr="004154CD">
        <w:t>lequel</w:t>
      </w:r>
      <w:proofErr w:type="spellEnd"/>
      <w:r w:rsidRPr="004154CD">
        <w:t xml:space="preserve"> </w:t>
      </w:r>
      <w:proofErr w:type="spellStart"/>
      <w:r w:rsidRPr="004154CD">
        <w:t>l'agrément</w:t>
      </w:r>
      <w:proofErr w:type="spellEnd"/>
      <w:r w:rsidRPr="004154CD">
        <w:t xml:space="preserve"> a </w:t>
      </w:r>
      <w:proofErr w:type="spellStart"/>
      <w:r w:rsidRPr="004154CD">
        <w:t>été</w:t>
      </w:r>
      <w:proofErr w:type="spellEnd"/>
      <w:r w:rsidRPr="004154CD">
        <w:t xml:space="preserve"> </w:t>
      </w:r>
      <w:proofErr w:type="spellStart"/>
      <w:r w:rsidRPr="004154CD">
        <w:t>donné</w:t>
      </w:r>
      <w:proofErr w:type="spellEnd"/>
      <w:r w:rsidRPr="004154CD">
        <w:t xml:space="preserve"> et d'un </w:t>
      </w:r>
      <w:proofErr w:type="spellStart"/>
      <w:r w:rsidRPr="004154CD">
        <w:t>numéro</w:t>
      </w:r>
      <w:proofErr w:type="spellEnd"/>
      <w:r w:rsidRPr="004154CD">
        <w:t xml:space="preserve"> </w:t>
      </w:r>
      <w:proofErr w:type="spellStart"/>
      <w:r w:rsidRPr="004154CD">
        <w:t>d'immatriculation</w:t>
      </w:r>
      <w:proofErr w:type="spellEnd"/>
      <w:proofErr w:type="gramStart"/>
      <w:r w:rsidRPr="004154CD">
        <w:t>.</w:t>
      </w:r>
      <w:r>
        <w:t>»</w:t>
      </w:r>
      <w:proofErr w:type="gramEnd"/>
      <w:r>
        <w:t>.</w:t>
      </w:r>
      <w:r w:rsidRPr="00896077">
        <w:rPr>
          <w:bCs/>
        </w:rPr>
        <w:t>]</w:t>
      </w:r>
    </w:p>
    <w:p w14:paraId="68136F8F" w14:textId="77777777" w:rsidR="0082186B" w:rsidRDefault="0082186B" w:rsidP="0082186B">
      <w:pPr>
        <w:pStyle w:val="SingleTxtG"/>
        <w:rPr>
          <w:i/>
          <w:iCs/>
          <w:lang w:val="fr-FR"/>
        </w:rPr>
      </w:pPr>
      <w:r w:rsidRPr="00E754BF">
        <w:rPr>
          <w:i/>
          <w:iCs/>
          <w:lang w:val="fr-FR"/>
        </w:rPr>
        <w:t>(</w:t>
      </w:r>
      <w:r w:rsidRPr="00E754BF">
        <w:rPr>
          <w:i/>
        </w:rPr>
        <w:t>Document</w:t>
      </w:r>
      <w:r>
        <w:rPr>
          <w:i/>
        </w:rPr>
        <w:t>s</w:t>
      </w:r>
      <w:r w:rsidRPr="00E754BF">
        <w:rPr>
          <w:i/>
        </w:rPr>
        <w:t xml:space="preserve"> </w:t>
      </w:r>
      <w:r w:rsidRPr="00E754BF">
        <w:rPr>
          <w:i/>
          <w:iCs/>
          <w:lang w:val="fr-FR"/>
        </w:rPr>
        <w:t xml:space="preserve">de </w:t>
      </w:r>
      <w:proofErr w:type="spellStart"/>
      <w:r w:rsidRPr="00574B4A">
        <w:rPr>
          <w:i/>
        </w:rPr>
        <w:t>référence</w:t>
      </w:r>
      <w:proofErr w:type="spellEnd"/>
      <w:r w:rsidRPr="00E754BF">
        <w:rPr>
          <w:i/>
          <w:iCs/>
          <w:lang w:val="fr-FR"/>
        </w:rPr>
        <w:t>: document</w:t>
      </w:r>
      <w:r>
        <w:rPr>
          <w:i/>
          <w:iCs/>
          <w:lang w:val="fr-FR"/>
        </w:rPr>
        <w:t>s</w:t>
      </w:r>
      <w:r w:rsidRPr="00E754BF">
        <w:rPr>
          <w:i/>
          <w:iCs/>
          <w:lang w:val="fr-FR"/>
        </w:rPr>
        <w:t xml:space="preserve"> informel</w:t>
      </w:r>
      <w:r>
        <w:rPr>
          <w:i/>
          <w:iCs/>
          <w:lang w:val="fr-FR"/>
        </w:rPr>
        <w:t>s INF.7 et INF.34</w:t>
      </w:r>
      <w:r w:rsidRPr="00E754BF">
        <w:rPr>
          <w:i/>
          <w:iCs/>
          <w:lang w:val="fr-FR"/>
        </w:rPr>
        <w:t>)</w:t>
      </w:r>
    </w:p>
    <w:p w14:paraId="4CABB696" w14:textId="77777777" w:rsidR="0082186B" w:rsidRDefault="0082186B" w:rsidP="0082186B">
      <w:pPr>
        <w:pStyle w:val="SingleTxtG"/>
        <w:rPr>
          <w:b/>
        </w:rPr>
      </w:pPr>
      <w:r w:rsidRPr="00D90776">
        <w:rPr>
          <w:bCs/>
        </w:rPr>
        <w:t>6.8.2.6.1</w:t>
      </w:r>
      <w:r>
        <w:rPr>
          <w:bCs/>
        </w:rPr>
        <w:tab/>
        <w:t xml:space="preserve">(ADR </w:t>
      </w:r>
      <w:proofErr w:type="spellStart"/>
      <w:r>
        <w:rPr>
          <w:bCs/>
        </w:rPr>
        <w:t>seulement</w:t>
      </w:r>
      <w:proofErr w:type="spellEnd"/>
      <w:r>
        <w:rPr>
          <w:bCs/>
        </w:rPr>
        <w:t>)</w:t>
      </w:r>
    </w:p>
    <w:p w14:paraId="72887912" w14:textId="77777777" w:rsidR="0082186B" w:rsidRDefault="0082186B" w:rsidP="0082186B">
      <w:pPr>
        <w:pStyle w:val="SingleTxtG"/>
        <w:rPr>
          <w:lang w:val="fr-FR"/>
        </w:rPr>
      </w:pPr>
      <w:r w:rsidRPr="00986FF3">
        <w:rPr>
          <w:rFonts w:cs="Arial"/>
          <w:szCs w:val="22"/>
          <w:lang w:val="fr-FR"/>
        </w:rPr>
        <w:t>Dans</w:t>
      </w:r>
      <w:r w:rsidRPr="00F6441C">
        <w:rPr>
          <w:lang w:val="fr-FR"/>
        </w:rPr>
        <w:t xml:space="preserve"> le tableau, sous</w:t>
      </w:r>
      <w:proofErr w:type="gramStart"/>
      <w:r w:rsidRPr="00F6441C">
        <w:rPr>
          <w:lang w:val="fr-FR"/>
        </w:rPr>
        <w:t xml:space="preserve"> «</w:t>
      </w:r>
      <w:r w:rsidRPr="0022330F">
        <w:rPr>
          <w:i/>
        </w:rPr>
        <w:t>Pour</w:t>
      </w:r>
      <w:proofErr w:type="gramEnd"/>
      <w:r w:rsidRPr="0022330F">
        <w:rPr>
          <w:i/>
        </w:rPr>
        <w:t xml:space="preserve"> la conception et la construction des </w:t>
      </w:r>
      <w:proofErr w:type="spellStart"/>
      <w:r w:rsidRPr="0022330F">
        <w:rPr>
          <w:i/>
        </w:rPr>
        <w:t>citernes</w:t>
      </w:r>
      <w:proofErr w:type="spellEnd"/>
      <w:r w:rsidRPr="00F6441C">
        <w:rPr>
          <w:lang w:val="fr-FR"/>
        </w:rPr>
        <w:t>»:</w:t>
      </w:r>
    </w:p>
    <w:p w14:paraId="7899ACE9" w14:textId="77777777" w:rsidR="0082186B" w:rsidRDefault="0082186B" w:rsidP="0082186B">
      <w:pPr>
        <w:pStyle w:val="SingleTxtG"/>
        <w:rPr>
          <w:rFonts w:cs="Arial"/>
          <w:bCs/>
          <w:szCs w:val="22"/>
          <w:lang w:val="fr-FR"/>
        </w:rPr>
      </w:pPr>
      <w:r w:rsidRPr="00F6441C">
        <w:t>–</w:t>
      </w:r>
      <w:r w:rsidRPr="00F6441C">
        <w:tab/>
        <w:t>Pour</w:t>
      </w:r>
      <w:r w:rsidRPr="002315C1">
        <w:rPr>
          <w:rFonts w:cs="Arial"/>
          <w:bCs/>
          <w:szCs w:val="22"/>
          <w:lang w:val="fr-FR"/>
        </w:rPr>
        <w:t xml:space="preserve"> la norme «</w:t>
      </w:r>
      <w:r w:rsidRPr="003C4DF9">
        <w:t>EN </w:t>
      </w:r>
      <w:r>
        <w:rPr>
          <w:rFonts w:cs="Arial"/>
          <w:szCs w:val="22"/>
        </w:rPr>
        <w:t>13530</w:t>
      </w:r>
      <w:r>
        <w:rPr>
          <w:rFonts w:cs="Arial"/>
          <w:bCs/>
          <w:szCs w:val="22"/>
        </w:rPr>
        <w:t>-2</w:t>
      </w:r>
      <w:r w:rsidRPr="00D9276A">
        <w:rPr>
          <w:rFonts w:cs="Arial"/>
          <w:bCs/>
          <w:szCs w:val="22"/>
        </w:rPr>
        <w:t>:20</w:t>
      </w:r>
      <w:r>
        <w:rPr>
          <w:rFonts w:cs="Arial"/>
          <w:bCs/>
          <w:szCs w:val="22"/>
        </w:rPr>
        <w:t>02 + A1:2004</w:t>
      </w:r>
      <w:r w:rsidRPr="002315C1">
        <w:rPr>
          <w:rFonts w:cs="Arial"/>
          <w:bCs/>
          <w:szCs w:val="22"/>
          <w:lang w:val="fr-FR"/>
        </w:rPr>
        <w:t xml:space="preserve">», </w:t>
      </w:r>
      <w:r>
        <w:rPr>
          <w:rFonts w:cs="Arial"/>
          <w:bCs/>
          <w:szCs w:val="22"/>
          <w:lang w:val="fr-FR"/>
        </w:rPr>
        <w:t>modifier</w:t>
      </w:r>
      <w:r w:rsidRPr="002315C1">
        <w:rPr>
          <w:rFonts w:cs="Arial"/>
          <w:bCs/>
          <w:szCs w:val="22"/>
          <w:lang w:val="fr-FR"/>
        </w:rPr>
        <w:t xml:space="preserve"> </w:t>
      </w:r>
      <w:r>
        <w:rPr>
          <w:rFonts w:cs="Arial"/>
          <w:bCs/>
          <w:szCs w:val="22"/>
          <w:lang w:val="fr-FR"/>
        </w:rPr>
        <w:t xml:space="preserve">le nota figurant dans </w:t>
      </w:r>
      <w:r w:rsidRPr="002315C1">
        <w:rPr>
          <w:rFonts w:cs="Arial"/>
          <w:bCs/>
          <w:szCs w:val="22"/>
          <w:lang w:val="fr-FR"/>
        </w:rPr>
        <w:t>la colonne (</w:t>
      </w:r>
      <w:r>
        <w:rPr>
          <w:rFonts w:cs="Arial"/>
          <w:bCs/>
          <w:szCs w:val="22"/>
          <w:lang w:val="fr-FR"/>
        </w:rPr>
        <w:t>2</w:t>
      </w:r>
      <w:r w:rsidRPr="002315C1">
        <w:rPr>
          <w:rFonts w:cs="Arial"/>
          <w:bCs/>
          <w:szCs w:val="22"/>
          <w:lang w:val="fr-FR"/>
        </w:rPr>
        <w:t>)</w:t>
      </w:r>
      <w:r>
        <w:rPr>
          <w:rFonts w:cs="Arial"/>
          <w:bCs/>
          <w:szCs w:val="22"/>
          <w:lang w:val="fr-FR"/>
        </w:rPr>
        <w:t xml:space="preserve"> comme suit:</w:t>
      </w:r>
    </w:p>
    <w:p w14:paraId="3A8B4CC6" w14:textId="77777777" w:rsidR="0082186B" w:rsidRDefault="0082186B" w:rsidP="0082186B">
      <w:pPr>
        <w:pStyle w:val="SingleTxtG"/>
        <w:rPr>
          <w:rFonts w:cs="Arial"/>
          <w:szCs w:val="22"/>
        </w:rPr>
      </w:pPr>
      <w:r w:rsidRPr="00157710">
        <w:rPr>
          <w:rFonts w:cs="Arial"/>
          <w:szCs w:val="22"/>
        </w:rPr>
        <w:t>«</w:t>
      </w:r>
      <w:r w:rsidRPr="00E754BF">
        <w:rPr>
          <w:b/>
        </w:rPr>
        <w:t>NOTA.</w:t>
      </w:r>
      <w:r>
        <w:tab/>
      </w:r>
      <w:r w:rsidRPr="00E754BF">
        <w:rPr>
          <w:lang w:val="fr-CA"/>
        </w:rPr>
        <w:t>L</w:t>
      </w:r>
      <w:r>
        <w:rPr>
          <w:lang w:val="fr-CA"/>
        </w:rPr>
        <w:t>es</w:t>
      </w:r>
      <w:r w:rsidRPr="00E754BF">
        <w:rPr>
          <w:lang w:val="fr-CA"/>
        </w:rPr>
        <w:t xml:space="preserve"> </w:t>
      </w:r>
      <w:proofErr w:type="spellStart"/>
      <w:r w:rsidRPr="009D6A18">
        <w:rPr>
          <w:rFonts w:cs="Arial"/>
          <w:szCs w:val="22"/>
        </w:rPr>
        <w:t>normes</w:t>
      </w:r>
      <w:proofErr w:type="spellEnd"/>
      <w:r w:rsidRPr="00E754BF">
        <w:rPr>
          <w:lang w:val="fr-CA"/>
        </w:rPr>
        <w:t xml:space="preserve"> EN 1252-1:1998</w:t>
      </w:r>
      <w:r>
        <w:rPr>
          <w:lang w:val="fr-CA"/>
        </w:rPr>
        <w:t xml:space="preserve"> et EN 1626</w:t>
      </w:r>
      <w:r w:rsidRPr="00E754BF">
        <w:rPr>
          <w:lang w:val="fr-CA"/>
        </w:rPr>
        <w:t xml:space="preserve"> </w:t>
      </w:r>
      <w:r>
        <w:rPr>
          <w:lang w:val="fr-CA"/>
        </w:rPr>
        <w:t>aux</w:t>
      </w:r>
      <w:r w:rsidRPr="00E754BF">
        <w:rPr>
          <w:lang w:val="fr-CA"/>
        </w:rPr>
        <w:t>quelle</w:t>
      </w:r>
      <w:r>
        <w:rPr>
          <w:lang w:val="fr-CA"/>
        </w:rPr>
        <w:t>s</w:t>
      </w:r>
      <w:r w:rsidRPr="00E754BF">
        <w:rPr>
          <w:lang w:val="fr-CA"/>
        </w:rPr>
        <w:t xml:space="preserve"> il est fait référence dans cette norme </w:t>
      </w:r>
      <w:r>
        <w:rPr>
          <w:lang w:val="fr-CA"/>
        </w:rPr>
        <w:t>sont</w:t>
      </w:r>
      <w:r w:rsidRPr="00E754BF">
        <w:rPr>
          <w:lang w:val="fr-CA"/>
        </w:rPr>
        <w:t xml:space="preserve"> également applicable</w:t>
      </w:r>
      <w:r>
        <w:rPr>
          <w:lang w:val="fr-CA"/>
        </w:rPr>
        <w:t>s</w:t>
      </w:r>
      <w:r w:rsidRPr="00E754BF">
        <w:rPr>
          <w:lang w:val="fr-CA"/>
        </w:rPr>
        <w:t xml:space="preserve"> aux </w:t>
      </w:r>
      <w:r>
        <w:rPr>
          <w:lang w:val="fr-CA"/>
        </w:rPr>
        <w:t>citernes</w:t>
      </w:r>
      <w:r w:rsidRPr="00E754BF">
        <w:rPr>
          <w:lang w:val="fr-CA"/>
        </w:rPr>
        <w:t xml:space="preserve"> pour le transport du No ONU 1972 (MÉTHANE LIQUIDE RÉFRIGÉRÉ ou GAZ NATUREL LIQUIDE RÉFRIGÉRÉ)</w:t>
      </w:r>
      <w:proofErr w:type="gramStart"/>
      <w:r w:rsidRPr="00E754BF">
        <w:rPr>
          <w:lang w:val="fr-CA"/>
        </w:rPr>
        <w:t>.</w:t>
      </w:r>
      <w:r w:rsidRPr="00157710">
        <w:rPr>
          <w:rFonts w:cs="Arial"/>
          <w:szCs w:val="22"/>
        </w:rPr>
        <w:t>»</w:t>
      </w:r>
      <w:proofErr w:type="gramEnd"/>
      <w:r w:rsidRPr="00157710">
        <w:rPr>
          <w:rFonts w:cs="Arial"/>
          <w:szCs w:val="22"/>
        </w:rPr>
        <w:t>.</w:t>
      </w:r>
    </w:p>
    <w:p w14:paraId="0D0D1196" w14:textId="77777777" w:rsidR="0082186B" w:rsidRDefault="0082186B" w:rsidP="0082186B">
      <w:pPr>
        <w:pStyle w:val="SingleTxtG"/>
        <w:rPr>
          <w:rFonts w:cs="Arial"/>
          <w:szCs w:val="22"/>
        </w:rPr>
      </w:pPr>
      <w:r w:rsidRPr="00E754BF">
        <w:rPr>
          <w:i/>
          <w:iCs/>
          <w:lang w:val="fr-FR"/>
        </w:rPr>
        <w:t>(</w:t>
      </w:r>
      <w:r w:rsidRPr="00E754BF">
        <w:rPr>
          <w:i/>
        </w:rPr>
        <w:t>Document</w:t>
      </w:r>
      <w:r>
        <w:rPr>
          <w:i/>
        </w:rPr>
        <w:t>s</w:t>
      </w:r>
      <w:r w:rsidRPr="00E754BF">
        <w:rPr>
          <w:i/>
        </w:rPr>
        <w:t xml:space="preserve"> </w:t>
      </w:r>
      <w:r w:rsidRPr="00E754BF">
        <w:rPr>
          <w:i/>
          <w:iCs/>
          <w:lang w:val="fr-FR"/>
        </w:rPr>
        <w:t>de référence : document</w:t>
      </w:r>
      <w:r>
        <w:rPr>
          <w:i/>
          <w:iCs/>
          <w:lang w:val="fr-FR"/>
        </w:rPr>
        <w:t>s</w:t>
      </w:r>
      <w:r w:rsidRPr="00E754BF">
        <w:rPr>
          <w:i/>
          <w:iCs/>
          <w:lang w:val="fr-FR"/>
        </w:rPr>
        <w:t xml:space="preserve"> informel</w:t>
      </w:r>
      <w:r>
        <w:rPr>
          <w:i/>
          <w:iCs/>
          <w:lang w:val="fr-FR"/>
        </w:rPr>
        <w:t xml:space="preserve">s INF.28 et </w:t>
      </w:r>
      <w:r w:rsidRPr="00E754BF">
        <w:rPr>
          <w:i/>
          <w:iCs/>
          <w:lang w:val="fr-FR"/>
        </w:rPr>
        <w:t>INF.3</w:t>
      </w:r>
      <w:r>
        <w:rPr>
          <w:i/>
          <w:iCs/>
          <w:lang w:val="fr-FR"/>
        </w:rPr>
        <w:t>0</w:t>
      </w:r>
      <w:r w:rsidRPr="00E754BF">
        <w:rPr>
          <w:i/>
          <w:iCs/>
          <w:lang w:val="fr-FR"/>
        </w:rPr>
        <w:t>)</w:t>
      </w:r>
    </w:p>
    <w:p w14:paraId="4968702C" w14:textId="77777777" w:rsidR="0082186B" w:rsidRDefault="0082186B" w:rsidP="0082186B">
      <w:pPr>
        <w:pStyle w:val="SingleTxtG"/>
        <w:rPr>
          <w:lang w:val="fr-FR"/>
        </w:rPr>
      </w:pPr>
      <w:r w:rsidRPr="00986FF3">
        <w:rPr>
          <w:rFonts w:cs="Arial"/>
          <w:szCs w:val="22"/>
          <w:lang w:val="fr-FR"/>
        </w:rPr>
        <w:t>Dans</w:t>
      </w:r>
      <w:r w:rsidRPr="00F6441C">
        <w:rPr>
          <w:lang w:val="fr-FR"/>
        </w:rPr>
        <w:t xml:space="preserve"> le tableau, sous</w:t>
      </w:r>
      <w:proofErr w:type="gramStart"/>
      <w:r w:rsidRPr="00F6441C">
        <w:rPr>
          <w:lang w:val="fr-FR"/>
        </w:rPr>
        <w:t xml:space="preserve"> «</w:t>
      </w:r>
      <w:r w:rsidRPr="00867961">
        <w:rPr>
          <w:bCs/>
          <w:i/>
          <w:iCs/>
          <w:lang w:eastAsia="en-GB"/>
        </w:rPr>
        <w:t>Pour</w:t>
      </w:r>
      <w:proofErr w:type="gramEnd"/>
      <w:r w:rsidRPr="00867961">
        <w:rPr>
          <w:bCs/>
          <w:i/>
          <w:iCs/>
          <w:lang w:eastAsia="en-GB"/>
        </w:rPr>
        <w:t xml:space="preserve"> les </w:t>
      </w:r>
      <w:proofErr w:type="spellStart"/>
      <w:r w:rsidRPr="00867961">
        <w:rPr>
          <w:bCs/>
          <w:i/>
          <w:iCs/>
          <w:lang w:eastAsia="en-GB"/>
        </w:rPr>
        <w:t>équipements</w:t>
      </w:r>
      <w:proofErr w:type="spellEnd"/>
      <w:r w:rsidRPr="00F6441C">
        <w:rPr>
          <w:lang w:val="fr-FR"/>
        </w:rPr>
        <w:t>»:</w:t>
      </w:r>
    </w:p>
    <w:p w14:paraId="46A4292B" w14:textId="77777777" w:rsidR="0082186B" w:rsidRDefault="0082186B" w:rsidP="0082186B">
      <w:pPr>
        <w:pStyle w:val="SingleTxtG"/>
      </w:pPr>
      <w:r w:rsidRPr="00F6441C">
        <w:t>–</w:t>
      </w:r>
      <w:r w:rsidRPr="00F6441C">
        <w:tab/>
      </w:r>
      <w:r>
        <w:rPr>
          <w:rFonts w:cs="Arial"/>
          <w:szCs w:val="22"/>
        </w:rPr>
        <w:t xml:space="preserve">Pour la </w:t>
      </w:r>
      <w:proofErr w:type="spellStart"/>
      <w:r>
        <w:rPr>
          <w:rFonts w:cs="Arial"/>
          <w:szCs w:val="22"/>
        </w:rPr>
        <w:t>norme</w:t>
      </w:r>
      <w:proofErr w:type="spellEnd"/>
      <w:r>
        <w:rPr>
          <w:rFonts w:cs="Arial"/>
          <w:szCs w:val="22"/>
        </w:rPr>
        <w:t xml:space="preserve"> «EN 1626:2008 </w:t>
      </w:r>
      <w:r w:rsidRPr="00CA7A0E">
        <w:t>(</w:t>
      </w:r>
      <w:proofErr w:type="spellStart"/>
      <w:r w:rsidRPr="00CA7A0E">
        <w:t>sauf</w:t>
      </w:r>
      <w:proofErr w:type="spellEnd"/>
      <w:r w:rsidRPr="00CA7A0E">
        <w:t xml:space="preserve"> les </w:t>
      </w:r>
      <w:proofErr w:type="spellStart"/>
      <w:r w:rsidRPr="00CA7A0E">
        <w:t>robinets</w:t>
      </w:r>
      <w:proofErr w:type="spellEnd"/>
      <w:r w:rsidRPr="00CA7A0E">
        <w:t xml:space="preserve"> de </w:t>
      </w:r>
      <w:proofErr w:type="spellStart"/>
      <w:r w:rsidRPr="00CA7A0E">
        <w:t>catégorie</w:t>
      </w:r>
      <w:proofErr w:type="spellEnd"/>
      <w:r w:rsidRPr="00CA7A0E">
        <w:t xml:space="preserve"> B</w:t>
      </w:r>
      <w:proofErr w:type="gramStart"/>
      <w:r w:rsidRPr="00CA7A0E">
        <w:t>)</w:t>
      </w:r>
      <w:r>
        <w:t>»</w:t>
      </w:r>
      <w:proofErr w:type="gramEnd"/>
      <w:r>
        <w:t xml:space="preserve">, </w:t>
      </w:r>
      <w:proofErr w:type="spellStart"/>
      <w:r>
        <w:t>dans</w:t>
      </w:r>
      <w:proofErr w:type="spellEnd"/>
      <w:r>
        <w:t xml:space="preserve"> la </w:t>
      </w:r>
      <w:proofErr w:type="spellStart"/>
      <w:r>
        <w:t>colonne</w:t>
      </w:r>
      <w:proofErr w:type="spellEnd"/>
      <w:r>
        <w:t xml:space="preserve"> (2), </w:t>
      </w:r>
      <w:proofErr w:type="spellStart"/>
      <w:r>
        <w:t>ajouter</w:t>
      </w:r>
      <w:proofErr w:type="spellEnd"/>
      <w:r>
        <w:t xml:space="preserve"> le nouveau nota </w:t>
      </w:r>
      <w:proofErr w:type="spellStart"/>
      <w:r>
        <w:t>suivant</w:t>
      </w:r>
      <w:proofErr w:type="spellEnd"/>
      <w:r>
        <w:t>:</w:t>
      </w:r>
    </w:p>
    <w:p w14:paraId="22CC20A7" w14:textId="77777777" w:rsidR="0082186B" w:rsidRDefault="0082186B" w:rsidP="0082186B">
      <w:pPr>
        <w:pStyle w:val="SingleTxtG"/>
        <w:rPr>
          <w:rFonts w:cs="Arial"/>
          <w:szCs w:val="22"/>
        </w:rPr>
      </w:pPr>
      <w:r>
        <w:rPr>
          <w:rFonts w:cs="Arial"/>
          <w:szCs w:val="22"/>
        </w:rPr>
        <w:t>«</w:t>
      </w:r>
      <w:r w:rsidRPr="00BC3338">
        <w:rPr>
          <w:rFonts w:cs="Arial"/>
          <w:b/>
          <w:szCs w:val="22"/>
        </w:rPr>
        <w:t>NOTA.</w:t>
      </w:r>
      <w:r>
        <w:rPr>
          <w:rFonts w:cs="Arial"/>
          <w:szCs w:val="22"/>
        </w:rPr>
        <w:tab/>
      </w:r>
      <w:proofErr w:type="spellStart"/>
      <w:r>
        <w:rPr>
          <w:rFonts w:cs="Arial"/>
          <w:szCs w:val="22"/>
        </w:rPr>
        <w:t>Cette</w:t>
      </w:r>
      <w:proofErr w:type="spellEnd"/>
      <w:r>
        <w:rPr>
          <w:rFonts w:cs="Arial"/>
          <w:szCs w:val="22"/>
        </w:rPr>
        <w:t xml:space="preserve"> </w:t>
      </w:r>
      <w:proofErr w:type="spellStart"/>
      <w:r>
        <w:rPr>
          <w:rFonts w:cs="Arial"/>
          <w:szCs w:val="22"/>
        </w:rPr>
        <w:t>norme</w:t>
      </w:r>
      <w:proofErr w:type="spellEnd"/>
      <w:r>
        <w:rPr>
          <w:rFonts w:cs="Arial"/>
          <w:szCs w:val="22"/>
        </w:rPr>
        <w:t xml:space="preserve"> </w:t>
      </w:r>
      <w:proofErr w:type="spellStart"/>
      <w:r>
        <w:rPr>
          <w:rFonts w:cs="Arial"/>
          <w:szCs w:val="22"/>
        </w:rPr>
        <w:t>est</w:t>
      </w:r>
      <w:proofErr w:type="spellEnd"/>
      <w:r>
        <w:rPr>
          <w:rFonts w:cs="Arial"/>
          <w:szCs w:val="22"/>
        </w:rPr>
        <w:t xml:space="preserve"> </w:t>
      </w:r>
      <w:proofErr w:type="spellStart"/>
      <w:r>
        <w:rPr>
          <w:rFonts w:cs="Arial"/>
          <w:szCs w:val="22"/>
        </w:rPr>
        <w:t>également</w:t>
      </w:r>
      <w:proofErr w:type="spellEnd"/>
      <w:r>
        <w:rPr>
          <w:rFonts w:cs="Arial"/>
          <w:szCs w:val="22"/>
        </w:rPr>
        <w:t xml:space="preserve"> applicable aux </w:t>
      </w:r>
      <w:proofErr w:type="spellStart"/>
      <w:r>
        <w:rPr>
          <w:rFonts w:cs="Arial"/>
          <w:szCs w:val="22"/>
        </w:rPr>
        <w:t>robinets</w:t>
      </w:r>
      <w:proofErr w:type="spellEnd"/>
      <w:r>
        <w:rPr>
          <w:rFonts w:cs="Arial"/>
          <w:szCs w:val="22"/>
        </w:rPr>
        <w:t xml:space="preserve"> </w:t>
      </w:r>
      <w:r w:rsidRPr="00E754BF">
        <w:rPr>
          <w:lang w:val="fr-CA"/>
        </w:rPr>
        <w:t>pour le transport du No ONU 1972 (MÉTHANE LIQUIDE RÉFRIGÉRÉ ou GAZ NATUREL LIQUIDE RÉFRIGÉRÉ)</w:t>
      </w:r>
      <w:proofErr w:type="gramStart"/>
      <w:r w:rsidRPr="00E754BF">
        <w:rPr>
          <w:lang w:val="fr-CA"/>
        </w:rPr>
        <w:t>.</w:t>
      </w:r>
      <w:r w:rsidRPr="00157710">
        <w:rPr>
          <w:rFonts w:cs="Arial"/>
          <w:szCs w:val="22"/>
        </w:rPr>
        <w:t>»</w:t>
      </w:r>
      <w:proofErr w:type="gramEnd"/>
      <w:r w:rsidRPr="00157710">
        <w:rPr>
          <w:rFonts w:cs="Arial"/>
          <w:szCs w:val="22"/>
        </w:rPr>
        <w:t>.</w:t>
      </w:r>
    </w:p>
    <w:p w14:paraId="0C0D6BD5" w14:textId="77777777" w:rsidR="0082186B" w:rsidRPr="00157710" w:rsidRDefault="0082186B" w:rsidP="0082186B">
      <w:pPr>
        <w:pStyle w:val="SingleTxtG"/>
        <w:rPr>
          <w:rFonts w:cs="Arial"/>
          <w:szCs w:val="22"/>
        </w:rPr>
      </w:pPr>
      <w:r w:rsidRPr="00E754BF">
        <w:rPr>
          <w:i/>
          <w:iCs/>
          <w:lang w:val="fr-FR"/>
        </w:rPr>
        <w:t>(</w:t>
      </w:r>
      <w:r w:rsidRPr="00E754BF">
        <w:rPr>
          <w:i/>
        </w:rPr>
        <w:t>Document</w:t>
      </w:r>
      <w:r>
        <w:rPr>
          <w:i/>
        </w:rPr>
        <w:t>s</w:t>
      </w:r>
      <w:r w:rsidRPr="00E754BF">
        <w:rPr>
          <w:i/>
        </w:rPr>
        <w:t xml:space="preserve"> </w:t>
      </w:r>
      <w:r w:rsidRPr="00E754BF">
        <w:rPr>
          <w:i/>
          <w:iCs/>
          <w:lang w:val="fr-FR"/>
        </w:rPr>
        <w:t>de référence: document</w:t>
      </w:r>
      <w:r>
        <w:rPr>
          <w:i/>
          <w:iCs/>
          <w:lang w:val="fr-FR"/>
        </w:rPr>
        <w:t>s</w:t>
      </w:r>
      <w:r w:rsidRPr="00E754BF">
        <w:rPr>
          <w:i/>
          <w:iCs/>
          <w:lang w:val="fr-FR"/>
        </w:rPr>
        <w:t xml:space="preserve"> informel</w:t>
      </w:r>
      <w:r>
        <w:rPr>
          <w:i/>
          <w:iCs/>
          <w:lang w:val="fr-FR"/>
        </w:rPr>
        <w:t xml:space="preserve">s INF.28 et </w:t>
      </w:r>
      <w:r w:rsidRPr="00E754BF">
        <w:rPr>
          <w:i/>
          <w:iCs/>
          <w:lang w:val="fr-FR"/>
        </w:rPr>
        <w:t>INF.3</w:t>
      </w:r>
      <w:r>
        <w:rPr>
          <w:i/>
          <w:iCs/>
          <w:lang w:val="fr-FR"/>
        </w:rPr>
        <w:t>0</w:t>
      </w:r>
      <w:r w:rsidRPr="00E754BF">
        <w:rPr>
          <w:i/>
          <w:iCs/>
          <w:lang w:val="fr-FR"/>
        </w:rPr>
        <w:t>)</w:t>
      </w:r>
    </w:p>
    <w:p w14:paraId="79EE7097" w14:textId="77777777" w:rsidR="0082186B" w:rsidRDefault="0082186B" w:rsidP="0082186B">
      <w:pPr>
        <w:pStyle w:val="HChG"/>
      </w:pPr>
      <w:r>
        <w:tab/>
      </w:r>
      <w:r>
        <w:tab/>
      </w:r>
      <w:proofErr w:type="spellStart"/>
      <w:r>
        <w:t>Amendements</w:t>
      </w:r>
      <w:proofErr w:type="spellEnd"/>
      <w:r>
        <w:t xml:space="preserve"> au ECE/TRANS/WP.15/AC.1/144, Annexe II</w:t>
      </w:r>
    </w:p>
    <w:p w14:paraId="4B62431F" w14:textId="77777777" w:rsidR="0082186B" w:rsidRDefault="0082186B" w:rsidP="0082186B">
      <w:pPr>
        <w:pStyle w:val="H1G"/>
      </w:pPr>
      <w:r>
        <w:tab/>
      </w:r>
      <w:r>
        <w:tab/>
      </w:r>
      <w:proofErr w:type="spellStart"/>
      <w:r>
        <w:t>Chapitre</w:t>
      </w:r>
      <w:proofErr w:type="spellEnd"/>
      <w:r>
        <w:t xml:space="preserve"> 1.6</w:t>
      </w:r>
    </w:p>
    <w:p w14:paraId="13B5D641" w14:textId="77777777" w:rsidR="0082186B" w:rsidRDefault="0082186B" w:rsidP="0082186B">
      <w:pPr>
        <w:pStyle w:val="SingleTxtG"/>
        <w:rPr>
          <w:lang w:val="fr-FR"/>
        </w:rPr>
      </w:pPr>
      <w:r>
        <w:rPr>
          <w:lang w:val="fr-FR"/>
        </w:rPr>
        <w:t>Modifier la nouvelle mesure transitoire 1.6.3.47 pour lire comme suit:</w:t>
      </w:r>
    </w:p>
    <w:p w14:paraId="41E934DC" w14:textId="77777777" w:rsidR="0082186B" w:rsidRDefault="0082186B" w:rsidP="0082186B">
      <w:pPr>
        <w:pStyle w:val="SingleTxtG"/>
      </w:pPr>
      <w:r>
        <w:rPr>
          <w:lang w:val="fr-FR"/>
        </w:rPr>
        <w:t>«</w:t>
      </w:r>
      <w:r w:rsidRPr="00D252D0">
        <w:rPr>
          <w:bCs/>
          <w:lang w:val="fr-FR"/>
        </w:rPr>
        <w:t>1.6.3.47</w:t>
      </w:r>
      <w:r>
        <w:rPr>
          <w:lang w:val="fr-FR"/>
        </w:rPr>
        <w:tab/>
      </w:r>
      <w:r>
        <w:t>Les</w:t>
      </w:r>
      <w:r w:rsidRPr="00FF7AA3">
        <w:t xml:space="preserve"> wagons-</w:t>
      </w:r>
      <w:proofErr w:type="spellStart"/>
      <w:r w:rsidRPr="00FF7AA3">
        <w:t>citernes</w:t>
      </w:r>
      <w:proofErr w:type="spellEnd"/>
      <w:r w:rsidRPr="00FF7AA3">
        <w:t xml:space="preserve"> </w:t>
      </w:r>
      <w:r>
        <w:t>/</w:t>
      </w:r>
      <w:r>
        <w:rPr>
          <w:b/>
        </w:rPr>
        <w:t xml:space="preserve"> </w:t>
      </w:r>
      <w:r w:rsidRPr="00FF7AA3">
        <w:t xml:space="preserve">Les </w:t>
      </w:r>
      <w:proofErr w:type="spellStart"/>
      <w:r w:rsidRPr="00FF7AA3">
        <w:t>citernes</w:t>
      </w:r>
      <w:proofErr w:type="spellEnd"/>
      <w:r w:rsidRPr="00FF7AA3">
        <w:t xml:space="preserve"> fixes (</w:t>
      </w:r>
      <w:proofErr w:type="spellStart"/>
      <w:r w:rsidRPr="00FF7AA3">
        <w:t>véhicules-citernes</w:t>
      </w:r>
      <w:proofErr w:type="spellEnd"/>
      <w:r w:rsidRPr="00FF7AA3">
        <w:t xml:space="preserve">) et </w:t>
      </w:r>
      <w:proofErr w:type="spellStart"/>
      <w:r w:rsidRPr="00FF7AA3">
        <w:t>citernes</w:t>
      </w:r>
      <w:proofErr w:type="spellEnd"/>
      <w:r>
        <w:t xml:space="preserve"> </w:t>
      </w:r>
      <w:proofErr w:type="spellStart"/>
      <w:r w:rsidRPr="00FF7AA3">
        <w:t>démontables</w:t>
      </w:r>
      <w:proofErr w:type="spellEnd"/>
      <w:r>
        <w:t xml:space="preserve"> </w:t>
      </w:r>
      <w:proofErr w:type="spellStart"/>
      <w:r>
        <w:t>construit</w:t>
      </w:r>
      <w:proofErr w:type="spellEnd"/>
      <w:r>
        <w:t>(e)s</w:t>
      </w:r>
      <w:r w:rsidRPr="00DE182A">
        <w:t xml:space="preserve"> </w:t>
      </w:r>
      <w:proofErr w:type="spellStart"/>
      <w:r w:rsidRPr="00DE182A">
        <w:t>avant</w:t>
      </w:r>
      <w:proofErr w:type="spellEnd"/>
      <w:r w:rsidRPr="00DE182A">
        <w:t xml:space="preserve"> le 1</w:t>
      </w:r>
      <w:r w:rsidRPr="00DE182A">
        <w:rPr>
          <w:vertAlign w:val="superscript"/>
        </w:rPr>
        <w:t>er</w:t>
      </w:r>
      <w:r w:rsidRPr="00DE182A">
        <w:t xml:space="preserve"> </w:t>
      </w:r>
      <w:proofErr w:type="spellStart"/>
      <w:r w:rsidRPr="00DE182A">
        <w:t>juillet</w:t>
      </w:r>
      <w:proofErr w:type="spellEnd"/>
      <w:r w:rsidRPr="00DE182A">
        <w:t xml:space="preserve"> 2019</w:t>
      </w:r>
      <w:r>
        <w:t xml:space="preserve">, </w:t>
      </w:r>
      <w:proofErr w:type="spellStart"/>
      <w:r>
        <w:t>équipé</w:t>
      </w:r>
      <w:proofErr w:type="spellEnd"/>
      <w:r>
        <w:t>(e)s de</w:t>
      </w:r>
      <w:r w:rsidRPr="00DE182A">
        <w:t xml:space="preserve"> </w:t>
      </w:r>
      <w:proofErr w:type="spellStart"/>
      <w:r w:rsidRPr="00DE182A">
        <w:t>soupapes</w:t>
      </w:r>
      <w:proofErr w:type="spellEnd"/>
      <w:r w:rsidRPr="00DE182A">
        <w:t xml:space="preserve"> de </w:t>
      </w:r>
      <w:proofErr w:type="spellStart"/>
      <w:r w:rsidRPr="00DE182A">
        <w:t>sécurité</w:t>
      </w:r>
      <w:proofErr w:type="spellEnd"/>
      <w:r w:rsidRPr="00DE182A">
        <w:t xml:space="preserve"> </w:t>
      </w:r>
      <w:proofErr w:type="spellStart"/>
      <w:r w:rsidRPr="00DE182A">
        <w:t>répondant</w:t>
      </w:r>
      <w:proofErr w:type="spellEnd"/>
      <w:r w:rsidRPr="00DE182A">
        <w:t xml:space="preserve"> aux prescr</w:t>
      </w:r>
      <w:r>
        <w:t xml:space="preserve">iptions </w:t>
      </w:r>
      <w:proofErr w:type="spellStart"/>
      <w:r>
        <w:t>applicables</w:t>
      </w:r>
      <w:proofErr w:type="spellEnd"/>
      <w:r>
        <w:t xml:space="preserve"> </w:t>
      </w:r>
      <w:proofErr w:type="spellStart"/>
      <w:r>
        <w:t>jusqu’au</w:t>
      </w:r>
      <w:proofErr w:type="spellEnd"/>
      <w:r>
        <w:t xml:space="preserve"> 31 </w:t>
      </w:r>
      <w:proofErr w:type="spellStart"/>
      <w:r w:rsidRPr="00DE182A">
        <w:t>décembre</w:t>
      </w:r>
      <w:proofErr w:type="spellEnd"/>
      <w:r w:rsidRPr="00DE182A">
        <w:t xml:space="preserve"> 2018, </w:t>
      </w:r>
      <w:proofErr w:type="spellStart"/>
      <w:r w:rsidRPr="00DE182A">
        <w:t>mais</w:t>
      </w:r>
      <w:proofErr w:type="spellEnd"/>
      <w:r w:rsidRPr="00DE182A">
        <w:t xml:space="preserve"> qui ne </w:t>
      </w:r>
      <w:proofErr w:type="spellStart"/>
      <w:r w:rsidRPr="00DE182A">
        <w:t>satisfont</w:t>
      </w:r>
      <w:proofErr w:type="spellEnd"/>
      <w:r w:rsidRPr="00DE182A">
        <w:t xml:space="preserve"> pas aux prescriptions du </w:t>
      </w:r>
      <w:proofErr w:type="spellStart"/>
      <w:r>
        <w:t>dernier</w:t>
      </w:r>
      <w:proofErr w:type="spellEnd"/>
      <w:r>
        <w:t xml:space="preserve"> </w:t>
      </w:r>
      <w:proofErr w:type="spellStart"/>
      <w:r>
        <w:t>paragraphe</w:t>
      </w:r>
      <w:proofErr w:type="spellEnd"/>
      <w:r>
        <w:t xml:space="preserve"> du </w:t>
      </w:r>
      <w:r w:rsidRPr="00DE182A">
        <w:t xml:space="preserve">6.8.3.2.9 </w:t>
      </w:r>
      <w:proofErr w:type="spellStart"/>
      <w:r w:rsidRPr="00DE182A">
        <w:t>concernant</w:t>
      </w:r>
      <w:proofErr w:type="spellEnd"/>
      <w:r w:rsidRPr="00DE182A">
        <w:t xml:space="preserve"> </w:t>
      </w:r>
      <w:proofErr w:type="spellStart"/>
      <w:r>
        <w:t>leur</w:t>
      </w:r>
      <w:proofErr w:type="spellEnd"/>
      <w:r>
        <w:t xml:space="preserve"> conception </w:t>
      </w:r>
      <w:proofErr w:type="spellStart"/>
      <w:r>
        <w:t>ou</w:t>
      </w:r>
      <w:proofErr w:type="spellEnd"/>
      <w:r>
        <w:t xml:space="preserve"> protection</w:t>
      </w:r>
      <w:r w:rsidRPr="00DE182A">
        <w:t xml:space="preserve"> </w:t>
      </w:r>
      <w:proofErr w:type="spellStart"/>
      <w:r w:rsidRPr="00DE182A">
        <w:t>applicables</w:t>
      </w:r>
      <w:proofErr w:type="spellEnd"/>
      <w:r w:rsidRPr="00DE182A">
        <w:t xml:space="preserve"> à </w:t>
      </w:r>
      <w:proofErr w:type="spellStart"/>
      <w:r w:rsidRPr="00DE182A">
        <w:t>partir</w:t>
      </w:r>
      <w:proofErr w:type="spellEnd"/>
      <w:r w:rsidRPr="00DE182A">
        <w:t xml:space="preserve"> du 1</w:t>
      </w:r>
      <w:r w:rsidRPr="00DE182A">
        <w:rPr>
          <w:vertAlign w:val="superscript"/>
        </w:rPr>
        <w:t>er</w:t>
      </w:r>
      <w:r w:rsidRPr="00DE182A">
        <w:t> </w:t>
      </w:r>
      <w:proofErr w:type="spellStart"/>
      <w:r w:rsidRPr="00DE182A">
        <w:t>janvier</w:t>
      </w:r>
      <w:proofErr w:type="spellEnd"/>
      <w:r w:rsidRPr="00DE182A">
        <w:t xml:space="preserve"> 2019, </w:t>
      </w:r>
      <w:proofErr w:type="spellStart"/>
      <w:r w:rsidRPr="00DE182A">
        <w:t>pourront</w:t>
      </w:r>
      <w:proofErr w:type="spellEnd"/>
      <w:r w:rsidRPr="00DE182A">
        <w:t xml:space="preserve"> continuer à </w:t>
      </w:r>
      <w:proofErr w:type="spellStart"/>
      <w:r w:rsidRPr="00DE182A">
        <w:t>être</w:t>
      </w:r>
      <w:proofErr w:type="spellEnd"/>
      <w:r w:rsidRPr="00DE182A">
        <w:t xml:space="preserve"> </w:t>
      </w:r>
      <w:proofErr w:type="spellStart"/>
      <w:r w:rsidRPr="00DE182A">
        <w:t>utilisé</w:t>
      </w:r>
      <w:proofErr w:type="spellEnd"/>
      <w:r>
        <w:t>(e)</w:t>
      </w:r>
      <w:r w:rsidRPr="00DE182A">
        <w:t>s</w:t>
      </w:r>
      <w:r>
        <w:t xml:space="preserve"> </w:t>
      </w:r>
      <w:proofErr w:type="spellStart"/>
      <w:r w:rsidRPr="00DE182A">
        <w:t>jusqu’au</w:t>
      </w:r>
      <w:proofErr w:type="spellEnd"/>
      <w:r w:rsidRPr="00DE182A">
        <w:t xml:space="preserve"> prochain </w:t>
      </w:r>
      <w:proofErr w:type="spellStart"/>
      <w:r w:rsidRPr="00DE182A">
        <w:t>contrôle</w:t>
      </w:r>
      <w:proofErr w:type="spellEnd"/>
      <w:r w:rsidRPr="00DE182A">
        <w:t xml:space="preserve"> </w:t>
      </w:r>
      <w:proofErr w:type="spellStart"/>
      <w:r w:rsidRPr="00DE182A">
        <w:t>intermédiaire</w:t>
      </w:r>
      <w:proofErr w:type="spellEnd"/>
      <w:r w:rsidRPr="00DE182A">
        <w:t xml:space="preserve"> </w:t>
      </w:r>
      <w:proofErr w:type="spellStart"/>
      <w:r w:rsidRPr="00DE182A">
        <w:t>ou</w:t>
      </w:r>
      <w:proofErr w:type="spellEnd"/>
      <w:r w:rsidRPr="00DE182A">
        <w:t xml:space="preserve"> </w:t>
      </w:r>
      <w:proofErr w:type="spellStart"/>
      <w:r w:rsidRPr="00DE182A">
        <w:t>périodique</w:t>
      </w:r>
      <w:proofErr w:type="spellEnd"/>
      <w:r w:rsidRPr="00DE182A">
        <w:t xml:space="preserve"> </w:t>
      </w:r>
      <w:proofErr w:type="spellStart"/>
      <w:r w:rsidRPr="00DE182A">
        <w:t>devant</w:t>
      </w:r>
      <w:proofErr w:type="spellEnd"/>
      <w:r w:rsidRPr="00DE182A">
        <w:t xml:space="preserve"> </w:t>
      </w:r>
      <w:proofErr w:type="spellStart"/>
      <w:r w:rsidRPr="00DE182A">
        <w:t>avoir</w:t>
      </w:r>
      <w:proofErr w:type="spellEnd"/>
      <w:r w:rsidRPr="00DE182A">
        <w:t xml:space="preserve"> lieu après le 1</w:t>
      </w:r>
      <w:r w:rsidRPr="00DE182A">
        <w:rPr>
          <w:vertAlign w:val="superscript"/>
        </w:rPr>
        <w:t>er</w:t>
      </w:r>
      <w:r w:rsidRPr="00DE182A">
        <w:t> </w:t>
      </w:r>
      <w:proofErr w:type="spellStart"/>
      <w:r w:rsidRPr="00DE182A">
        <w:t>j</w:t>
      </w:r>
      <w:r>
        <w:t>anvier</w:t>
      </w:r>
      <w:proofErr w:type="spellEnd"/>
      <w:r w:rsidRPr="00DE182A">
        <w:t xml:space="preserve"> 20</w:t>
      </w:r>
      <w:r>
        <w:t>21</w:t>
      </w:r>
      <w:r w:rsidRPr="00DE182A">
        <w:t>.</w:t>
      </w:r>
      <w:r w:rsidRPr="00AA163F">
        <w:t>».</w:t>
      </w:r>
    </w:p>
    <w:p w14:paraId="2A9DAD12" w14:textId="77777777" w:rsidR="0082186B" w:rsidRPr="00D252D0" w:rsidRDefault="0082186B" w:rsidP="0082186B">
      <w:pPr>
        <w:pStyle w:val="SingleTxtG"/>
        <w:rPr>
          <w:i/>
          <w:iCs/>
          <w:lang w:val="fr-FR"/>
        </w:rPr>
      </w:pPr>
      <w:r w:rsidRPr="00D252D0">
        <w:rPr>
          <w:i/>
          <w:iCs/>
          <w:lang w:val="fr-FR"/>
        </w:rPr>
        <w:t>(</w:t>
      </w:r>
      <w:r w:rsidRPr="00D252D0">
        <w:rPr>
          <w:i/>
          <w:iCs/>
        </w:rPr>
        <w:t xml:space="preserve">Documents </w:t>
      </w:r>
      <w:r w:rsidRPr="00D252D0">
        <w:rPr>
          <w:i/>
          <w:iCs/>
          <w:lang w:val="fr-FR"/>
        </w:rPr>
        <w:t>de référence : ECE/TRANS/WP.15/AC.1/2017/13 et document informel INF.34)</w:t>
      </w:r>
    </w:p>
    <w:p w14:paraId="7E055A83" w14:textId="77777777" w:rsidR="0082186B" w:rsidRDefault="0082186B" w:rsidP="0082186B">
      <w:pPr>
        <w:pStyle w:val="SingleTxtG"/>
        <w:rPr>
          <w:lang w:val="fr-FR"/>
        </w:rPr>
      </w:pPr>
      <w:r>
        <w:rPr>
          <w:lang w:val="fr-FR"/>
        </w:rPr>
        <w:t>Modifier la nouvelle mesure transitoire 1.6.3.48 pour lire comme suit:</w:t>
      </w:r>
    </w:p>
    <w:p w14:paraId="2E6E3EAA" w14:textId="77777777" w:rsidR="0082186B" w:rsidRDefault="0082186B" w:rsidP="0082186B">
      <w:pPr>
        <w:pStyle w:val="SingleTxtG"/>
        <w:rPr>
          <w:b/>
          <w:lang w:val="fr-FR"/>
        </w:rPr>
      </w:pPr>
      <w:r w:rsidRPr="009E35D6">
        <w:rPr>
          <w:lang w:val="fr-FR"/>
        </w:rPr>
        <w:lastRenderedPageBreak/>
        <w:t>«</w:t>
      </w:r>
      <w:r w:rsidRPr="00D252D0">
        <w:rPr>
          <w:bCs/>
          <w:lang w:val="fr-FR"/>
        </w:rPr>
        <w:t>1.6.3.48</w:t>
      </w:r>
      <w:r>
        <w:rPr>
          <w:b/>
          <w:lang w:val="fr-FR"/>
        </w:rPr>
        <w:tab/>
      </w:r>
      <w:r w:rsidRPr="00BC2241">
        <w:rPr>
          <w:lang w:val="fr-FR"/>
        </w:rPr>
        <w:t>Nonobstant les prescriptions de la disposition spéciale TU</w:t>
      </w:r>
      <w:r>
        <w:rPr>
          <w:lang w:val="fr-FR"/>
        </w:rPr>
        <w:t> </w:t>
      </w:r>
      <w:r w:rsidRPr="00BC2241">
        <w:rPr>
          <w:lang w:val="fr-FR"/>
        </w:rPr>
        <w:t>42 du 4.3.5 applicables à partir du 1</w:t>
      </w:r>
      <w:r w:rsidRPr="00D4523B">
        <w:rPr>
          <w:vertAlign w:val="superscript"/>
          <w:lang w:val="fr-FR"/>
        </w:rPr>
        <w:t>er</w:t>
      </w:r>
      <w:r>
        <w:rPr>
          <w:lang w:val="fr-FR"/>
        </w:rPr>
        <w:t> </w:t>
      </w:r>
      <w:r w:rsidRPr="00BC2241">
        <w:rPr>
          <w:lang w:val="fr-FR"/>
        </w:rPr>
        <w:t xml:space="preserve">janvier 2019, </w:t>
      </w:r>
      <w:r>
        <w:t>les</w:t>
      </w:r>
      <w:r w:rsidRPr="00FF7AA3">
        <w:t xml:space="preserve"> wagons-</w:t>
      </w:r>
      <w:proofErr w:type="spellStart"/>
      <w:r w:rsidRPr="00FF7AA3">
        <w:t>citernes</w:t>
      </w:r>
      <w:proofErr w:type="spellEnd"/>
      <w:r w:rsidRPr="00FF7AA3">
        <w:t xml:space="preserve"> </w:t>
      </w:r>
      <w:r>
        <w:t>/</w:t>
      </w:r>
      <w:r>
        <w:rPr>
          <w:b/>
        </w:rPr>
        <w:t xml:space="preserve"> </w:t>
      </w:r>
      <w:r>
        <w:t>l</w:t>
      </w:r>
      <w:r w:rsidRPr="00FF7AA3">
        <w:t xml:space="preserve">es </w:t>
      </w:r>
      <w:proofErr w:type="spellStart"/>
      <w:r w:rsidRPr="00FF7AA3">
        <w:t>citernes</w:t>
      </w:r>
      <w:proofErr w:type="spellEnd"/>
      <w:r w:rsidRPr="00FF7AA3">
        <w:t xml:space="preserve"> fixes (</w:t>
      </w:r>
      <w:proofErr w:type="spellStart"/>
      <w:r w:rsidRPr="00FF7AA3">
        <w:t>véhicules-citernes</w:t>
      </w:r>
      <w:proofErr w:type="spellEnd"/>
      <w:r w:rsidRPr="00FF7AA3">
        <w:t xml:space="preserve">) et </w:t>
      </w:r>
      <w:proofErr w:type="spellStart"/>
      <w:r w:rsidRPr="00FF7AA3">
        <w:t>citernes</w:t>
      </w:r>
      <w:proofErr w:type="spellEnd"/>
      <w:r>
        <w:t xml:space="preserve"> </w:t>
      </w:r>
      <w:proofErr w:type="spellStart"/>
      <w:r w:rsidRPr="00FF7AA3">
        <w:t>démontables</w:t>
      </w:r>
      <w:proofErr w:type="spellEnd"/>
      <w:r>
        <w:t xml:space="preserve"> </w:t>
      </w:r>
      <w:r w:rsidRPr="00BC2241">
        <w:rPr>
          <w:lang w:val="fr-FR"/>
        </w:rPr>
        <w:t xml:space="preserve">dont le réservoir est construit en alliage d’aluminium, y compris </w:t>
      </w:r>
      <w:r>
        <w:rPr>
          <w:lang w:val="fr-FR"/>
        </w:rPr>
        <w:t xml:space="preserve">ceux équipés / </w:t>
      </w:r>
      <w:r w:rsidRPr="00BC2241">
        <w:rPr>
          <w:lang w:val="fr-FR"/>
        </w:rPr>
        <w:t>celles équipées d’un revêtement protecteur, qui étaient utilisé</w:t>
      </w:r>
      <w:r>
        <w:rPr>
          <w:lang w:val="fr-FR"/>
        </w:rPr>
        <w:t>(e)</w:t>
      </w:r>
      <w:r w:rsidRPr="00BC2241">
        <w:rPr>
          <w:lang w:val="fr-FR"/>
        </w:rPr>
        <w:t>s avant le 1</w:t>
      </w:r>
      <w:r w:rsidRPr="00D4523B">
        <w:rPr>
          <w:vertAlign w:val="superscript"/>
          <w:lang w:val="fr-FR"/>
        </w:rPr>
        <w:t>er</w:t>
      </w:r>
      <w:r>
        <w:rPr>
          <w:lang w:val="fr-FR"/>
        </w:rPr>
        <w:t> </w:t>
      </w:r>
      <w:r w:rsidRPr="00BC2241">
        <w:rPr>
          <w:lang w:val="fr-FR"/>
        </w:rPr>
        <w:t>janvier 2019 pour le transport de matières avec un pH inférieur à 5</w:t>
      </w:r>
      <w:r>
        <w:rPr>
          <w:lang w:val="fr-FR"/>
        </w:rPr>
        <w:t>,0</w:t>
      </w:r>
      <w:r w:rsidRPr="00BC2241">
        <w:rPr>
          <w:lang w:val="fr-FR"/>
        </w:rPr>
        <w:t xml:space="preserve"> ou supérieur à 8</w:t>
      </w:r>
      <w:r>
        <w:rPr>
          <w:lang w:val="fr-FR"/>
        </w:rPr>
        <w:t>,0</w:t>
      </w:r>
      <w:r w:rsidRPr="00BC2241">
        <w:rPr>
          <w:lang w:val="fr-FR"/>
        </w:rPr>
        <w:t>, pourront continuer à être utilisé</w:t>
      </w:r>
      <w:r>
        <w:rPr>
          <w:lang w:val="fr-FR"/>
        </w:rPr>
        <w:t>(e)</w:t>
      </w:r>
      <w:r w:rsidRPr="00BC2241">
        <w:rPr>
          <w:lang w:val="fr-FR"/>
        </w:rPr>
        <w:t>s pour le transport de ces matières jusqu’au 31</w:t>
      </w:r>
      <w:r>
        <w:rPr>
          <w:lang w:val="fr-FR"/>
        </w:rPr>
        <w:t> </w:t>
      </w:r>
      <w:r w:rsidRPr="00BC2241">
        <w:rPr>
          <w:lang w:val="fr-FR"/>
        </w:rPr>
        <w:t>décembre 2022.».</w:t>
      </w:r>
    </w:p>
    <w:p w14:paraId="5666C8F6" w14:textId="77777777" w:rsidR="0082186B" w:rsidRPr="00D252D0" w:rsidRDefault="0082186B" w:rsidP="0082186B">
      <w:pPr>
        <w:pStyle w:val="SingleTxtG"/>
        <w:rPr>
          <w:b/>
          <w:i/>
          <w:iCs/>
          <w:lang w:val="fr-FR"/>
        </w:rPr>
      </w:pPr>
      <w:r w:rsidRPr="00D252D0">
        <w:rPr>
          <w:i/>
          <w:iCs/>
          <w:lang w:val="fr-FR"/>
        </w:rPr>
        <w:t>(</w:t>
      </w:r>
      <w:r w:rsidRPr="00D252D0">
        <w:rPr>
          <w:i/>
          <w:iCs/>
        </w:rPr>
        <w:t xml:space="preserve">Document </w:t>
      </w:r>
      <w:r w:rsidRPr="00D252D0">
        <w:rPr>
          <w:i/>
          <w:iCs/>
          <w:lang w:val="fr-FR"/>
        </w:rPr>
        <w:t xml:space="preserve">de </w:t>
      </w:r>
      <w:proofErr w:type="spellStart"/>
      <w:r w:rsidRPr="00D252D0">
        <w:rPr>
          <w:i/>
          <w:iCs/>
        </w:rPr>
        <w:t>référence</w:t>
      </w:r>
      <w:proofErr w:type="spellEnd"/>
      <w:r w:rsidRPr="00D252D0">
        <w:rPr>
          <w:i/>
          <w:iCs/>
          <w:lang w:val="fr-FR"/>
        </w:rPr>
        <w:t> : document informel INF.34)</w:t>
      </w:r>
    </w:p>
    <w:p w14:paraId="403870F7" w14:textId="77777777" w:rsidR="0082186B" w:rsidRDefault="0082186B" w:rsidP="0082186B">
      <w:pPr>
        <w:pStyle w:val="SingleTxtG"/>
        <w:rPr>
          <w:lang w:val="fr-FR"/>
        </w:rPr>
      </w:pPr>
      <w:r>
        <w:rPr>
          <w:lang w:val="fr-FR"/>
        </w:rPr>
        <w:t>Modifier la nouvelle mesure transitoire 1.6.4.49 pour lire comme suit:</w:t>
      </w:r>
    </w:p>
    <w:p w14:paraId="50528746" w14:textId="77777777" w:rsidR="0082186B" w:rsidRPr="00D97DE6" w:rsidRDefault="0082186B" w:rsidP="0082186B">
      <w:pPr>
        <w:pStyle w:val="SingleTxtG"/>
      </w:pPr>
      <w:r w:rsidRPr="00D97DE6">
        <w:t>«</w:t>
      </w:r>
      <w:r w:rsidRPr="00D252D0">
        <w:rPr>
          <w:bCs/>
        </w:rPr>
        <w:t>1.6.4.49</w:t>
      </w:r>
      <w:r w:rsidRPr="00D97DE6">
        <w:rPr>
          <w:b/>
        </w:rPr>
        <w:tab/>
      </w:r>
      <w:r>
        <w:t xml:space="preserve">Les </w:t>
      </w:r>
      <w:proofErr w:type="spellStart"/>
      <w:r w:rsidRPr="00DE182A">
        <w:t>conteneurs-citernes</w:t>
      </w:r>
      <w:proofErr w:type="spellEnd"/>
      <w:r w:rsidRPr="00DE182A">
        <w:t xml:space="preserve"> </w:t>
      </w:r>
      <w:proofErr w:type="spellStart"/>
      <w:r w:rsidRPr="00DE182A">
        <w:t>construits</w:t>
      </w:r>
      <w:proofErr w:type="spellEnd"/>
      <w:r w:rsidRPr="00DE182A">
        <w:t xml:space="preserve"> </w:t>
      </w:r>
      <w:proofErr w:type="spellStart"/>
      <w:r w:rsidRPr="00DE182A">
        <w:t>avant</w:t>
      </w:r>
      <w:proofErr w:type="spellEnd"/>
      <w:r w:rsidRPr="00DE182A">
        <w:t xml:space="preserve"> le 1</w:t>
      </w:r>
      <w:r w:rsidRPr="00DE182A">
        <w:rPr>
          <w:vertAlign w:val="superscript"/>
        </w:rPr>
        <w:t>er</w:t>
      </w:r>
      <w:r w:rsidRPr="00DE182A">
        <w:t xml:space="preserve"> </w:t>
      </w:r>
      <w:proofErr w:type="spellStart"/>
      <w:r w:rsidRPr="00DE182A">
        <w:t>juillet</w:t>
      </w:r>
      <w:proofErr w:type="spellEnd"/>
      <w:r w:rsidRPr="00DE182A">
        <w:t xml:space="preserve"> 2019</w:t>
      </w:r>
      <w:r>
        <w:t xml:space="preserve">, </w:t>
      </w:r>
      <w:proofErr w:type="spellStart"/>
      <w:r>
        <w:t>équipés</w:t>
      </w:r>
      <w:proofErr w:type="spellEnd"/>
      <w:r>
        <w:t xml:space="preserve"> de</w:t>
      </w:r>
      <w:r w:rsidRPr="00DE182A">
        <w:t xml:space="preserve"> </w:t>
      </w:r>
      <w:proofErr w:type="spellStart"/>
      <w:r w:rsidRPr="00DE182A">
        <w:t>soupapes</w:t>
      </w:r>
      <w:proofErr w:type="spellEnd"/>
      <w:r w:rsidRPr="00DE182A">
        <w:t xml:space="preserve"> de </w:t>
      </w:r>
      <w:proofErr w:type="spellStart"/>
      <w:r w:rsidRPr="00DE182A">
        <w:t>sécurité</w:t>
      </w:r>
      <w:proofErr w:type="spellEnd"/>
      <w:r w:rsidRPr="00DE182A">
        <w:t xml:space="preserve"> </w:t>
      </w:r>
      <w:proofErr w:type="spellStart"/>
      <w:r w:rsidRPr="00DE182A">
        <w:t>répondant</w:t>
      </w:r>
      <w:proofErr w:type="spellEnd"/>
      <w:r w:rsidRPr="00DE182A">
        <w:t xml:space="preserve"> aux prescr</w:t>
      </w:r>
      <w:r>
        <w:t xml:space="preserve">iptions </w:t>
      </w:r>
      <w:proofErr w:type="spellStart"/>
      <w:r>
        <w:t>applicables</w:t>
      </w:r>
      <w:proofErr w:type="spellEnd"/>
      <w:r>
        <w:t xml:space="preserve"> </w:t>
      </w:r>
      <w:proofErr w:type="spellStart"/>
      <w:r>
        <w:t>jusqu’au</w:t>
      </w:r>
      <w:proofErr w:type="spellEnd"/>
      <w:r>
        <w:t xml:space="preserve"> 31 </w:t>
      </w:r>
      <w:proofErr w:type="spellStart"/>
      <w:r w:rsidRPr="00DE182A">
        <w:t>décembre</w:t>
      </w:r>
      <w:proofErr w:type="spellEnd"/>
      <w:r w:rsidRPr="00DE182A">
        <w:t xml:space="preserve"> 2018, </w:t>
      </w:r>
      <w:proofErr w:type="spellStart"/>
      <w:r w:rsidRPr="00DE182A">
        <w:t>mais</w:t>
      </w:r>
      <w:proofErr w:type="spellEnd"/>
      <w:r w:rsidRPr="00DE182A">
        <w:t xml:space="preserve"> qui ne </w:t>
      </w:r>
      <w:proofErr w:type="spellStart"/>
      <w:r w:rsidRPr="00DE182A">
        <w:t>satisfont</w:t>
      </w:r>
      <w:proofErr w:type="spellEnd"/>
      <w:r w:rsidRPr="00DE182A">
        <w:t xml:space="preserve"> pas aux prescriptions du </w:t>
      </w:r>
      <w:proofErr w:type="spellStart"/>
      <w:r>
        <w:t>dernier</w:t>
      </w:r>
      <w:proofErr w:type="spellEnd"/>
      <w:r>
        <w:t xml:space="preserve"> </w:t>
      </w:r>
      <w:proofErr w:type="spellStart"/>
      <w:r>
        <w:t>paragraphe</w:t>
      </w:r>
      <w:proofErr w:type="spellEnd"/>
      <w:r>
        <w:t xml:space="preserve"> du </w:t>
      </w:r>
      <w:r w:rsidRPr="00DE182A">
        <w:t xml:space="preserve">6.8.3.2.9 </w:t>
      </w:r>
      <w:proofErr w:type="spellStart"/>
      <w:r w:rsidRPr="00DE182A">
        <w:t>concernant</w:t>
      </w:r>
      <w:proofErr w:type="spellEnd"/>
      <w:r w:rsidRPr="00DE182A">
        <w:t xml:space="preserve"> </w:t>
      </w:r>
      <w:proofErr w:type="spellStart"/>
      <w:r>
        <w:t>leur</w:t>
      </w:r>
      <w:proofErr w:type="spellEnd"/>
      <w:r>
        <w:t xml:space="preserve"> conception </w:t>
      </w:r>
      <w:proofErr w:type="spellStart"/>
      <w:r>
        <w:t>ou</w:t>
      </w:r>
      <w:proofErr w:type="spellEnd"/>
      <w:r>
        <w:t xml:space="preserve"> protection</w:t>
      </w:r>
      <w:r w:rsidRPr="00DE182A">
        <w:t xml:space="preserve"> </w:t>
      </w:r>
      <w:proofErr w:type="spellStart"/>
      <w:r w:rsidRPr="00DE182A">
        <w:t>applicables</w:t>
      </w:r>
      <w:proofErr w:type="spellEnd"/>
      <w:r w:rsidRPr="00DE182A">
        <w:t xml:space="preserve"> à </w:t>
      </w:r>
      <w:proofErr w:type="spellStart"/>
      <w:r w:rsidRPr="00DE182A">
        <w:t>partir</w:t>
      </w:r>
      <w:proofErr w:type="spellEnd"/>
      <w:r w:rsidRPr="00DE182A">
        <w:t xml:space="preserve"> du 1</w:t>
      </w:r>
      <w:r w:rsidRPr="00DE182A">
        <w:rPr>
          <w:vertAlign w:val="superscript"/>
        </w:rPr>
        <w:t>er</w:t>
      </w:r>
      <w:r w:rsidRPr="00DE182A">
        <w:t> </w:t>
      </w:r>
      <w:proofErr w:type="spellStart"/>
      <w:r w:rsidRPr="00DE182A">
        <w:t>janvier</w:t>
      </w:r>
      <w:proofErr w:type="spellEnd"/>
      <w:r w:rsidRPr="00DE182A">
        <w:t xml:space="preserve"> 2019, </w:t>
      </w:r>
      <w:proofErr w:type="spellStart"/>
      <w:r w:rsidRPr="00DE182A">
        <w:t>pourront</w:t>
      </w:r>
      <w:proofErr w:type="spellEnd"/>
      <w:r w:rsidRPr="00DE182A">
        <w:t xml:space="preserve"> continuer à </w:t>
      </w:r>
      <w:proofErr w:type="spellStart"/>
      <w:r w:rsidRPr="00DE182A">
        <w:t>être</w:t>
      </w:r>
      <w:proofErr w:type="spellEnd"/>
      <w:r w:rsidRPr="00DE182A">
        <w:t xml:space="preserve"> </w:t>
      </w:r>
      <w:proofErr w:type="spellStart"/>
      <w:r w:rsidRPr="00DE182A">
        <w:t>utilisés</w:t>
      </w:r>
      <w:proofErr w:type="spellEnd"/>
      <w:r w:rsidRPr="00DE182A">
        <w:t xml:space="preserve"> </w:t>
      </w:r>
      <w:proofErr w:type="spellStart"/>
      <w:r w:rsidRPr="00DE182A">
        <w:t>jusqu’au</w:t>
      </w:r>
      <w:proofErr w:type="spellEnd"/>
      <w:r w:rsidRPr="00DE182A">
        <w:t xml:space="preserve"> prochain </w:t>
      </w:r>
      <w:proofErr w:type="spellStart"/>
      <w:r w:rsidRPr="00DE182A">
        <w:t>contrôle</w:t>
      </w:r>
      <w:proofErr w:type="spellEnd"/>
      <w:r w:rsidRPr="00DE182A">
        <w:t xml:space="preserve"> </w:t>
      </w:r>
      <w:proofErr w:type="spellStart"/>
      <w:r w:rsidRPr="00DE182A">
        <w:t>intermédiaire</w:t>
      </w:r>
      <w:proofErr w:type="spellEnd"/>
      <w:r w:rsidRPr="00DE182A">
        <w:t xml:space="preserve"> </w:t>
      </w:r>
      <w:proofErr w:type="spellStart"/>
      <w:r w:rsidRPr="00DE182A">
        <w:t>ou</w:t>
      </w:r>
      <w:proofErr w:type="spellEnd"/>
      <w:r w:rsidRPr="00DE182A">
        <w:t xml:space="preserve"> </w:t>
      </w:r>
      <w:proofErr w:type="spellStart"/>
      <w:r w:rsidRPr="00DE182A">
        <w:t>périodique</w:t>
      </w:r>
      <w:proofErr w:type="spellEnd"/>
      <w:r w:rsidRPr="00DE182A">
        <w:t xml:space="preserve"> </w:t>
      </w:r>
      <w:proofErr w:type="spellStart"/>
      <w:r w:rsidRPr="00DE182A">
        <w:t>devant</w:t>
      </w:r>
      <w:proofErr w:type="spellEnd"/>
      <w:r w:rsidRPr="00DE182A">
        <w:t xml:space="preserve"> </w:t>
      </w:r>
      <w:proofErr w:type="spellStart"/>
      <w:r w:rsidRPr="00DE182A">
        <w:t>avoir</w:t>
      </w:r>
      <w:proofErr w:type="spellEnd"/>
      <w:r w:rsidRPr="00DE182A">
        <w:t xml:space="preserve"> lieu après le 1</w:t>
      </w:r>
      <w:r w:rsidRPr="00DE182A">
        <w:rPr>
          <w:vertAlign w:val="superscript"/>
        </w:rPr>
        <w:t>er</w:t>
      </w:r>
      <w:r w:rsidRPr="00DE182A">
        <w:t> </w:t>
      </w:r>
      <w:proofErr w:type="spellStart"/>
      <w:r w:rsidRPr="00DE182A">
        <w:t>j</w:t>
      </w:r>
      <w:r>
        <w:t>anvier</w:t>
      </w:r>
      <w:proofErr w:type="spellEnd"/>
      <w:r w:rsidRPr="00DE182A">
        <w:t xml:space="preserve"> 20</w:t>
      </w:r>
      <w:r>
        <w:t>21</w:t>
      </w:r>
      <w:proofErr w:type="gramStart"/>
      <w:r w:rsidRPr="00DE182A">
        <w:t>.</w:t>
      </w:r>
      <w:r w:rsidRPr="00D97DE6">
        <w:t>»</w:t>
      </w:r>
      <w:proofErr w:type="gramEnd"/>
      <w:r w:rsidRPr="00D97DE6">
        <w:t>.</w:t>
      </w:r>
    </w:p>
    <w:p w14:paraId="091C7694" w14:textId="77777777" w:rsidR="0082186B" w:rsidRPr="00D252D0" w:rsidRDefault="0082186B" w:rsidP="0082186B">
      <w:pPr>
        <w:pStyle w:val="SingleTxtG"/>
        <w:rPr>
          <w:i/>
          <w:iCs/>
        </w:rPr>
      </w:pPr>
      <w:r w:rsidRPr="00D252D0">
        <w:rPr>
          <w:i/>
          <w:iCs/>
          <w:lang w:val="fr-FR"/>
        </w:rPr>
        <w:t>(</w:t>
      </w:r>
      <w:r w:rsidRPr="00D252D0">
        <w:rPr>
          <w:i/>
          <w:iCs/>
        </w:rPr>
        <w:t xml:space="preserve">Documents </w:t>
      </w:r>
      <w:r w:rsidRPr="00D252D0">
        <w:rPr>
          <w:i/>
          <w:iCs/>
          <w:lang w:val="fr-FR"/>
        </w:rPr>
        <w:t>de référence : ECE/TRANS/WP.15/AC.1/2017/13 et document informel INF.34)</w:t>
      </w:r>
    </w:p>
    <w:p w14:paraId="23FDBFB1" w14:textId="77777777" w:rsidR="0082186B" w:rsidRDefault="0082186B" w:rsidP="0082186B">
      <w:pPr>
        <w:pStyle w:val="SingleTxtG"/>
        <w:rPr>
          <w:lang w:val="fr-FR"/>
        </w:rPr>
      </w:pPr>
      <w:r>
        <w:rPr>
          <w:lang w:val="fr-FR"/>
        </w:rPr>
        <w:t>Modifier la nouvelle mesure transitoire 1.6.4.50 pour lire comme suit:</w:t>
      </w:r>
    </w:p>
    <w:p w14:paraId="58AFBE6B" w14:textId="77777777" w:rsidR="0082186B" w:rsidRDefault="0082186B" w:rsidP="0082186B">
      <w:pPr>
        <w:pStyle w:val="SingleTxtG"/>
        <w:rPr>
          <w:b/>
        </w:rPr>
      </w:pPr>
      <w:r w:rsidRPr="009E35D6">
        <w:t>«</w:t>
      </w:r>
      <w:r w:rsidRPr="00D252D0">
        <w:rPr>
          <w:bCs/>
        </w:rPr>
        <w:t>1.6.4.50</w:t>
      </w:r>
      <w:r>
        <w:rPr>
          <w:b/>
        </w:rPr>
        <w:tab/>
      </w:r>
      <w:r w:rsidRPr="00BC2241">
        <w:rPr>
          <w:lang w:val="fr-FR"/>
        </w:rPr>
        <w:t>Nonobstant les prescriptions de la disposition spéciale TU</w:t>
      </w:r>
      <w:r>
        <w:rPr>
          <w:lang w:val="fr-FR"/>
        </w:rPr>
        <w:t> </w:t>
      </w:r>
      <w:r w:rsidRPr="00BC2241">
        <w:rPr>
          <w:lang w:val="fr-FR"/>
        </w:rPr>
        <w:t>42 du 4.3.5 applicables à partir du 1</w:t>
      </w:r>
      <w:r w:rsidRPr="00377EA0">
        <w:rPr>
          <w:vertAlign w:val="superscript"/>
          <w:lang w:val="fr-FR"/>
        </w:rPr>
        <w:t>er</w:t>
      </w:r>
      <w:r>
        <w:rPr>
          <w:lang w:val="fr-FR"/>
        </w:rPr>
        <w:t> </w:t>
      </w:r>
      <w:r w:rsidRPr="00BC2241">
        <w:rPr>
          <w:lang w:val="fr-FR"/>
        </w:rPr>
        <w:t>janvier 2019, les conteneurs-citernes dont le réservoir est construit en alliage d’aluminium, y compris ceux équipés d’un revêtement protecteur, qui étaient utilisés avant le 1</w:t>
      </w:r>
      <w:r w:rsidRPr="00377EA0">
        <w:rPr>
          <w:vertAlign w:val="superscript"/>
          <w:lang w:val="fr-FR"/>
        </w:rPr>
        <w:t>er</w:t>
      </w:r>
      <w:r>
        <w:rPr>
          <w:lang w:val="fr-FR"/>
        </w:rPr>
        <w:t> </w:t>
      </w:r>
      <w:r w:rsidRPr="00BC2241">
        <w:rPr>
          <w:lang w:val="fr-FR"/>
        </w:rPr>
        <w:t>janvier 2019 pour le transport de matières avec un pH inférieur à 5</w:t>
      </w:r>
      <w:proofErr w:type="gramStart"/>
      <w:r>
        <w:rPr>
          <w:lang w:val="fr-FR"/>
        </w:rPr>
        <w:t>,0</w:t>
      </w:r>
      <w:proofErr w:type="gramEnd"/>
      <w:r w:rsidRPr="00BC2241">
        <w:rPr>
          <w:lang w:val="fr-FR"/>
        </w:rPr>
        <w:t xml:space="preserve"> ou supérieur à 8</w:t>
      </w:r>
      <w:r>
        <w:rPr>
          <w:lang w:val="fr-FR"/>
        </w:rPr>
        <w:t>,0</w:t>
      </w:r>
      <w:r w:rsidRPr="00BC2241">
        <w:rPr>
          <w:lang w:val="fr-FR"/>
        </w:rPr>
        <w:t>, pourront continuer à être utilisés pour le transport de ces matières jusqu’au 31</w:t>
      </w:r>
      <w:r>
        <w:rPr>
          <w:lang w:val="fr-FR"/>
        </w:rPr>
        <w:t> </w:t>
      </w:r>
      <w:r w:rsidRPr="00BC2241">
        <w:rPr>
          <w:lang w:val="fr-FR"/>
        </w:rPr>
        <w:t>décembre 2022.</w:t>
      </w:r>
      <w:r>
        <w:rPr>
          <w:lang w:val="fr-FR"/>
        </w:rPr>
        <w:t> ».</w:t>
      </w:r>
    </w:p>
    <w:p w14:paraId="6928F5E5" w14:textId="77777777" w:rsidR="0082186B" w:rsidRPr="00D252D0" w:rsidRDefault="0082186B" w:rsidP="0082186B">
      <w:pPr>
        <w:pStyle w:val="SingleTxtG"/>
        <w:rPr>
          <w:b/>
          <w:i/>
          <w:iCs/>
        </w:rPr>
      </w:pPr>
      <w:r w:rsidRPr="00D252D0">
        <w:rPr>
          <w:i/>
          <w:iCs/>
          <w:lang w:val="fr-FR"/>
        </w:rPr>
        <w:t>(</w:t>
      </w:r>
      <w:r w:rsidRPr="00D252D0">
        <w:rPr>
          <w:i/>
          <w:iCs/>
        </w:rPr>
        <w:t xml:space="preserve">Document </w:t>
      </w:r>
      <w:r w:rsidRPr="00D252D0">
        <w:rPr>
          <w:i/>
          <w:iCs/>
          <w:lang w:val="fr-FR"/>
        </w:rPr>
        <w:t xml:space="preserve">de </w:t>
      </w:r>
      <w:proofErr w:type="spellStart"/>
      <w:r w:rsidRPr="00D252D0">
        <w:rPr>
          <w:i/>
          <w:iCs/>
        </w:rPr>
        <w:t>référence</w:t>
      </w:r>
      <w:proofErr w:type="spellEnd"/>
      <w:r w:rsidRPr="00D252D0">
        <w:rPr>
          <w:i/>
          <w:iCs/>
          <w:lang w:val="fr-FR"/>
        </w:rPr>
        <w:t> : document informel INF.34)</w:t>
      </w:r>
    </w:p>
    <w:p w14:paraId="636E4907" w14:textId="77777777" w:rsidR="0082186B" w:rsidRDefault="0082186B" w:rsidP="0082186B">
      <w:pPr>
        <w:pStyle w:val="H1G"/>
      </w:pPr>
      <w:r>
        <w:tab/>
      </w:r>
      <w:r>
        <w:tab/>
      </w:r>
      <w:proofErr w:type="spellStart"/>
      <w:r>
        <w:t>Chapitre</w:t>
      </w:r>
      <w:proofErr w:type="spellEnd"/>
      <w:r>
        <w:t xml:space="preserve"> 6.8</w:t>
      </w:r>
    </w:p>
    <w:p w14:paraId="18F46E88" w14:textId="77777777" w:rsidR="0082186B" w:rsidRDefault="0082186B" w:rsidP="0082186B">
      <w:pPr>
        <w:pStyle w:val="SingleTxtG"/>
      </w:pPr>
      <w:r w:rsidRPr="003D480A">
        <w:rPr>
          <w:bCs/>
        </w:rPr>
        <w:t>6.8.2.2</w:t>
      </w:r>
      <w:r w:rsidRPr="00702562">
        <w:rPr>
          <w:b/>
        </w:rPr>
        <w:tab/>
      </w:r>
      <w:r>
        <w:rPr>
          <w:b/>
        </w:rPr>
        <w:tab/>
      </w:r>
      <w:proofErr w:type="spellStart"/>
      <w:r w:rsidRPr="00702562">
        <w:t>Renuméroter</w:t>
      </w:r>
      <w:proofErr w:type="spellEnd"/>
      <w:r w:rsidRPr="00702562">
        <w:t xml:space="preserve"> </w:t>
      </w:r>
      <w:proofErr w:type="spellStart"/>
      <w:r w:rsidRPr="00702562">
        <w:t>en</w:t>
      </w:r>
      <w:proofErr w:type="spellEnd"/>
      <w:r w:rsidRPr="00702562">
        <w:t xml:space="preserve"> </w:t>
      </w:r>
      <w:proofErr w:type="spellStart"/>
      <w:r w:rsidRPr="00702562">
        <w:t>tant</w:t>
      </w:r>
      <w:proofErr w:type="spellEnd"/>
      <w:r w:rsidRPr="00702562">
        <w:t xml:space="preserve"> que</w:t>
      </w:r>
      <w:r>
        <w:rPr>
          <w:b/>
        </w:rPr>
        <w:t xml:space="preserve"> </w:t>
      </w:r>
      <w:r w:rsidRPr="003D480A">
        <w:rPr>
          <w:bCs/>
        </w:rPr>
        <w:t>6.8.2.2.11</w:t>
      </w:r>
      <w:r w:rsidRPr="00702562">
        <w:t xml:space="preserve"> </w:t>
      </w:r>
      <w:proofErr w:type="gramStart"/>
      <w:r w:rsidRPr="00702562">
        <w:t>et</w:t>
      </w:r>
      <w:proofErr w:type="gramEnd"/>
      <w:r w:rsidRPr="00702562">
        <w:t xml:space="preserve"> </w:t>
      </w:r>
      <w:proofErr w:type="spellStart"/>
      <w:r w:rsidRPr="00702562">
        <w:t>supprimer</w:t>
      </w:r>
      <w:proofErr w:type="spellEnd"/>
      <w:r w:rsidRPr="00702562">
        <w:t xml:space="preserve"> les crochets.</w:t>
      </w:r>
    </w:p>
    <w:p w14:paraId="74411AD7" w14:textId="77777777" w:rsidR="0082186B" w:rsidRDefault="0082186B" w:rsidP="0082186B">
      <w:pPr>
        <w:pStyle w:val="SingleTxtG"/>
        <w:rPr>
          <w:i/>
          <w:iCs/>
          <w:lang w:val="fr-FR"/>
        </w:rPr>
      </w:pPr>
      <w:r w:rsidRPr="00E754BF">
        <w:rPr>
          <w:i/>
          <w:iCs/>
          <w:lang w:val="fr-FR"/>
        </w:rPr>
        <w:t>(</w:t>
      </w:r>
      <w:r w:rsidRPr="00E754BF">
        <w:rPr>
          <w:i/>
        </w:rPr>
        <w:t xml:space="preserve">Document </w:t>
      </w:r>
      <w:r w:rsidRPr="00E754BF">
        <w:rPr>
          <w:i/>
          <w:iCs/>
          <w:lang w:val="fr-FR"/>
        </w:rPr>
        <w:t xml:space="preserve">de </w:t>
      </w:r>
      <w:proofErr w:type="spellStart"/>
      <w:r w:rsidRPr="009E35D6">
        <w:rPr>
          <w:i/>
        </w:rPr>
        <w:t>référence</w:t>
      </w:r>
      <w:proofErr w:type="spellEnd"/>
      <w:r w:rsidRPr="00E754BF">
        <w:rPr>
          <w:i/>
          <w:iCs/>
          <w:lang w:val="fr-FR"/>
        </w:rPr>
        <w:t>: document informel</w:t>
      </w:r>
      <w:r>
        <w:rPr>
          <w:i/>
          <w:iCs/>
          <w:lang w:val="fr-FR"/>
        </w:rPr>
        <w:t xml:space="preserve"> INF.34</w:t>
      </w:r>
      <w:r w:rsidRPr="00E754BF">
        <w:rPr>
          <w:i/>
          <w:iCs/>
          <w:lang w:val="fr-FR"/>
        </w:rPr>
        <w:t>)</w:t>
      </w:r>
    </w:p>
    <w:p w14:paraId="00AF963B" w14:textId="77777777" w:rsidR="0082186B" w:rsidRDefault="0082186B" w:rsidP="0082186B">
      <w:pPr>
        <w:pStyle w:val="SingleTxtG"/>
        <w:rPr>
          <w:b/>
        </w:rPr>
      </w:pPr>
      <w:r w:rsidRPr="003D480A">
        <w:rPr>
          <w:bCs/>
        </w:rPr>
        <w:t>6.8.3.2.6</w:t>
      </w:r>
      <w:r>
        <w:rPr>
          <w:b/>
        </w:rPr>
        <w:tab/>
      </w:r>
      <w:proofErr w:type="spellStart"/>
      <w:r w:rsidRPr="00702562">
        <w:t>Supprimer</w:t>
      </w:r>
      <w:proofErr w:type="spellEnd"/>
      <w:r w:rsidRPr="00702562">
        <w:t xml:space="preserve"> les crochets.</w:t>
      </w:r>
    </w:p>
    <w:p w14:paraId="6B230D1A" w14:textId="77777777" w:rsidR="0082186B" w:rsidRDefault="0082186B" w:rsidP="0082186B">
      <w:pPr>
        <w:pStyle w:val="SingleTxtG"/>
        <w:rPr>
          <w:i/>
          <w:iCs/>
          <w:lang w:val="fr-FR"/>
        </w:rPr>
      </w:pPr>
      <w:r w:rsidRPr="00E754BF">
        <w:rPr>
          <w:i/>
          <w:iCs/>
          <w:lang w:val="fr-FR"/>
        </w:rPr>
        <w:t>(</w:t>
      </w:r>
      <w:r w:rsidRPr="00E754BF">
        <w:rPr>
          <w:i/>
        </w:rPr>
        <w:t xml:space="preserve">Document </w:t>
      </w:r>
      <w:r w:rsidRPr="00E754BF">
        <w:rPr>
          <w:i/>
          <w:iCs/>
          <w:lang w:val="fr-FR"/>
        </w:rPr>
        <w:t xml:space="preserve">de </w:t>
      </w:r>
      <w:proofErr w:type="spellStart"/>
      <w:r w:rsidRPr="009E35D6">
        <w:rPr>
          <w:i/>
        </w:rPr>
        <w:t>référence</w:t>
      </w:r>
      <w:proofErr w:type="spellEnd"/>
      <w:r w:rsidRPr="00E754BF">
        <w:rPr>
          <w:i/>
          <w:iCs/>
          <w:lang w:val="fr-FR"/>
        </w:rPr>
        <w:t> : document informel</w:t>
      </w:r>
      <w:r>
        <w:rPr>
          <w:i/>
          <w:iCs/>
          <w:lang w:val="fr-FR"/>
        </w:rPr>
        <w:t xml:space="preserve"> INF.34</w:t>
      </w:r>
      <w:r w:rsidRPr="00E754BF">
        <w:rPr>
          <w:i/>
          <w:iCs/>
          <w:lang w:val="fr-FR"/>
        </w:rPr>
        <w:t>)</w:t>
      </w:r>
    </w:p>
    <w:p w14:paraId="3ABA9D13" w14:textId="77777777" w:rsidR="0082186B" w:rsidRDefault="0082186B" w:rsidP="0082186B">
      <w:pPr>
        <w:pStyle w:val="SingleTxtG"/>
        <w:rPr>
          <w:b/>
        </w:rPr>
      </w:pPr>
      <w:r w:rsidRPr="003D480A">
        <w:rPr>
          <w:bCs/>
        </w:rPr>
        <w:t>6.8.3.2.9</w:t>
      </w:r>
      <w:r>
        <w:rPr>
          <w:b/>
        </w:rPr>
        <w:tab/>
      </w:r>
      <w:proofErr w:type="spellStart"/>
      <w:r w:rsidRPr="00702562">
        <w:t>Remplacer</w:t>
      </w:r>
      <w:proofErr w:type="spellEnd"/>
      <w:r w:rsidRPr="00702562">
        <w:t xml:space="preserve"> </w:t>
      </w:r>
      <w:proofErr w:type="spellStart"/>
      <w:r w:rsidRPr="00702562">
        <w:t>l’amendement</w:t>
      </w:r>
      <w:proofErr w:type="spellEnd"/>
      <w:r w:rsidRPr="00702562">
        <w:t xml:space="preserve"> par </w:t>
      </w:r>
      <w:proofErr w:type="spellStart"/>
      <w:r w:rsidRPr="00702562">
        <w:t>l’amendement</w:t>
      </w:r>
      <w:proofErr w:type="spellEnd"/>
      <w:r w:rsidRPr="00702562">
        <w:t xml:space="preserve"> </w:t>
      </w:r>
      <w:proofErr w:type="spellStart"/>
      <w:r w:rsidRPr="00702562">
        <w:t>suivant</w:t>
      </w:r>
      <w:proofErr w:type="spellEnd"/>
      <w:r w:rsidRPr="00702562">
        <w:t>:</w:t>
      </w:r>
    </w:p>
    <w:p w14:paraId="2428C63C" w14:textId="77777777" w:rsidR="0082186B" w:rsidRDefault="0082186B" w:rsidP="0082186B">
      <w:pPr>
        <w:pStyle w:val="SingleTxtG"/>
        <w:rPr>
          <w:rFonts w:cs="Arial"/>
          <w:bCs/>
          <w:szCs w:val="18"/>
          <w:lang w:val="fr-FR"/>
        </w:rPr>
      </w:pPr>
      <w:r>
        <w:t>«</w:t>
      </w:r>
      <w:r w:rsidRPr="003D480A">
        <w:rPr>
          <w:bCs/>
        </w:rPr>
        <w:t>6.8.3.2.9</w:t>
      </w:r>
      <w:r>
        <w:rPr>
          <w:b/>
        </w:rPr>
        <w:tab/>
      </w:r>
      <w:r>
        <w:t xml:space="preserve">À la fin, </w:t>
      </w:r>
      <w:proofErr w:type="spellStart"/>
      <w:r>
        <w:t>ajouter</w:t>
      </w:r>
      <w:proofErr w:type="spellEnd"/>
      <w:r>
        <w:t xml:space="preserve"> un nouveau </w:t>
      </w:r>
      <w:proofErr w:type="spellStart"/>
      <w:r>
        <w:t>paragraphe</w:t>
      </w:r>
      <w:proofErr w:type="spellEnd"/>
      <w:r>
        <w:t xml:space="preserve"> </w:t>
      </w:r>
      <w:proofErr w:type="spellStart"/>
      <w:r>
        <w:t>libellé</w:t>
      </w:r>
      <w:proofErr w:type="spellEnd"/>
      <w:r>
        <w:t xml:space="preserve"> </w:t>
      </w:r>
      <w:proofErr w:type="spellStart"/>
      <w:r>
        <w:t>comme</w:t>
      </w:r>
      <w:proofErr w:type="spellEnd"/>
      <w:r>
        <w:t xml:space="preserve"> </w:t>
      </w:r>
      <w:proofErr w:type="gramStart"/>
      <w:r>
        <w:t>suit :</w:t>
      </w:r>
      <w:proofErr w:type="gramEnd"/>
    </w:p>
    <w:p w14:paraId="4B49A797" w14:textId="77777777" w:rsidR="0082186B" w:rsidRPr="00072FF1" w:rsidRDefault="0082186B" w:rsidP="0082186B">
      <w:pPr>
        <w:pStyle w:val="SingleTxtG"/>
      </w:pPr>
      <w:r w:rsidRPr="00D12312">
        <w:t>«</w:t>
      </w:r>
      <w:r w:rsidRPr="00DE182A">
        <w:rPr>
          <w:iCs/>
        </w:rPr>
        <w:t xml:space="preserve">Les </w:t>
      </w:r>
      <w:proofErr w:type="spellStart"/>
      <w:r w:rsidRPr="00DE182A">
        <w:rPr>
          <w:iCs/>
        </w:rPr>
        <w:t>soupapes</w:t>
      </w:r>
      <w:proofErr w:type="spellEnd"/>
      <w:r w:rsidRPr="00DE182A">
        <w:rPr>
          <w:iCs/>
        </w:rPr>
        <w:t xml:space="preserve"> de </w:t>
      </w:r>
      <w:proofErr w:type="spellStart"/>
      <w:r w:rsidRPr="00DE182A">
        <w:rPr>
          <w:iCs/>
        </w:rPr>
        <w:t>sécurité</w:t>
      </w:r>
      <w:proofErr w:type="spellEnd"/>
      <w:r w:rsidRPr="00DE182A">
        <w:rPr>
          <w:iCs/>
        </w:rPr>
        <w:t xml:space="preserve"> </w:t>
      </w:r>
      <w:proofErr w:type="spellStart"/>
      <w:r w:rsidRPr="00DE182A">
        <w:rPr>
          <w:iCs/>
        </w:rPr>
        <w:t>doivent</w:t>
      </w:r>
      <w:proofErr w:type="spellEnd"/>
      <w:r w:rsidRPr="00DE182A">
        <w:rPr>
          <w:iCs/>
        </w:rPr>
        <w:t xml:space="preserve"> </w:t>
      </w:r>
      <w:proofErr w:type="spellStart"/>
      <w:r w:rsidRPr="00DE182A">
        <w:rPr>
          <w:iCs/>
        </w:rPr>
        <w:t>être</w:t>
      </w:r>
      <w:proofErr w:type="spellEnd"/>
      <w:r w:rsidRPr="00DE182A">
        <w:rPr>
          <w:iCs/>
        </w:rPr>
        <w:t xml:space="preserve"> </w:t>
      </w:r>
      <w:proofErr w:type="spellStart"/>
      <w:r w:rsidRPr="00DE182A">
        <w:rPr>
          <w:iCs/>
        </w:rPr>
        <w:t>conçues</w:t>
      </w:r>
      <w:proofErr w:type="spellEnd"/>
      <w:r w:rsidRPr="00DE182A">
        <w:rPr>
          <w:iCs/>
        </w:rPr>
        <w:t xml:space="preserve"> </w:t>
      </w:r>
      <w:proofErr w:type="spellStart"/>
      <w:r w:rsidRPr="00DE182A">
        <w:rPr>
          <w:iCs/>
        </w:rPr>
        <w:t>ou</w:t>
      </w:r>
      <w:proofErr w:type="spellEnd"/>
      <w:r w:rsidRPr="00DE182A">
        <w:rPr>
          <w:iCs/>
        </w:rPr>
        <w:t xml:space="preserve"> protégées </w:t>
      </w:r>
      <w:r>
        <w:rPr>
          <w:iCs/>
        </w:rPr>
        <w:t xml:space="preserve">pour </w:t>
      </w:r>
      <w:proofErr w:type="spellStart"/>
      <w:r>
        <w:rPr>
          <w:iCs/>
        </w:rPr>
        <w:t>empêcher</w:t>
      </w:r>
      <w:proofErr w:type="spellEnd"/>
      <w:r>
        <w:rPr>
          <w:iCs/>
        </w:rPr>
        <w:t xml:space="preserve"> la </w:t>
      </w:r>
      <w:proofErr w:type="spellStart"/>
      <w:r>
        <w:rPr>
          <w:iCs/>
        </w:rPr>
        <w:t>pénétration</w:t>
      </w:r>
      <w:proofErr w:type="spellEnd"/>
      <w:r>
        <w:rPr>
          <w:iCs/>
        </w:rPr>
        <w:t xml:space="preserve"> </w:t>
      </w:r>
      <w:proofErr w:type="spellStart"/>
      <w:r>
        <w:rPr>
          <w:iCs/>
        </w:rPr>
        <w:t>d’eau</w:t>
      </w:r>
      <w:proofErr w:type="spellEnd"/>
      <w:r>
        <w:rPr>
          <w:iCs/>
        </w:rPr>
        <w:t xml:space="preserve"> </w:t>
      </w:r>
      <w:proofErr w:type="spellStart"/>
      <w:r>
        <w:rPr>
          <w:iCs/>
        </w:rPr>
        <w:t>ou</w:t>
      </w:r>
      <w:proofErr w:type="spellEnd"/>
      <w:r>
        <w:rPr>
          <w:iCs/>
        </w:rPr>
        <w:t xml:space="preserve"> </w:t>
      </w:r>
      <w:proofErr w:type="spellStart"/>
      <w:r>
        <w:rPr>
          <w:iCs/>
        </w:rPr>
        <w:t>d’autre</w:t>
      </w:r>
      <w:proofErr w:type="spellEnd"/>
      <w:r>
        <w:rPr>
          <w:iCs/>
        </w:rPr>
        <w:t xml:space="preserve"> substance </w:t>
      </w:r>
      <w:proofErr w:type="spellStart"/>
      <w:r>
        <w:rPr>
          <w:iCs/>
        </w:rPr>
        <w:t>étrangère</w:t>
      </w:r>
      <w:proofErr w:type="spellEnd"/>
      <w:r>
        <w:rPr>
          <w:iCs/>
        </w:rPr>
        <w:t xml:space="preserve"> qui </w:t>
      </w:r>
      <w:proofErr w:type="spellStart"/>
      <w:r>
        <w:rPr>
          <w:iCs/>
        </w:rPr>
        <w:t>pourrait</w:t>
      </w:r>
      <w:proofErr w:type="spellEnd"/>
      <w:r>
        <w:rPr>
          <w:iCs/>
        </w:rPr>
        <w:t xml:space="preserve"> </w:t>
      </w:r>
      <w:proofErr w:type="spellStart"/>
      <w:r>
        <w:rPr>
          <w:iCs/>
        </w:rPr>
        <w:t>nuire</w:t>
      </w:r>
      <w:proofErr w:type="spellEnd"/>
      <w:r>
        <w:rPr>
          <w:iCs/>
        </w:rPr>
        <w:t xml:space="preserve"> à </w:t>
      </w:r>
      <w:proofErr w:type="spellStart"/>
      <w:r>
        <w:rPr>
          <w:iCs/>
        </w:rPr>
        <w:t>leur</w:t>
      </w:r>
      <w:proofErr w:type="spellEnd"/>
      <w:r>
        <w:rPr>
          <w:iCs/>
        </w:rPr>
        <w:t xml:space="preserve"> bon </w:t>
      </w:r>
      <w:proofErr w:type="spellStart"/>
      <w:r>
        <w:rPr>
          <w:iCs/>
        </w:rPr>
        <w:t>fonctionnement</w:t>
      </w:r>
      <w:proofErr w:type="spellEnd"/>
      <w:r>
        <w:rPr>
          <w:iCs/>
        </w:rPr>
        <w:t xml:space="preserve">. </w:t>
      </w:r>
      <w:proofErr w:type="spellStart"/>
      <w:r w:rsidRPr="00DE182A">
        <w:rPr>
          <w:iCs/>
        </w:rPr>
        <w:t>Ce</w:t>
      </w:r>
      <w:r>
        <w:rPr>
          <w:iCs/>
        </w:rPr>
        <w:t>tte</w:t>
      </w:r>
      <w:proofErr w:type="spellEnd"/>
      <w:r>
        <w:rPr>
          <w:iCs/>
        </w:rPr>
        <w:t xml:space="preserve"> protection</w:t>
      </w:r>
      <w:r w:rsidRPr="00DE182A">
        <w:rPr>
          <w:iCs/>
        </w:rPr>
        <w:t xml:space="preserve"> ne </w:t>
      </w:r>
      <w:proofErr w:type="spellStart"/>
      <w:r w:rsidRPr="00DE182A">
        <w:rPr>
          <w:iCs/>
        </w:rPr>
        <w:t>doit</w:t>
      </w:r>
      <w:proofErr w:type="spellEnd"/>
      <w:r w:rsidRPr="00DE182A">
        <w:rPr>
          <w:iCs/>
        </w:rPr>
        <w:t xml:space="preserve"> pas affecter </w:t>
      </w:r>
      <w:proofErr w:type="spellStart"/>
      <w:r w:rsidRPr="00DE182A">
        <w:rPr>
          <w:iCs/>
        </w:rPr>
        <w:t>l</w:t>
      </w:r>
      <w:r>
        <w:rPr>
          <w:iCs/>
        </w:rPr>
        <w:t>eurs</w:t>
      </w:r>
      <w:proofErr w:type="spellEnd"/>
      <w:r>
        <w:rPr>
          <w:iCs/>
        </w:rPr>
        <w:t xml:space="preserve"> performances</w:t>
      </w:r>
      <w:proofErr w:type="gramStart"/>
      <w:r w:rsidRPr="00DE182A">
        <w:rPr>
          <w:iCs/>
        </w:rPr>
        <w:t>.</w:t>
      </w:r>
      <w:r w:rsidRPr="00072FF1">
        <w:t>»</w:t>
      </w:r>
      <w:proofErr w:type="gramEnd"/>
      <w:r w:rsidRPr="00072FF1">
        <w:t>.</w:t>
      </w:r>
      <w:r>
        <w:t>».</w:t>
      </w:r>
    </w:p>
    <w:p w14:paraId="63AF23BF" w14:textId="77777777" w:rsidR="0082186B" w:rsidRDefault="0082186B" w:rsidP="0082186B">
      <w:pPr>
        <w:pStyle w:val="SingleTxtG"/>
        <w:rPr>
          <w:i/>
          <w:iCs/>
          <w:lang w:val="fr-FR"/>
        </w:rPr>
      </w:pPr>
      <w:r w:rsidRPr="005F62CA">
        <w:rPr>
          <w:i/>
          <w:iCs/>
          <w:lang w:val="fr-FR"/>
        </w:rPr>
        <w:t>(</w:t>
      </w:r>
      <w:r w:rsidRPr="005F62CA">
        <w:rPr>
          <w:i/>
          <w:iCs/>
        </w:rPr>
        <w:t xml:space="preserve">Documents </w:t>
      </w:r>
      <w:r w:rsidRPr="005F62CA">
        <w:rPr>
          <w:i/>
          <w:iCs/>
          <w:lang w:val="fr-FR"/>
        </w:rPr>
        <w:t>de référence: ECE/TRANS/WP.15/AC.1/2017/13 et document informel INF.34)</w:t>
      </w:r>
    </w:p>
    <w:p w14:paraId="50FB32B3" w14:textId="77777777" w:rsidR="0082186B" w:rsidRDefault="0082186B" w:rsidP="0082186B">
      <w:pPr>
        <w:pStyle w:val="H1G"/>
      </w:pPr>
      <w:r>
        <w:tab/>
      </w:r>
      <w:r>
        <w:tab/>
      </w:r>
      <w:proofErr w:type="spellStart"/>
      <w:r>
        <w:t>Chapitre</w:t>
      </w:r>
      <w:proofErr w:type="spellEnd"/>
      <w:r>
        <w:t xml:space="preserve"> 6.10</w:t>
      </w:r>
    </w:p>
    <w:p w14:paraId="4FD4CE79" w14:textId="77777777" w:rsidR="0082186B" w:rsidRPr="003D480A" w:rsidRDefault="0082186B" w:rsidP="0082186B">
      <w:pPr>
        <w:pStyle w:val="SingleTxtG"/>
      </w:pPr>
      <w:r w:rsidRPr="003D480A">
        <w:t xml:space="preserve">6.10.3.8 </w:t>
      </w:r>
      <w:r>
        <w:t>(</w:t>
      </w:r>
      <w:proofErr w:type="gramStart"/>
      <w:r w:rsidRPr="003D480A">
        <w:t>f</w:t>
      </w:r>
      <w:proofErr w:type="gramEnd"/>
      <w:r w:rsidRPr="003D480A">
        <w:t>)</w:t>
      </w:r>
      <w:r w:rsidRPr="003D480A">
        <w:tab/>
      </w:r>
      <w:proofErr w:type="spellStart"/>
      <w:r w:rsidRPr="003D480A">
        <w:t>Supprimer</w:t>
      </w:r>
      <w:proofErr w:type="spellEnd"/>
      <w:r w:rsidRPr="003D480A">
        <w:t xml:space="preserve"> les crochets.</w:t>
      </w:r>
    </w:p>
    <w:p w14:paraId="3201E2CE" w14:textId="77777777" w:rsidR="0082186B" w:rsidRPr="003D480A" w:rsidRDefault="0082186B" w:rsidP="0082186B">
      <w:pPr>
        <w:pStyle w:val="SingleTxtG"/>
        <w:rPr>
          <w:i/>
          <w:iCs/>
        </w:rPr>
      </w:pPr>
      <w:r w:rsidRPr="003D480A">
        <w:rPr>
          <w:i/>
          <w:iCs/>
        </w:rPr>
        <w:t xml:space="preserve">(Document de </w:t>
      </w:r>
      <w:proofErr w:type="spellStart"/>
      <w:proofErr w:type="gramStart"/>
      <w:r w:rsidRPr="003D480A">
        <w:rPr>
          <w:i/>
          <w:iCs/>
        </w:rPr>
        <w:t>référence</w:t>
      </w:r>
      <w:proofErr w:type="spellEnd"/>
      <w:r w:rsidRPr="003D480A">
        <w:rPr>
          <w:i/>
          <w:iCs/>
        </w:rPr>
        <w:t> :</w:t>
      </w:r>
      <w:proofErr w:type="gramEnd"/>
      <w:r w:rsidRPr="003D480A">
        <w:rPr>
          <w:i/>
          <w:iCs/>
        </w:rPr>
        <w:t xml:space="preserve"> document </w:t>
      </w:r>
      <w:proofErr w:type="spellStart"/>
      <w:r w:rsidRPr="003D480A">
        <w:rPr>
          <w:i/>
          <w:iCs/>
        </w:rPr>
        <w:t>informel</w:t>
      </w:r>
      <w:proofErr w:type="spellEnd"/>
      <w:r w:rsidRPr="003D480A">
        <w:rPr>
          <w:i/>
          <w:iCs/>
        </w:rPr>
        <w:t xml:space="preserve"> INF.34)</w:t>
      </w:r>
    </w:p>
    <w:p w14:paraId="0D66D36D" w14:textId="77777777" w:rsidR="0082186B" w:rsidRPr="00F70BDD" w:rsidRDefault="0082186B" w:rsidP="0082186B">
      <w:pPr>
        <w:suppressAutoHyphens w:val="0"/>
        <w:spacing w:line="240" w:lineRule="auto"/>
        <w:rPr>
          <w:b/>
          <w:bCs/>
        </w:rPr>
      </w:pPr>
      <w:r w:rsidRPr="00F70BDD">
        <w:rPr>
          <w:b/>
          <w:bCs/>
        </w:rPr>
        <w:br w:type="page"/>
      </w:r>
    </w:p>
    <w:p w14:paraId="3CC9C73A" w14:textId="709CD3B2" w:rsidR="0082186B" w:rsidRPr="00BE1DEA" w:rsidRDefault="0082186B" w:rsidP="0082186B">
      <w:pPr>
        <w:pStyle w:val="H1G"/>
        <w:rPr>
          <w:sz w:val="28"/>
          <w:szCs w:val="28"/>
        </w:rPr>
      </w:pPr>
      <w:r w:rsidRPr="00BE1DEA">
        <w:rPr>
          <w:sz w:val="28"/>
          <w:szCs w:val="28"/>
        </w:rPr>
        <w:lastRenderedPageBreak/>
        <w:tab/>
        <w:t>Annexe III</w:t>
      </w:r>
    </w:p>
    <w:p w14:paraId="23ECD29D" w14:textId="77777777" w:rsidR="0082186B" w:rsidRPr="00BE1DEA" w:rsidRDefault="0082186B" w:rsidP="0082186B">
      <w:pPr>
        <w:pStyle w:val="H1G"/>
        <w:rPr>
          <w:sz w:val="28"/>
          <w:szCs w:val="28"/>
        </w:rPr>
      </w:pPr>
      <w:r w:rsidRPr="00BE1DEA">
        <w:rPr>
          <w:sz w:val="28"/>
          <w:szCs w:val="28"/>
        </w:rPr>
        <w:tab/>
      </w:r>
      <w:r w:rsidRPr="00BE1DEA">
        <w:rPr>
          <w:sz w:val="28"/>
          <w:szCs w:val="28"/>
        </w:rPr>
        <w:tab/>
        <w:t xml:space="preserve">Corrections aux versions 2017 du RID, de </w:t>
      </w:r>
      <w:proofErr w:type="spellStart"/>
      <w:r w:rsidRPr="00BE1DEA">
        <w:rPr>
          <w:sz w:val="28"/>
          <w:szCs w:val="28"/>
        </w:rPr>
        <w:t>l’ADR</w:t>
      </w:r>
      <w:proofErr w:type="spellEnd"/>
      <w:r w:rsidRPr="00BE1DEA">
        <w:rPr>
          <w:sz w:val="28"/>
          <w:szCs w:val="28"/>
        </w:rPr>
        <w:t xml:space="preserve"> </w:t>
      </w:r>
      <w:proofErr w:type="gramStart"/>
      <w:r w:rsidRPr="00BE1DEA">
        <w:rPr>
          <w:sz w:val="28"/>
          <w:szCs w:val="28"/>
        </w:rPr>
        <w:t>et</w:t>
      </w:r>
      <w:proofErr w:type="gramEnd"/>
      <w:r w:rsidRPr="00BE1DEA">
        <w:rPr>
          <w:sz w:val="28"/>
          <w:szCs w:val="28"/>
        </w:rPr>
        <w:t xml:space="preserve"> de </w:t>
      </w:r>
      <w:proofErr w:type="spellStart"/>
      <w:r w:rsidRPr="00BE1DEA">
        <w:rPr>
          <w:sz w:val="28"/>
          <w:szCs w:val="28"/>
        </w:rPr>
        <w:t>l’ADN</w:t>
      </w:r>
      <w:proofErr w:type="spellEnd"/>
    </w:p>
    <w:p w14:paraId="4F58A302" w14:textId="77777777" w:rsidR="0082186B" w:rsidRDefault="0082186B" w:rsidP="0082186B">
      <w:pPr>
        <w:pStyle w:val="H23G"/>
        <w:tabs>
          <w:tab w:val="clear" w:pos="851"/>
        </w:tabs>
        <w:rPr>
          <w:lang w:val="fr-FR"/>
        </w:rPr>
      </w:pPr>
      <w:r>
        <w:rPr>
          <w:lang w:val="fr-FR"/>
        </w:rPr>
        <w:tab/>
        <w:t>1.</w:t>
      </w:r>
      <w:r>
        <w:rPr>
          <w:lang w:val="fr-FR"/>
        </w:rPr>
        <w:tab/>
        <w:t xml:space="preserve">Chapitre 3.2, </w:t>
      </w:r>
      <w:r>
        <w:rPr>
          <w:bCs/>
          <w:lang w:val="fr-FR"/>
        </w:rPr>
        <w:t xml:space="preserve">Liste des marchandises dangereuses, No ONU </w:t>
      </w:r>
      <w:r>
        <w:rPr>
          <w:lang w:val="fr-FR"/>
        </w:rPr>
        <w:t>2908, colonne (6)</w:t>
      </w:r>
    </w:p>
    <w:p w14:paraId="167252A1" w14:textId="77777777" w:rsidR="0082186B" w:rsidRDefault="0082186B" w:rsidP="00BE1DEA">
      <w:pPr>
        <w:pStyle w:val="SingleTxtG"/>
        <w:ind w:firstLine="567"/>
        <w:rPr>
          <w:lang w:val="fr-FR"/>
        </w:rPr>
      </w:pPr>
      <w:r>
        <w:rPr>
          <w:i/>
          <w:lang w:val="fr-FR"/>
        </w:rPr>
        <w:t>Insérer</w:t>
      </w:r>
      <w:r>
        <w:rPr>
          <w:lang w:val="fr-FR"/>
        </w:rPr>
        <w:t xml:space="preserve"> 368</w:t>
      </w:r>
    </w:p>
    <w:p w14:paraId="3AD8A83B" w14:textId="77777777" w:rsidR="0082186B" w:rsidRDefault="0082186B" w:rsidP="0082186B">
      <w:pPr>
        <w:pStyle w:val="H23G"/>
        <w:tabs>
          <w:tab w:val="clear" w:pos="851"/>
        </w:tabs>
        <w:rPr>
          <w:lang w:val="fr-FR"/>
        </w:rPr>
      </w:pPr>
      <w:r>
        <w:rPr>
          <w:lang w:val="fr-FR"/>
        </w:rPr>
        <w:tab/>
        <w:t>2.</w:t>
      </w:r>
      <w:r>
        <w:rPr>
          <w:lang w:val="fr-FR"/>
        </w:rPr>
        <w:tab/>
        <w:t xml:space="preserve">Chapitre 3.2, </w:t>
      </w:r>
      <w:r>
        <w:rPr>
          <w:bCs/>
          <w:lang w:val="fr-FR"/>
        </w:rPr>
        <w:t xml:space="preserve">Liste des marchandises dangereuses, No ONU </w:t>
      </w:r>
      <w:r>
        <w:rPr>
          <w:lang w:val="fr-FR"/>
        </w:rPr>
        <w:t>2913, colonne (6)</w:t>
      </w:r>
    </w:p>
    <w:p w14:paraId="24BAACB0" w14:textId="77777777" w:rsidR="0082186B" w:rsidRDefault="0082186B" w:rsidP="00BE1DEA">
      <w:pPr>
        <w:pStyle w:val="SingleTxtG"/>
        <w:ind w:firstLine="567"/>
        <w:rPr>
          <w:lang w:val="fr-FR"/>
        </w:rPr>
      </w:pPr>
      <w:r>
        <w:rPr>
          <w:i/>
          <w:lang w:val="fr-FR"/>
        </w:rPr>
        <w:t>Insérer</w:t>
      </w:r>
      <w:r>
        <w:rPr>
          <w:lang w:val="fr-FR"/>
        </w:rPr>
        <w:t xml:space="preserve"> 325</w:t>
      </w:r>
    </w:p>
    <w:p w14:paraId="287F99D4" w14:textId="77777777" w:rsidR="0082186B" w:rsidRDefault="0082186B" w:rsidP="0082186B">
      <w:pPr>
        <w:pStyle w:val="H23G"/>
        <w:tabs>
          <w:tab w:val="clear" w:pos="851"/>
        </w:tabs>
        <w:rPr>
          <w:lang w:val="fr-FR"/>
        </w:rPr>
      </w:pPr>
      <w:r>
        <w:rPr>
          <w:lang w:val="fr-FR"/>
        </w:rPr>
        <w:tab/>
        <w:t>3.</w:t>
      </w:r>
      <w:r>
        <w:rPr>
          <w:lang w:val="fr-FR"/>
        </w:rPr>
        <w:tab/>
        <w:t xml:space="preserve">Chapitre 3.2, </w:t>
      </w:r>
      <w:r>
        <w:rPr>
          <w:bCs/>
          <w:lang w:val="fr-FR"/>
        </w:rPr>
        <w:t xml:space="preserve">Liste des marchandises dangereuses, No ONU </w:t>
      </w:r>
      <w:r>
        <w:rPr>
          <w:lang w:val="fr-FR"/>
        </w:rPr>
        <w:t>2913, colonne (6)</w:t>
      </w:r>
    </w:p>
    <w:p w14:paraId="423D3534" w14:textId="77777777" w:rsidR="0082186B" w:rsidRDefault="0082186B" w:rsidP="00BE1DEA">
      <w:pPr>
        <w:pStyle w:val="SingleTxtG"/>
        <w:ind w:firstLine="567"/>
        <w:rPr>
          <w:lang w:val="fr-FR"/>
        </w:rPr>
      </w:pPr>
      <w:r>
        <w:rPr>
          <w:i/>
          <w:lang w:val="fr-FR"/>
        </w:rPr>
        <w:t>Supprimer</w:t>
      </w:r>
      <w:r>
        <w:rPr>
          <w:lang w:val="fr-FR"/>
        </w:rPr>
        <w:t xml:space="preserve"> 336</w:t>
      </w:r>
    </w:p>
    <w:p w14:paraId="412EE7E7" w14:textId="77777777" w:rsidR="0082186B" w:rsidRDefault="0082186B" w:rsidP="0082186B">
      <w:pPr>
        <w:pStyle w:val="H23G"/>
        <w:tabs>
          <w:tab w:val="clear" w:pos="851"/>
        </w:tabs>
        <w:rPr>
          <w:lang w:val="fr-FR"/>
        </w:rPr>
      </w:pPr>
      <w:r>
        <w:rPr>
          <w:lang w:val="fr-FR"/>
        </w:rPr>
        <w:tab/>
        <w:t>4.</w:t>
      </w:r>
      <w:r>
        <w:rPr>
          <w:lang w:val="fr-FR"/>
        </w:rPr>
        <w:tab/>
        <w:t xml:space="preserve">Chapitre 3.2, </w:t>
      </w:r>
      <w:r>
        <w:rPr>
          <w:bCs/>
          <w:lang w:val="fr-FR"/>
        </w:rPr>
        <w:t xml:space="preserve">Liste des marchandises dangereuses, No ONU </w:t>
      </w:r>
      <w:r>
        <w:rPr>
          <w:lang w:val="fr-FR"/>
        </w:rPr>
        <w:t>3326, colonne (6)</w:t>
      </w:r>
    </w:p>
    <w:p w14:paraId="3F8364DB" w14:textId="77777777" w:rsidR="0082186B" w:rsidRDefault="0082186B" w:rsidP="00BE1DEA">
      <w:pPr>
        <w:pStyle w:val="SingleTxtG"/>
        <w:ind w:firstLine="567"/>
        <w:rPr>
          <w:lang w:val="fr-FR"/>
        </w:rPr>
      </w:pPr>
      <w:r>
        <w:rPr>
          <w:i/>
          <w:lang w:val="fr-FR"/>
        </w:rPr>
        <w:t>Insérer</w:t>
      </w:r>
      <w:r>
        <w:rPr>
          <w:lang w:val="fr-FR"/>
        </w:rPr>
        <w:t xml:space="preserve"> 326</w:t>
      </w:r>
    </w:p>
    <w:p w14:paraId="2EC0FA87" w14:textId="77777777" w:rsidR="0082186B" w:rsidRDefault="0082186B" w:rsidP="0082186B">
      <w:pPr>
        <w:pStyle w:val="H23G"/>
        <w:tabs>
          <w:tab w:val="clear" w:pos="851"/>
        </w:tabs>
        <w:rPr>
          <w:lang w:val="fr-FR"/>
        </w:rPr>
      </w:pPr>
      <w:r>
        <w:rPr>
          <w:lang w:val="fr-FR"/>
        </w:rPr>
        <w:tab/>
        <w:t>5.</w:t>
      </w:r>
      <w:r>
        <w:rPr>
          <w:lang w:val="fr-FR"/>
        </w:rPr>
        <w:tab/>
        <w:t xml:space="preserve">Chapitre 3.2, </w:t>
      </w:r>
      <w:r>
        <w:rPr>
          <w:bCs/>
          <w:lang w:val="fr-FR"/>
        </w:rPr>
        <w:t xml:space="preserve">Liste des marchandises dangereuses, No ONU </w:t>
      </w:r>
      <w:r>
        <w:rPr>
          <w:lang w:val="fr-FR"/>
        </w:rPr>
        <w:t>3326, colonne (6)</w:t>
      </w:r>
    </w:p>
    <w:p w14:paraId="3C57E622" w14:textId="77777777" w:rsidR="0082186B" w:rsidRDefault="0082186B" w:rsidP="00BE1DEA">
      <w:pPr>
        <w:pStyle w:val="SingleTxtG"/>
        <w:ind w:firstLine="567"/>
        <w:rPr>
          <w:lang w:val="fr-FR"/>
        </w:rPr>
      </w:pPr>
      <w:r>
        <w:rPr>
          <w:i/>
          <w:lang w:val="fr-FR"/>
        </w:rPr>
        <w:t>Supprimer</w:t>
      </w:r>
      <w:r>
        <w:rPr>
          <w:lang w:val="fr-FR"/>
        </w:rPr>
        <w:t xml:space="preserve"> 336</w:t>
      </w:r>
    </w:p>
    <w:p w14:paraId="13247F12" w14:textId="117E5135" w:rsidR="0082186B" w:rsidRDefault="0082186B" w:rsidP="00BE1DEA">
      <w:pPr>
        <w:pStyle w:val="H23G"/>
        <w:tabs>
          <w:tab w:val="clear" w:pos="851"/>
        </w:tabs>
        <w:ind w:left="1695" w:hanging="555"/>
      </w:pPr>
      <w:r>
        <w:t>6.</w:t>
      </w:r>
      <w:r>
        <w:tab/>
      </w:r>
      <w:proofErr w:type="spellStart"/>
      <w:r>
        <w:t>Chapitre</w:t>
      </w:r>
      <w:proofErr w:type="spellEnd"/>
      <w:r>
        <w:t xml:space="preserve"> 5.2, </w:t>
      </w:r>
      <w:r>
        <w:rPr>
          <w:lang w:val="fr-FR"/>
        </w:rPr>
        <w:t xml:space="preserve">5.2.1.9.2, dans le dernier paragraphe, dans la troisième phrase, après «sur </w:t>
      </w:r>
      <w:proofErr w:type="gramStart"/>
      <w:r>
        <w:rPr>
          <w:lang w:val="fr-FR"/>
        </w:rPr>
        <w:t>un</w:t>
      </w:r>
      <w:proofErr w:type="gramEnd"/>
      <w:r>
        <w:rPr>
          <w:lang w:val="fr-FR"/>
        </w:rPr>
        <w:t xml:space="preserve"> fond blanc»</w:t>
      </w:r>
    </w:p>
    <w:p w14:paraId="7A2B8B69" w14:textId="77777777" w:rsidR="0082186B" w:rsidRDefault="0082186B" w:rsidP="00BE1DEA">
      <w:pPr>
        <w:pStyle w:val="SingleTxtG"/>
        <w:ind w:left="1138" w:right="1138" w:firstLine="563"/>
        <w:rPr>
          <w:lang w:val="fr-FR"/>
        </w:rPr>
      </w:pPr>
      <w:r>
        <w:rPr>
          <w:i/>
          <w:iCs/>
          <w:lang w:val="fr-FR"/>
        </w:rPr>
        <w:t>Ajouter</w:t>
      </w:r>
      <w:r>
        <w:rPr>
          <w:iCs/>
          <w:lang w:val="fr-FR"/>
        </w:rPr>
        <w:t xml:space="preserve"> </w:t>
      </w:r>
      <w:proofErr w:type="spellStart"/>
      <w:r>
        <w:t>ou</w:t>
      </w:r>
      <w:proofErr w:type="spellEnd"/>
      <w:r>
        <w:t xml:space="preserve"> </w:t>
      </w:r>
      <w:proofErr w:type="spellStart"/>
      <w:r>
        <w:t>d’une</w:t>
      </w:r>
      <w:proofErr w:type="spellEnd"/>
      <w:r>
        <w:t xml:space="preserve"> </w:t>
      </w:r>
      <w:proofErr w:type="spellStart"/>
      <w:r>
        <w:t>couleur</w:t>
      </w:r>
      <w:proofErr w:type="spellEnd"/>
      <w:r>
        <w:t xml:space="preserve"> </w:t>
      </w:r>
      <w:proofErr w:type="spellStart"/>
      <w:r>
        <w:t>offrant</w:t>
      </w:r>
      <w:proofErr w:type="spellEnd"/>
      <w:r>
        <w:t xml:space="preserve"> un </w:t>
      </w:r>
      <w:proofErr w:type="spellStart"/>
      <w:r>
        <w:t>contraste</w:t>
      </w:r>
      <w:proofErr w:type="spellEnd"/>
      <w:r>
        <w:t xml:space="preserve"> </w:t>
      </w:r>
      <w:proofErr w:type="spellStart"/>
      <w:r>
        <w:t>suffisant</w:t>
      </w:r>
      <w:proofErr w:type="spellEnd"/>
    </w:p>
    <w:p w14:paraId="73902BFC" w14:textId="77777777" w:rsidR="0082186B" w:rsidRDefault="0082186B" w:rsidP="0082186B">
      <w:pPr>
        <w:pStyle w:val="H23G"/>
        <w:tabs>
          <w:tab w:val="clear" w:pos="851"/>
        </w:tabs>
      </w:pPr>
      <w:r>
        <w:tab/>
        <w:t>7.</w:t>
      </w:r>
      <w:r>
        <w:tab/>
      </w:r>
      <w:proofErr w:type="spellStart"/>
      <w:r>
        <w:t>Chapitre</w:t>
      </w:r>
      <w:proofErr w:type="spellEnd"/>
      <w:r>
        <w:t xml:space="preserve"> 6.1, </w:t>
      </w:r>
      <w:r>
        <w:rPr>
          <w:lang w:val="fr-FR"/>
        </w:rPr>
        <w:t>6.1.3.1 d)</w:t>
      </w:r>
    </w:p>
    <w:p w14:paraId="7CF451AA" w14:textId="77777777" w:rsidR="0082186B" w:rsidRPr="00F70BDD" w:rsidRDefault="0082186B" w:rsidP="00BE1DEA">
      <w:pPr>
        <w:pStyle w:val="SingleTxtG"/>
        <w:ind w:left="1138" w:right="1138" w:firstLine="563"/>
      </w:pPr>
      <w:r>
        <w:rPr>
          <w:i/>
          <w:iCs/>
          <w:lang w:val="fr-FR"/>
        </w:rPr>
        <w:t>Au lieu de</w:t>
      </w:r>
      <w:r>
        <w:rPr>
          <w:iCs/>
          <w:lang w:val="fr-FR"/>
        </w:rPr>
        <w:t xml:space="preserve"> </w:t>
      </w:r>
      <w:proofErr w:type="spellStart"/>
      <w:r>
        <w:t>dizaine</w:t>
      </w:r>
      <w:proofErr w:type="spellEnd"/>
      <w:r>
        <w:t xml:space="preserve"> la plus </w:t>
      </w:r>
      <w:proofErr w:type="spellStart"/>
      <w:r>
        <w:t>proche</w:t>
      </w:r>
      <w:proofErr w:type="spellEnd"/>
      <w:r>
        <w:t xml:space="preserve"> </w:t>
      </w:r>
      <w:r>
        <w:rPr>
          <w:i/>
        </w:rPr>
        <w:t>lire</w:t>
      </w:r>
      <w:r>
        <w:t xml:space="preserve"> </w:t>
      </w:r>
      <w:proofErr w:type="spellStart"/>
      <w:r>
        <w:t>dizaine</w:t>
      </w:r>
      <w:proofErr w:type="spellEnd"/>
      <w:r>
        <w:t xml:space="preserve"> </w:t>
      </w:r>
      <w:proofErr w:type="spellStart"/>
      <w:r>
        <w:t>inférieure</w:t>
      </w:r>
      <w:proofErr w:type="spellEnd"/>
    </w:p>
    <w:p w14:paraId="43EDCEFC" w14:textId="77777777" w:rsidR="0082186B" w:rsidRDefault="0082186B" w:rsidP="0082186B">
      <w:pPr>
        <w:pStyle w:val="H23G"/>
        <w:tabs>
          <w:tab w:val="clear" w:pos="851"/>
        </w:tabs>
      </w:pPr>
      <w:r>
        <w:tab/>
        <w:t>8.</w:t>
      </w:r>
      <w:r>
        <w:tab/>
      </w:r>
      <w:proofErr w:type="spellStart"/>
      <w:r>
        <w:t>Chapitre</w:t>
      </w:r>
      <w:proofErr w:type="spellEnd"/>
      <w:r>
        <w:t xml:space="preserve"> 6.1, </w:t>
      </w:r>
      <w:r>
        <w:rPr>
          <w:lang w:val="fr-FR"/>
        </w:rPr>
        <w:t>6.1.4.1.1</w:t>
      </w:r>
    </w:p>
    <w:p w14:paraId="152A6680" w14:textId="77777777" w:rsidR="0082186B" w:rsidRPr="00F70BDD" w:rsidRDefault="0082186B" w:rsidP="00BE1DEA">
      <w:pPr>
        <w:pStyle w:val="SingleTxtG"/>
        <w:ind w:left="1138" w:right="1138" w:firstLine="563"/>
        <w:rPr>
          <w:bCs/>
        </w:rPr>
      </w:pPr>
      <w:r w:rsidRPr="00F70BDD">
        <w:rPr>
          <w:bCs/>
        </w:rPr>
        <w:t xml:space="preserve">Sans objet </w:t>
      </w:r>
      <w:proofErr w:type="spellStart"/>
      <w:r w:rsidRPr="00F70BDD">
        <w:rPr>
          <w:bCs/>
        </w:rPr>
        <w:t>en</w:t>
      </w:r>
      <w:proofErr w:type="spellEnd"/>
      <w:r w:rsidRPr="00F70BDD">
        <w:rPr>
          <w:bCs/>
        </w:rPr>
        <w:t xml:space="preserve"> </w:t>
      </w:r>
      <w:proofErr w:type="spellStart"/>
      <w:r w:rsidRPr="00F70BDD">
        <w:rPr>
          <w:bCs/>
        </w:rPr>
        <w:t>français</w:t>
      </w:r>
      <w:proofErr w:type="spellEnd"/>
      <w:r w:rsidRPr="00F70BDD">
        <w:rPr>
          <w:bCs/>
        </w:rPr>
        <w:t>.</w:t>
      </w:r>
    </w:p>
    <w:p w14:paraId="16AB04E2" w14:textId="77777777" w:rsidR="0082186B" w:rsidRDefault="0082186B" w:rsidP="0082186B">
      <w:pPr>
        <w:pStyle w:val="H23G"/>
        <w:tabs>
          <w:tab w:val="clear" w:pos="851"/>
        </w:tabs>
        <w:rPr>
          <w:lang w:val="fr-FR"/>
        </w:rPr>
      </w:pPr>
      <w:r>
        <w:rPr>
          <w:lang w:val="fr-FR"/>
        </w:rPr>
        <w:tab/>
        <w:t>9.</w:t>
      </w:r>
      <w:r>
        <w:rPr>
          <w:lang w:val="fr-FR"/>
        </w:rPr>
        <w:tab/>
        <w:t>Chapitre 6.4, 6.4.2.11, dans la quatrième ligne</w:t>
      </w:r>
    </w:p>
    <w:p w14:paraId="39E71769" w14:textId="77777777" w:rsidR="0082186B" w:rsidRDefault="0082186B" w:rsidP="00BE1DEA">
      <w:pPr>
        <w:pStyle w:val="SingleTxtG"/>
        <w:ind w:firstLine="567"/>
        <w:rPr>
          <w:iCs/>
          <w:lang w:val="fr-FR"/>
        </w:rPr>
      </w:pPr>
      <w:r>
        <w:rPr>
          <w:i/>
          <w:lang w:val="fr-FR"/>
        </w:rPr>
        <w:t>Au lieu de</w:t>
      </w:r>
      <w:r>
        <w:rPr>
          <w:lang w:val="fr-FR"/>
        </w:rPr>
        <w:t xml:space="preserve"> </w:t>
      </w:r>
      <w:r>
        <w:rPr>
          <w:iCs/>
          <w:lang w:val="fr-FR"/>
        </w:rPr>
        <w:t xml:space="preserve">4.1.9.1.10 et 4.1.9.1.11 </w:t>
      </w:r>
      <w:r>
        <w:rPr>
          <w:i/>
          <w:iCs/>
          <w:lang w:val="fr-FR"/>
        </w:rPr>
        <w:t>lire</w:t>
      </w:r>
      <w:r>
        <w:rPr>
          <w:iCs/>
          <w:lang w:val="fr-FR"/>
        </w:rPr>
        <w:t xml:space="preserve"> 4.1.9.1.11 et 4.1.9.1.12</w:t>
      </w:r>
    </w:p>
    <w:p w14:paraId="7179F1A8" w14:textId="77777777" w:rsidR="0082186B" w:rsidRPr="008C7134" w:rsidRDefault="0082186B" w:rsidP="00BE1DEA">
      <w:pPr>
        <w:pStyle w:val="SingleTxtG"/>
        <w:ind w:firstLine="567"/>
        <w:rPr>
          <w:lang w:val="fr-FR"/>
        </w:rPr>
      </w:pPr>
      <w:r w:rsidRPr="008C7134">
        <w:rPr>
          <w:i/>
          <w:lang w:val="fr-FR"/>
        </w:rPr>
        <w:t xml:space="preserve">(Document de référence: document informel </w:t>
      </w:r>
      <w:r w:rsidRPr="008C7134">
        <w:rPr>
          <w:i/>
          <w:iCs/>
          <w:lang w:val="fr-FR"/>
        </w:rPr>
        <w:t>INF.3</w:t>
      </w:r>
      <w:r>
        <w:rPr>
          <w:i/>
          <w:iCs/>
          <w:lang w:val="fr-FR"/>
        </w:rPr>
        <w:t>3)</w:t>
      </w:r>
    </w:p>
    <w:p w14:paraId="6E38A40D" w14:textId="77777777" w:rsidR="0082186B" w:rsidRDefault="0082186B" w:rsidP="0082186B">
      <w:pPr>
        <w:pStyle w:val="SingleTxtG"/>
        <w:rPr>
          <w:lang w:val="fr-FR"/>
        </w:rPr>
      </w:pPr>
    </w:p>
    <w:p w14:paraId="0DFA87D4" w14:textId="77777777" w:rsidR="0082186B" w:rsidRPr="00F70BDD" w:rsidRDefault="0082186B" w:rsidP="0082186B">
      <w:pPr>
        <w:pStyle w:val="SingleTxtG"/>
        <w:spacing w:before="240" w:after="0"/>
        <w:jc w:val="center"/>
        <w:rPr>
          <w:bCs/>
          <w:u w:val="single"/>
        </w:rPr>
      </w:pPr>
      <w:r w:rsidRPr="00F70BDD">
        <w:rPr>
          <w:bCs/>
          <w:u w:val="single"/>
        </w:rPr>
        <w:tab/>
      </w:r>
      <w:r w:rsidRPr="00F70BDD">
        <w:rPr>
          <w:bCs/>
          <w:u w:val="single"/>
        </w:rPr>
        <w:tab/>
      </w:r>
      <w:r w:rsidRPr="00F70BDD">
        <w:rPr>
          <w:bCs/>
          <w:u w:val="single"/>
        </w:rPr>
        <w:tab/>
      </w:r>
    </w:p>
    <w:p w14:paraId="59A057D6" w14:textId="7F763FA1" w:rsidR="005F7F44" w:rsidRPr="00D369DB" w:rsidRDefault="005F7F44" w:rsidP="0082186B">
      <w:pPr>
        <w:pStyle w:val="HChG"/>
      </w:pPr>
    </w:p>
    <w:sectPr w:rsidR="005F7F44" w:rsidRPr="00D369DB" w:rsidSect="006A003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52BF" w14:textId="77777777" w:rsidR="00D64F4D" w:rsidRDefault="00D64F4D"/>
  </w:endnote>
  <w:endnote w:type="continuationSeparator" w:id="0">
    <w:p w14:paraId="65FE4EEF" w14:textId="77777777" w:rsidR="00D64F4D" w:rsidRDefault="00D64F4D"/>
  </w:endnote>
  <w:endnote w:type="continuationNotice" w:id="1">
    <w:p w14:paraId="3DCC8ED9" w14:textId="77777777" w:rsidR="00D64F4D" w:rsidRDefault="00D64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498F" w14:textId="0304D655" w:rsidR="00D64F4D" w:rsidRPr="00D369DB" w:rsidRDefault="00D64F4D" w:rsidP="00D369DB">
    <w:pPr>
      <w:pStyle w:val="Footer"/>
      <w:tabs>
        <w:tab w:val="right" w:pos="9638"/>
      </w:tabs>
      <w:rPr>
        <w:sz w:val="18"/>
      </w:rPr>
    </w:pPr>
    <w:r w:rsidRPr="00D369DB">
      <w:rPr>
        <w:b/>
        <w:sz w:val="18"/>
      </w:rPr>
      <w:fldChar w:fldCharType="begin"/>
    </w:r>
    <w:r w:rsidRPr="00D369DB">
      <w:rPr>
        <w:b/>
        <w:sz w:val="18"/>
      </w:rPr>
      <w:instrText xml:space="preserve"> PAGE  \* MERGEFORMAT </w:instrText>
    </w:r>
    <w:r w:rsidRPr="00D369DB">
      <w:rPr>
        <w:b/>
        <w:sz w:val="18"/>
      </w:rPr>
      <w:fldChar w:fldCharType="separate"/>
    </w:r>
    <w:r w:rsidR="00DD3F42">
      <w:rPr>
        <w:b/>
        <w:noProof/>
        <w:sz w:val="18"/>
      </w:rPr>
      <w:t>8</w:t>
    </w:r>
    <w:r w:rsidRPr="00D369D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5FA8" w14:textId="58D62613" w:rsidR="00D64F4D" w:rsidRPr="00D369DB" w:rsidRDefault="00D64F4D" w:rsidP="00D369DB">
    <w:pPr>
      <w:pStyle w:val="Footer"/>
      <w:tabs>
        <w:tab w:val="right" w:pos="9638"/>
      </w:tabs>
      <w:rPr>
        <w:b/>
        <w:sz w:val="18"/>
      </w:rPr>
    </w:pPr>
    <w:r>
      <w:tab/>
    </w:r>
    <w:r w:rsidRPr="00D369DB">
      <w:rPr>
        <w:b/>
        <w:sz w:val="18"/>
      </w:rPr>
      <w:fldChar w:fldCharType="begin"/>
    </w:r>
    <w:r w:rsidRPr="00D369DB">
      <w:rPr>
        <w:b/>
        <w:sz w:val="18"/>
      </w:rPr>
      <w:instrText xml:space="preserve"> PAGE  \* MERGEFORMAT </w:instrText>
    </w:r>
    <w:r w:rsidRPr="00D369DB">
      <w:rPr>
        <w:b/>
        <w:sz w:val="18"/>
      </w:rPr>
      <w:fldChar w:fldCharType="separate"/>
    </w:r>
    <w:r w:rsidR="00DD3F42">
      <w:rPr>
        <w:b/>
        <w:noProof/>
        <w:sz w:val="18"/>
      </w:rPr>
      <w:t>9</w:t>
    </w:r>
    <w:r w:rsidRPr="00D369D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710B" w14:textId="77777777" w:rsidR="00D64F4D" w:rsidRPr="00D27D5E" w:rsidRDefault="00D64F4D" w:rsidP="00D27D5E">
      <w:pPr>
        <w:tabs>
          <w:tab w:val="right" w:pos="2155"/>
        </w:tabs>
        <w:spacing w:after="80"/>
        <w:ind w:left="680"/>
        <w:rPr>
          <w:u w:val="single"/>
        </w:rPr>
      </w:pPr>
      <w:r>
        <w:rPr>
          <w:u w:val="single"/>
        </w:rPr>
        <w:tab/>
      </w:r>
    </w:p>
  </w:footnote>
  <w:footnote w:type="continuationSeparator" w:id="0">
    <w:p w14:paraId="3271FB89" w14:textId="77777777" w:rsidR="00D64F4D" w:rsidRPr="00CC68E4" w:rsidRDefault="00D64F4D" w:rsidP="00CC68E4">
      <w:pPr>
        <w:tabs>
          <w:tab w:val="left" w:pos="2155"/>
        </w:tabs>
        <w:spacing w:after="80"/>
        <w:ind w:left="680"/>
        <w:rPr>
          <w:u w:val="single"/>
        </w:rPr>
      </w:pPr>
      <w:r w:rsidRPr="00CC68E4">
        <w:rPr>
          <w:u w:val="single"/>
        </w:rPr>
        <w:tab/>
      </w:r>
    </w:p>
  </w:footnote>
  <w:footnote w:type="continuationNotice" w:id="1">
    <w:p w14:paraId="701EA8DD" w14:textId="77777777" w:rsidR="00D64F4D" w:rsidRDefault="00D64F4D"/>
  </w:footnote>
  <w:footnote w:id="2">
    <w:p w14:paraId="05C525E9" w14:textId="245FAA2F" w:rsidR="0077384E" w:rsidRPr="0077384E" w:rsidRDefault="0077384E">
      <w:pPr>
        <w:pStyle w:val="FootnoteText"/>
        <w:rPr>
          <w:sz w:val="20"/>
        </w:rPr>
      </w:pPr>
      <w:r>
        <w:rPr>
          <w:sz w:val="20"/>
        </w:rPr>
        <w:tab/>
      </w:r>
      <w:r w:rsidRPr="0077384E">
        <w:rPr>
          <w:rStyle w:val="FootnoteReference"/>
          <w:b/>
          <w:sz w:val="20"/>
        </w:rPr>
        <w:t>*</w:t>
      </w:r>
      <w:r>
        <w:rPr>
          <w:sz w:val="20"/>
        </w:rPr>
        <w:tab/>
      </w:r>
      <w:r>
        <w:rPr>
          <w:lang w:val="fr-FR"/>
        </w:rPr>
        <w:t xml:space="preserve">Diffusé par l'Organisation intergouvernementale pour les transports internationaux ferroviaires (OTIF) sous la cote </w:t>
      </w:r>
      <w:r w:rsidRPr="00274AB3">
        <w:rPr>
          <w:lang w:val="fr-FR"/>
        </w:rPr>
        <w:t>OTIF/RID/RC/</w:t>
      </w:r>
      <w:r>
        <w:rPr>
          <w:color w:val="000000"/>
          <w:lang w:val="fr-FR"/>
        </w:rPr>
        <w:t>2017</w:t>
      </w:r>
      <w:r w:rsidRPr="00274AB3">
        <w:rPr>
          <w:color w:val="000000"/>
          <w:lang w:val="fr-FR"/>
        </w:rPr>
        <w:t>-A</w:t>
      </w:r>
      <w:r>
        <w:rPr>
          <w:color w:val="000000"/>
          <w:lang w:val="fr-FR"/>
        </w:rPr>
        <w:t xml:space="preserve">. </w:t>
      </w:r>
      <w:r>
        <w:rPr>
          <w:lang w:val="fr-FR"/>
        </w:rPr>
        <w:t>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r>
        <w:t>.</w:t>
      </w:r>
    </w:p>
  </w:footnote>
  <w:footnote w:id="3">
    <w:p w14:paraId="09C97B5D" w14:textId="622AF932" w:rsidR="009916F1" w:rsidRDefault="009916F1">
      <w:pPr>
        <w:pStyle w:val="FootnoteText"/>
      </w:pPr>
      <w:r>
        <w:tab/>
      </w:r>
      <w:r w:rsidRPr="009916F1">
        <w:rPr>
          <w:rStyle w:val="FootnoteReference"/>
          <w:b/>
          <w:sz w:val="20"/>
        </w:rPr>
        <w:t>**</w:t>
      </w:r>
      <w:r>
        <w:tab/>
        <w:t>Pour des raisons pratiques, l’annexe I est reproduite sous forme d’additif au présent document, sous la cote ECE/TRANS/WP.15/AC.1/146/Add.1.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4BBC" w14:textId="77777777" w:rsidR="00D64F4D" w:rsidRPr="00D369DB" w:rsidRDefault="00D64F4D">
    <w:pPr>
      <w:pStyle w:val="Header"/>
    </w:pPr>
    <w:r>
      <w:t>ECE/TRANS/WP.15/AC.1/146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0C96" w14:textId="77777777" w:rsidR="00D64F4D" w:rsidRPr="00D369DB" w:rsidRDefault="00D64F4D" w:rsidP="00D369DB">
    <w:pPr>
      <w:pStyle w:val="Header"/>
      <w:jc w:val="right"/>
    </w:pPr>
    <w:r>
      <w:t>ECE/TRANS/WP.15/AC.1/146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1C"/>
    <w:rsid w:val="00016AC5"/>
    <w:rsid w:val="00030ADE"/>
    <w:rsid w:val="00072032"/>
    <w:rsid w:val="000F41F2"/>
    <w:rsid w:val="00135C0D"/>
    <w:rsid w:val="00160540"/>
    <w:rsid w:val="00172839"/>
    <w:rsid w:val="00177007"/>
    <w:rsid w:val="00182157"/>
    <w:rsid w:val="00186EE9"/>
    <w:rsid w:val="00192EEB"/>
    <w:rsid w:val="001A20FB"/>
    <w:rsid w:val="001B6F40"/>
    <w:rsid w:val="001D7F8A"/>
    <w:rsid w:val="001E3FEB"/>
    <w:rsid w:val="001E4A02"/>
    <w:rsid w:val="001E4CAB"/>
    <w:rsid w:val="00223B89"/>
    <w:rsid w:val="00225A8C"/>
    <w:rsid w:val="00225E9C"/>
    <w:rsid w:val="002659F1"/>
    <w:rsid w:val="00270983"/>
    <w:rsid w:val="00287E79"/>
    <w:rsid w:val="002928F9"/>
    <w:rsid w:val="002A5D07"/>
    <w:rsid w:val="002A60A5"/>
    <w:rsid w:val="002B253F"/>
    <w:rsid w:val="002C7834"/>
    <w:rsid w:val="002D0E27"/>
    <w:rsid w:val="002E5D0E"/>
    <w:rsid w:val="003016B7"/>
    <w:rsid w:val="0032106B"/>
    <w:rsid w:val="00340C35"/>
    <w:rsid w:val="003515AA"/>
    <w:rsid w:val="00362D91"/>
    <w:rsid w:val="00370E0F"/>
    <w:rsid w:val="00374106"/>
    <w:rsid w:val="003976D5"/>
    <w:rsid w:val="003A3B0D"/>
    <w:rsid w:val="003B3317"/>
    <w:rsid w:val="003C1B1D"/>
    <w:rsid w:val="003D1DF3"/>
    <w:rsid w:val="003D46A7"/>
    <w:rsid w:val="003D6C68"/>
    <w:rsid w:val="004159D0"/>
    <w:rsid w:val="004249E7"/>
    <w:rsid w:val="00425718"/>
    <w:rsid w:val="00437417"/>
    <w:rsid w:val="004535C5"/>
    <w:rsid w:val="00453BDE"/>
    <w:rsid w:val="00477503"/>
    <w:rsid w:val="004963DE"/>
    <w:rsid w:val="004A7FCC"/>
    <w:rsid w:val="004E6C12"/>
    <w:rsid w:val="005046DB"/>
    <w:rsid w:val="00543D5E"/>
    <w:rsid w:val="00571F41"/>
    <w:rsid w:val="00597084"/>
    <w:rsid w:val="005A52AB"/>
    <w:rsid w:val="005B6127"/>
    <w:rsid w:val="005E5D1F"/>
    <w:rsid w:val="005F7F44"/>
    <w:rsid w:val="00603391"/>
    <w:rsid w:val="00611D43"/>
    <w:rsid w:val="00612D48"/>
    <w:rsid w:val="00616B45"/>
    <w:rsid w:val="00630D9B"/>
    <w:rsid w:val="00631953"/>
    <w:rsid w:val="006439EC"/>
    <w:rsid w:val="00652353"/>
    <w:rsid w:val="00690117"/>
    <w:rsid w:val="006A0039"/>
    <w:rsid w:val="006B4590"/>
    <w:rsid w:val="006C340C"/>
    <w:rsid w:val="006C420E"/>
    <w:rsid w:val="0070347C"/>
    <w:rsid w:val="00704FD8"/>
    <w:rsid w:val="007176C1"/>
    <w:rsid w:val="007278B6"/>
    <w:rsid w:val="00732341"/>
    <w:rsid w:val="00740884"/>
    <w:rsid w:val="00752543"/>
    <w:rsid w:val="0077384E"/>
    <w:rsid w:val="007A5E55"/>
    <w:rsid w:val="007B5228"/>
    <w:rsid w:val="007D704D"/>
    <w:rsid w:val="007F55CB"/>
    <w:rsid w:val="008107F5"/>
    <w:rsid w:val="00820E84"/>
    <w:rsid w:val="0082186B"/>
    <w:rsid w:val="008317F6"/>
    <w:rsid w:val="00844750"/>
    <w:rsid w:val="008B44C4"/>
    <w:rsid w:val="008B7879"/>
    <w:rsid w:val="008E7FAE"/>
    <w:rsid w:val="008F2397"/>
    <w:rsid w:val="00911BF7"/>
    <w:rsid w:val="0095062C"/>
    <w:rsid w:val="00953BBB"/>
    <w:rsid w:val="009752F3"/>
    <w:rsid w:val="00977EC8"/>
    <w:rsid w:val="009907EB"/>
    <w:rsid w:val="009916F1"/>
    <w:rsid w:val="009B09B2"/>
    <w:rsid w:val="009D3A8C"/>
    <w:rsid w:val="009E1F07"/>
    <w:rsid w:val="009E7956"/>
    <w:rsid w:val="00A062FD"/>
    <w:rsid w:val="00A2492E"/>
    <w:rsid w:val="00A70163"/>
    <w:rsid w:val="00A735C0"/>
    <w:rsid w:val="00A87827"/>
    <w:rsid w:val="00AC67A1"/>
    <w:rsid w:val="00AC7977"/>
    <w:rsid w:val="00AE352C"/>
    <w:rsid w:val="00AE6D63"/>
    <w:rsid w:val="00B32E2D"/>
    <w:rsid w:val="00B4466B"/>
    <w:rsid w:val="00B61990"/>
    <w:rsid w:val="00B85D99"/>
    <w:rsid w:val="00B90DC3"/>
    <w:rsid w:val="00BE1DEA"/>
    <w:rsid w:val="00BF0556"/>
    <w:rsid w:val="00C261F8"/>
    <w:rsid w:val="00C33100"/>
    <w:rsid w:val="00C65322"/>
    <w:rsid w:val="00C940E9"/>
    <w:rsid w:val="00CA1042"/>
    <w:rsid w:val="00CB741C"/>
    <w:rsid w:val="00CC349E"/>
    <w:rsid w:val="00CC68E4"/>
    <w:rsid w:val="00CD1A71"/>
    <w:rsid w:val="00CD1FBB"/>
    <w:rsid w:val="00D016B5"/>
    <w:rsid w:val="00D034F1"/>
    <w:rsid w:val="00D05EFF"/>
    <w:rsid w:val="00D11B17"/>
    <w:rsid w:val="00D27D5E"/>
    <w:rsid w:val="00D33540"/>
    <w:rsid w:val="00D369DB"/>
    <w:rsid w:val="00D64F4D"/>
    <w:rsid w:val="00DA57D4"/>
    <w:rsid w:val="00DB4793"/>
    <w:rsid w:val="00DD3F42"/>
    <w:rsid w:val="00DD5ECB"/>
    <w:rsid w:val="00DE01E3"/>
    <w:rsid w:val="00DE6D90"/>
    <w:rsid w:val="00DF002F"/>
    <w:rsid w:val="00DF67FC"/>
    <w:rsid w:val="00E0244D"/>
    <w:rsid w:val="00E55D71"/>
    <w:rsid w:val="00E64876"/>
    <w:rsid w:val="00E81E94"/>
    <w:rsid w:val="00E82607"/>
    <w:rsid w:val="00EA31C2"/>
    <w:rsid w:val="00EB1E6B"/>
    <w:rsid w:val="00EC73F8"/>
    <w:rsid w:val="00EE2EA3"/>
    <w:rsid w:val="00EE3E1F"/>
    <w:rsid w:val="00EF21AF"/>
    <w:rsid w:val="00EF75FC"/>
    <w:rsid w:val="00F01516"/>
    <w:rsid w:val="00F2176D"/>
    <w:rsid w:val="00F23EDD"/>
    <w:rsid w:val="00FA5A79"/>
    <w:rsid w:val="00FA7BAE"/>
    <w:rsid w:val="00FB0BFE"/>
    <w:rsid w:val="00FB4C51"/>
    <w:rsid w:val="00FE752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2180E5D0"/>
  <w15:docId w15:val="{1AC9D2B2-FF23-416F-9A38-BD366A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link w:val="H1GChar"/>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link w:val="H23GChar"/>
    <w:qFormat/>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ar"/>
    <w:qFormat/>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link w:val="FootnoteText"/>
    <w:rsid w:val="00D369DB"/>
    <w:rPr>
      <w:sz w:val="18"/>
      <w:lang w:val="fr-CH" w:eastAsia="en-US"/>
    </w:rPr>
  </w:style>
  <w:style w:type="character" w:customStyle="1" w:styleId="SingleTxtGCar">
    <w:name w:val="_ Single Txt_G Car"/>
    <w:link w:val="SingleTxtG"/>
    <w:rsid w:val="00D369DB"/>
    <w:rPr>
      <w:lang w:eastAsia="en-US"/>
    </w:rPr>
  </w:style>
  <w:style w:type="character" w:customStyle="1" w:styleId="HChGChar">
    <w:name w:val="_ H _Ch_G Char"/>
    <w:link w:val="HChG"/>
    <w:rsid w:val="00D369DB"/>
    <w:rPr>
      <w:b/>
      <w:sz w:val="28"/>
      <w:lang w:eastAsia="en-US"/>
    </w:rPr>
  </w:style>
  <w:style w:type="character" w:customStyle="1" w:styleId="H1GChar">
    <w:name w:val="_ H_1_G Char"/>
    <w:link w:val="H1G"/>
    <w:rsid w:val="00CA1042"/>
    <w:rPr>
      <w:b/>
      <w:sz w:val="24"/>
      <w:lang w:eastAsia="en-US"/>
    </w:rPr>
  </w:style>
  <w:style w:type="character" w:styleId="CommentReference">
    <w:name w:val="annotation reference"/>
    <w:basedOn w:val="DefaultParagraphFont"/>
    <w:semiHidden/>
    <w:unhideWhenUsed/>
    <w:rsid w:val="00F23EDD"/>
    <w:rPr>
      <w:sz w:val="16"/>
      <w:szCs w:val="16"/>
    </w:rPr>
  </w:style>
  <w:style w:type="paragraph" w:styleId="CommentText">
    <w:name w:val="annotation text"/>
    <w:basedOn w:val="Normal"/>
    <w:link w:val="CommentTextChar"/>
    <w:semiHidden/>
    <w:unhideWhenUsed/>
    <w:rsid w:val="00F23EDD"/>
    <w:pPr>
      <w:spacing w:line="240" w:lineRule="auto"/>
    </w:pPr>
  </w:style>
  <w:style w:type="character" w:customStyle="1" w:styleId="CommentTextChar">
    <w:name w:val="Comment Text Char"/>
    <w:basedOn w:val="DefaultParagraphFont"/>
    <w:link w:val="CommentText"/>
    <w:semiHidden/>
    <w:rsid w:val="00F23EDD"/>
    <w:rPr>
      <w:lang w:val="fr-CH" w:eastAsia="en-US"/>
    </w:rPr>
  </w:style>
  <w:style w:type="paragraph" w:styleId="CommentSubject">
    <w:name w:val="annotation subject"/>
    <w:basedOn w:val="CommentText"/>
    <w:next w:val="CommentText"/>
    <w:link w:val="CommentSubjectChar"/>
    <w:semiHidden/>
    <w:unhideWhenUsed/>
    <w:rsid w:val="00F23EDD"/>
    <w:rPr>
      <w:b/>
      <w:bCs/>
    </w:rPr>
  </w:style>
  <w:style w:type="character" w:customStyle="1" w:styleId="CommentSubjectChar">
    <w:name w:val="Comment Subject Char"/>
    <w:basedOn w:val="CommentTextChar"/>
    <w:link w:val="CommentSubject"/>
    <w:semiHidden/>
    <w:rsid w:val="00F23EDD"/>
    <w:rPr>
      <w:b/>
      <w:bCs/>
      <w:lang w:val="fr-CH" w:eastAsia="en-US"/>
    </w:rPr>
  </w:style>
  <w:style w:type="paragraph" w:styleId="Revision">
    <w:name w:val="Revision"/>
    <w:hidden/>
    <w:uiPriority w:val="99"/>
    <w:semiHidden/>
    <w:rsid w:val="00F23EDD"/>
    <w:rPr>
      <w:lang w:val="fr-CH" w:eastAsia="en-US"/>
    </w:rPr>
  </w:style>
  <w:style w:type="paragraph" w:styleId="BalloonText">
    <w:name w:val="Balloon Text"/>
    <w:basedOn w:val="Normal"/>
    <w:link w:val="BalloonTextChar"/>
    <w:semiHidden/>
    <w:unhideWhenUsed/>
    <w:rsid w:val="00F23E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23EDD"/>
    <w:rPr>
      <w:rFonts w:ascii="Segoe UI" w:hAnsi="Segoe UI" w:cs="Segoe UI"/>
      <w:sz w:val="18"/>
      <w:szCs w:val="18"/>
      <w:lang w:val="fr-CH" w:eastAsia="en-US"/>
    </w:rPr>
  </w:style>
  <w:style w:type="character" w:customStyle="1" w:styleId="H23GChar">
    <w:name w:val="_ H_2/3_G Char"/>
    <w:link w:val="H23G"/>
    <w:rsid w:val="0082186B"/>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ochampeau\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32E2-8CD5-4060-B59B-E2D96CE3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ECE_F.dotm</Template>
  <TotalTime>133</TotalTime>
  <Pages>24</Pages>
  <Words>8330</Words>
  <Characters>47485</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Christine Barrio-Champeau</dc:creator>
  <cp:lastModifiedBy>Christine Barrio-Champeau</cp:lastModifiedBy>
  <cp:revision>33</cp:revision>
  <cp:lastPrinted>2017-04-03T09:31:00Z</cp:lastPrinted>
  <dcterms:created xsi:type="dcterms:W3CDTF">2017-03-22T07:58:00Z</dcterms:created>
  <dcterms:modified xsi:type="dcterms:W3CDTF">2017-04-07T12:29:00Z</dcterms:modified>
</cp:coreProperties>
</file>