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B56E5F">
            <w:pPr>
              <w:suppressAutoHyphens w:val="0"/>
              <w:spacing w:after="20"/>
              <w:jc w:val="right"/>
            </w:pPr>
            <w:r w:rsidRPr="008D4A19">
              <w:rPr>
                <w:sz w:val="40"/>
              </w:rPr>
              <w:t>ECE</w:t>
            </w:r>
            <w:r>
              <w:t>/TRANS/WP.15/201</w:t>
            </w:r>
            <w:r w:rsidR="00410B0F">
              <w:t>7</w:t>
            </w:r>
            <w:r>
              <w:t>/</w:t>
            </w:r>
            <w:r w:rsidR="00C22C95">
              <w:t>2</w:t>
            </w:r>
            <w:r w:rsidR="00B56E5F">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14:anchorId="49F313E0" wp14:editId="0D4E438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7E7152" w:rsidP="008D4A19">
            <w:pPr>
              <w:suppressAutoHyphens w:val="0"/>
            </w:pPr>
            <w:r>
              <w:t>23</w:t>
            </w:r>
            <w:bookmarkStart w:id="0" w:name="_GoBack"/>
            <w:bookmarkEnd w:id="0"/>
            <w:r w:rsidR="00E037F0">
              <w:t xml:space="preserve"> August</w:t>
            </w:r>
            <w:r w:rsidR="001330DE">
              <w:t xml:space="preserve"> 201</w:t>
            </w:r>
            <w:r w:rsidR="00F7169C">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410B0F" w:rsidP="001330DE">
      <w:pPr>
        <w:spacing w:before="120"/>
        <w:rPr>
          <w:rFonts w:eastAsia="SimSun"/>
          <w:b/>
        </w:rPr>
      </w:pPr>
      <w:r>
        <w:rPr>
          <w:rFonts w:eastAsia="SimSun"/>
          <w:b/>
        </w:rPr>
        <w:t>103rd</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Geneva,</w:t>
      </w:r>
      <w:r w:rsidR="00F563C7">
        <w:rPr>
          <w:rFonts w:eastAsia="SimSun"/>
        </w:rPr>
        <w:t xml:space="preserve"> </w:t>
      </w:r>
      <w:r w:rsidR="00410B0F">
        <w:rPr>
          <w:rFonts w:eastAsia="SimSun"/>
        </w:rPr>
        <w:t>6</w:t>
      </w:r>
      <w:r>
        <w:rPr>
          <w:rFonts w:eastAsia="SimSun"/>
        </w:rPr>
        <w:t>–</w:t>
      </w:r>
      <w:r w:rsidR="00F563C7">
        <w:rPr>
          <w:rFonts w:eastAsia="SimSun"/>
        </w:rPr>
        <w:t>1</w:t>
      </w:r>
      <w:r w:rsidR="00410B0F">
        <w:rPr>
          <w:rFonts w:eastAsia="SimSun"/>
        </w:rPr>
        <w:t>0</w:t>
      </w:r>
      <w:r w:rsidRPr="00BA64A8">
        <w:rPr>
          <w:rFonts w:eastAsia="SimSun"/>
        </w:rPr>
        <w:t xml:space="preserve"> </w:t>
      </w:r>
      <w:r w:rsidR="00F563C7">
        <w:rPr>
          <w:rFonts w:eastAsia="SimSun"/>
        </w:rPr>
        <w:t>November</w:t>
      </w:r>
      <w:r w:rsidRPr="00BA64A8">
        <w:rPr>
          <w:rFonts w:eastAsia="SimSun"/>
        </w:rPr>
        <w:t xml:space="preserve"> 201</w:t>
      </w:r>
      <w:r w:rsidR="00410B0F">
        <w:rPr>
          <w:rFonts w:eastAsia="SimSun"/>
        </w:rPr>
        <w:t>7</w:t>
      </w:r>
      <w:r w:rsidRPr="00BA64A8">
        <w:rPr>
          <w:rFonts w:eastAsia="SimSun"/>
        </w:rPr>
        <w:t xml:space="preserve"> </w:t>
      </w:r>
    </w:p>
    <w:p w:rsidR="00C74773" w:rsidRPr="00C521A6" w:rsidRDefault="00B56E5F" w:rsidP="00C74773">
      <w:pPr>
        <w:suppressAutoHyphens w:val="0"/>
        <w:autoSpaceDE w:val="0"/>
        <w:autoSpaceDN w:val="0"/>
        <w:adjustRightInd w:val="0"/>
        <w:spacing w:line="240" w:lineRule="auto"/>
      </w:pPr>
      <w:r>
        <w:t>Item 5 (b</w:t>
      </w:r>
      <w:r w:rsidR="00C74773">
        <w:t>) of the provisional agenda</w:t>
      </w:r>
    </w:p>
    <w:p w:rsidR="00C74773" w:rsidRPr="00C521A6" w:rsidRDefault="00C74773" w:rsidP="00C74773">
      <w:pPr>
        <w:suppressAutoHyphens w:val="0"/>
        <w:autoSpaceDE w:val="0"/>
        <w:autoSpaceDN w:val="0"/>
        <w:adjustRightInd w:val="0"/>
        <w:spacing w:line="240" w:lineRule="auto"/>
        <w:rPr>
          <w:b/>
          <w:bCs/>
        </w:rPr>
      </w:pPr>
      <w:r>
        <w:rPr>
          <w:b/>
          <w:bCs/>
        </w:rPr>
        <w:t>Proposals for amendments to Annexes A and B of ADR:</w:t>
      </w:r>
    </w:p>
    <w:p w:rsidR="00AF2944" w:rsidRPr="003D777F" w:rsidRDefault="00953B59" w:rsidP="00C74773">
      <w:pPr>
        <w:rPr>
          <w:b/>
        </w:rPr>
      </w:pPr>
      <w:r>
        <w:rPr>
          <w:b/>
        </w:rPr>
        <w:t>m</w:t>
      </w:r>
      <w:r w:rsidR="00B56E5F">
        <w:rPr>
          <w:b/>
        </w:rPr>
        <w:t>iscellaneous proposals</w:t>
      </w:r>
    </w:p>
    <w:p w:rsidR="003B1A93" w:rsidRPr="00511A7F" w:rsidRDefault="00AF2944" w:rsidP="003B1A93">
      <w:pPr>
        <w:pStyle w:val="HChG"/>
      </w:pPr>
      <w:r>
        <w:tab/>
      </w:r>
      <w:r>
        <w:tab/>
      </w:r>
      <w:r w:rsidR="00B56E5F">
        <w:t>Reference to the IMO/ILO/UNECE Code of Practice for Packing of Cargo Transport Units (CTU Code)</w:t>
      </w:r>
    </w:p>
    <w:p w:rsidR="003B1A93" w:rsidRDefault="003B1A93" w:rsidP="002C2F08">
      <w:pPr>
        <w:pStyle w:val="H1G"/>
        <w:spacing w:before="240" w:after="120"/>
      </w:pPr>
      <w:r>
        <w:tab/>
      </w:r>
      <w:r>
        <w:tab/>
        <w:t xml:space="preserve">Transmitted by the Government of </w:t>
      </w:r>
      <w:r w:rsidR="00F7169C">
        <w:t>Germany</w:t>
      </w:r>
      <w:r w:rsidR="00F7169C" w:rsidRPr="00F7169C">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B1A93" w:rsidRPr="00E62341" w:rsidTr="00E037F0">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037F0">
        <w:trPr>
          <w:jc w:val="center"/>
        </w:trPr>
        <w:tc>
          <w:tcPr>
            <w:tcW w:w="9637" w:type="dxa"/>
            <w:tcBorders>
              <w:top w:val="nil"/>
              <w:bottom w:val="nil"/>
            </w:tcBorders>
            <w:shd w:val="clear" w:color="auto" w:fill="auto"/>
          </w:tcPr>
          <w:p w:rsidR="00B56E5F" w:rsidRDefault="003B1A93" w:rsidP="00B56E5F">
            <w:pPr>
              <w:pStyle w:val="SingleTxtG"/>
              <w:ind w:left="3402" w:hanging="2268"/>
            </w:pPr>
            <w:r w:rsidRPr="00E62341">
              <w:rPr>
                <w:b/>
                <w:szCs w:val="22"/>
              </w:rPr>
              <w:t>Executive summary</w:t>
            </w:r>
            <w:r w:rsidRPr="00E62341">
              <w:rPr>
                <w:szCs w:val="22"/>
              </w:rPr>
              <w:t>:</w:t>
            </w:r>
            <w:r w:rsidRPr="00E62341">
              <w:rPr>
                <w:szCs w:val="22"/>
              </w:rPr>
              <w:tab/>
            </w:r>
            <w:r w:rsidR="007E7152">
              <w:t>At</w:t>
            </w:r>
            <w:r w:rsidR="00B56E5F">
              <w:t xml:space="preserve"> its 102nd session in May 2017, the Working Party adopted the proposal made by the Secretariat to make a reference to chapters 9 and 10 of the CTU Code.</w:t>
            </w:r>
          </w:p>
          <w:p w:rsidR="003B1A93" w:rsidRPr="00E62341" w:rsidRDefault="00B56E5F" w:rsidP="00B56E5F">
            <w:pPr>
              <w:pStyle w:val="SingleTxtG"/>
              <w:ind w:left="3402" w:hanging="2268"/>
              <w:rPr>
                <w:b/>
                <w:szCs w:val="22"/>
              </w:rPr>
            </w:pPr>
            <w:r>
              <w:tab/>
              <w:t>In the light of the previous discussions with experts, Germany presented a comment aimed at extending that reference to all of the CTU Code. Therefore Germany proposes to amend footnote 1 referenced in 7.5.7.1.</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F7169C">
            <w:pPr>
              <w:pStyle w:val="SingleTxtG"/>
              <w:ind w:left="3402" w:hanging="2268"/>
              <w:rPr>
                <w:rFonts w:eastAsia="Arial"/>
              </w:rPr>
            </w:pPr>
            <w:r w:rsidRPr="00E62341">
              <w:rPr>
                <w:rFonts w:eastAsia="Arial"/>
                <w:b/>
              </w:rPr>
              <w:t>Action to be taken</w:t>
            </w:r>
            <w:r w:rsidRPr="00E62341">
              <w:rPr>
                <w:rFonts w:eastAsia="Arial"/>
              </w:rPr>
              <w:t>:</w:t>
            </w:r>
            <w:r w:rsidRPr="00E62341">
              <w:rPr>
                <w:rFonts w:eastAsia="Arial"/>
              </w:rPr>
              <w:tab/>
            </w:r>
            <w:r w:rsidR="00B56E5F">
              <w:t>Discuss and amend the provisions in the footnote to 7.5.7.1 of ADR.</w:t>
            </w:r>
          </w:p>
        </w:tc>
      </w:tr>
      <w:tr w:rsidR="003B1A93" w:rsidRPr="00E62341" w:rsidTr="00E037F0">
        <w:trPr>
          <w:jc w:val="center"/>
        </w:trPr>
        <w:tc>
          <w:tcPr>
            <w:tcW w:w="9637" w:type="dxa"/>
            <w:tcBorders>
              <w:top w:val="nil"/>
              <w:bottom w:val="nil"/>
            </w:tcBorders>
            <w:shd w:val="clear" w:color="auto" w:fill="auto"/>
          </w:tcPr>
          <w:p w:rsidR="003B1A93" w:rsidRPr="00E132FB" w:rsidRDefault="003B1A93" w:rsidP="003A2596">
            <w:pPr>
              <w:pStyle w:val="SingleTxtG"/>
              <w:ind w:left="3402" w:hanging="2268"/>
              <w:jc w:val="left"/>
            </w:pPr>
            <w:r w:rsidRPr="00E62341">
              <w:rPr>
                <w:rFonts w:eastAsia="Arial"/>
                <w:b/>
              </w:rPr>
              <w:t>Reference document</w:t>
            </w:r>
            <w:r w:rsidRPr="00E62341">
              <w:rPr>
                <w:rFonts w:eastAsia="Arial"/>
              </w:rPr>
              <w:t>:</w:t>
            </w:r>
            <w:r w:rsidRPr="00E62341">
              <w:rPr>
                <w:rFonts w:eastAsia="Arial"/>
              </w:rPr>
              <w:tab/>
            </w:r>
            <w:r w:rsidR="00B56E5F">
              <w:t xml:space="preserve">ECE/TRANS/WP.15/237, paragraphs 36 to 37 and Annex I, ECE/TRANS/WP.15/2017/12 (Note by the secretariat), </w:t>
            </w:r>
            <w:r w:rsidR="00B56E5F">
              <w:tab/>
              <w:t>ECE/TRANS/WP.15/2014/7 (Note by the secretariat), ECE/TRANS/WP.15/2013/221, paragraphs 72 to 73;</w:t>
            </w:r>
          </w:p>
        </w:tc>
      </w:tr>
      <w:tr w:rsidR="00A54B32" w:rsidRPr="00E62341" w:rsidTr="00E037F0">
        <w:trPr>
          <w:jc w:val="center"/>
        </w:trPr>
        <w:tc>
          <w:tcPr>
            <w:tcW w:w="9637" w:type="dxa"/>
            <w:tcBorders>
              <w:top w:val="nil"/>
            </w:tcBorders>
            <w:shd w:val="clear" w:color="auto" w:fill="auto"/>
          </w:tcPr>
          <w:p w:rsidR="00A54B32" w:rsidRPr="00E62341" w:rsidRDefault="00A54B32" w:rsidP="00E037F0">
            <w:pPr>
              <w:suppressAutoHyphens w:val="0"/>
              <w:rPr>
                <w:rFonts w:eastAsia="Arial"/>
              </w:rPr>
            </w:pPr>
          </w:p>
        </w:tc>
      </w:tr>
    </w:tbl>
    <w:p w:rsidR="00953B59" w:rsidRPr="00607B3B" w:rsidRDefault="003B1A93" w:rsidP="00953B59">
      <w:pPr>
        <w:pStyle w:val="HChG"/>
      </w:pPr>
      <w:r>
        <w:lastRenderedPageBreak/>
        <w:tab/>
      </w:r>
      <w:r>
        <w:tab/>
      </w:r>
      <w:r w:rsidR="00953B59">
        <w:t>Introduction</w:t>
      </w:r>
    </w:p>
    <w:p w:rsidR="00953B59" w:rsidRDefault="00953B59" w:rsidP="00953B59">
      <w:pPr>
        <w:pStyle w:val="SingleTxtG"/>
      </w:pPr>
      <w:r>
        <w:t>1.</w:t>
      </w:r>
      <w:r>
        <w:tab/>
        <w:t>At its 102</w:t>
      </w:r>
      <w:r w:rsidRPr="007E7152">
        <w:t>nd</w:t>
      </w:r>
      <w:r>
        <w:t xml:space="preserve"> session (May 2017), the Working Party adopted the proposal made by the secr</w:t>
      </w:r>
      <w:r w:rsidR="007E7152">
        <w:t>etariat to make a reference to C</w:t>
      </w:r>
      <w:r>
        <w:t>hapters 9 and 10 of the CTU Code in the footnote to 7.5.7.1 of ADR (see ECE/TRANS/WP.15/237, paragraphs 36 to 37 and Annex I).</w:t>
      </w:r>
    </w:p>
    <w:p w:rsidR="00953B59" w:rsidRDefault="00953B59" w:rsidP="00953B59">
      <w:pPr>
        <w:pStyle w:val="SingleTxtG"/>
        <w:suppressAutoHyphens w:val="0"/>
      </w:pPr>
      <w:r>
        <w:t>2.</w:t>
      </w:r>
      <w:r>
        <w:tab/>
        <w:t xml:space="preserve">Germany welcomes the decision of </w:t>
      </w:r>
      <w:r w:rsidR="007E7152">
        <w:t>the Working Party</w:t>
      </w:r>
      <w:r>
        <w:t xml:space="preserve"> to also make reference to the CTU Code in a footnote in ADR. This reference to the CTU Code had already been suggested to </w:t>
      </w:r>
      <w:r w:rsidR="007E7152">
        <w:t>the Working Party</w:t>
      </w:r>
      <w:r>
        <w:t xml:space="preserve"> in May 2014 with proposal ECE/TRANS/WP.15/2014/7 (Secretariat). Germany also supported that proposal to include a reference to the CTU Code in ADR. </w:t>
      </w:r>
    </w:p>
    <w:p w:rsidR="00953B59" w:rsidRDefault="00953B59" w:rsidP="00953B59">
      <w:pPr>
        <w:pStyle w:val="SingleTxtG"/>
        <w:suppressAutoHyphens w:val="0"/>
      </w:pPr>
      <w:r>
        <w:t>3.</w:t>
      </w:r>
      <w:r>
        <w:tab/>
        <w:t>Moreover, Germany is of the opinion that the reference appears generally necessary for all modes of transport and that it should not be limited to Chapters 9 and 10.</w:t>
      </w:r>
    </w:p>
    <w:p w:rsidR="00953B59" w:rsidRDefault="00953B59" w:rsidP="00953B59">
      <w:pPr>
        <w:pStyle w:val="SingleTxtG"/>
        <w:suppressAutoHyphens w:val="0"/>
      </w:pPr>
      <w:r>
        <w:t>4.</w:t>
      </w:r>
      <w:r>
        <w:tab/>
        <w:t>This is because there are definitions in o</w:t>
      </w:r>
      <w:r w:rsidR="007E7152">
        <w:t>ther parts of the CTU Code, too, such as in Chapter 2</w:t>
      </w:r>
      <w:r>
        <w:t xml:space="preserve"> </w:t>
      </w:r>
      <w:r w:rsidR="007E7152">
        <w:t>“</w:t>
      </w:r>
      <w:r>
        <w:t>Definitions</w:t>
      </w:r>
      <w:r w:rsidR="007E7152">
        <w:t>” or in Chapter 6</w:t>
      </w:r>
      <w:r>
        <w:t xml:space="preserve"> </w:t>
      </w:r>
      <w:r w:rsidR="007E7152">
        <w:t>“</w:t>
      </w:r>
      <w:r>
        <w:t>Properties</w:t>
      </w:r>
      <w:r w:rsidR="007E7152">
        <w:t>”</w:t>
      </w:r>
      <w:r>
        <w:t xml:space="preserve"> or general reference is made to the structure, and the latter is explained. Thus, it may actually make sense and be necessary to also take into account other chapters and therefore make reference to the whole CTU Code.</w:t>
      </w:r>
    </w:p>
    <w:p w:rsidR="00953B59" w:rsidRDefault="00953B59" w:rsidP="00953B59">
      <w:pPr>
        <w:pStyle w:val="SingleTxtG"/>
        <w:suppressAutoHyphens w:val="0"/>
      </w:pPr>
      <w:r>
        <w:t>5.</w:t>
      </w:r>
      <w:r>
        <w:tab/>
        <w:t xml:space="preserve">The CTU Code really only serves as guidance and, with it being guidance, its application is not mandatory. This means that if, for instance, some parts are not relevant to transport by road, a reference to the CTU Code is unproblematic. </w:t>
      </w:r>
    </w:p>
    <w:p w:rsidR="00953B59" w:rsidRDefault="00953B59" w:rsidP="00953B59">
      <w:pPr>
        <w:pStyle w:val="SingleTxtG"/>
        <w:suppressAutoHyphens w:val="0"/>
      </w:pPr>
      <w:r>
        <w:t>6.</w:t>
      </w:r>
      <w:r>
        <w:tab/>
        <w:t>Therefore, Germany believes that it is not helpful for the already decided inclusion of a reference to the CTU Code in ADR to only refer to individual parts of the CTU Code in the footnote. On the contrary, this would lead to the risk of relevant parts being lost.</w:t>
      </w:r>
    </w:p>
    <w:p w:rsidR="00953B59" w:rsidRPr="000D55AC" w:rsidRDefault="00953B59" w:rsidP="00953B59">
      <w:pPr>
        <w:pStyle w:val="SingleTxtG"/>
        <w:suppressAutoHyphens w:val="0"/>
      </w:pPr>
      <w:r>
        <w:t>7.</w:t>
      </w:r>
      <w:r>
        <w:tab/>
        <w:t>Germany therefore proposes to amend the current provision. New text is underlined and deleted text struck through:</w:t>
      </w:r>
    </w:p>
    <w:p w:rsidR="00953B59" w:rsidRPr="00607B3B" w:rsidRDefault="00953B59" w:rsidP="00953B59">
      <w:pPr>
        <w:pStyle w:val="HChG"/>
        <w:keepNext w:val="0"/>
        <w:keepLines w:val="0"/>
        <w:suppressAutoHyphens w:val="0"/>
      </w:pPr>
      <w:r>
        <w:tab/>
      </w:r>
      <w:r>
        <w:tab/>
        <w:t>Proposal</w:t>
      </w:r>
    </w:p>
    <w:p w:rsidR="00953B59" w:rsidRDefault="00953B59" w:rsidP="00953B59">
      <w:pPr>
        <w:pStyle w:val="SingleTxtG"/>
        <w:suppressAutoHyphens w:val="0"/>
      </w:pPr>
      <w:r>
        <w:t>8.</w:t>
      </w:r>
      <w:r>
        <w:tab/>
        <w:t>Amend footnote 1 referenced in 7.5.7.1 to read as follows:</w:t>
      </w:r>
    </w:p>
    <w:p w:rsidR="00953B59" w:rsidRPr="004751D3" w:rsidRDefault="00953B59" w:rsidP="00953B59">
      <w:pPr>
        <w:pStyle w:val="SingleTxtG"/>
        <w:suppressAutoHyphens w:val="0"/>
      </w:pPr>
      <w:r w:rsidRPr="004751D3">
        <w:t>“</w:t>
      </w:r>
      <w:r w:rsidRPr="004751D3">
        <w:rPr>
          <w:b/>
          <w:iCs/>
          <w:vertAlign w:val="superscript"/>
        </w:rPr>
        <w:t>1</w:t>
      </w:r>
      <w:r w:rsidRPr="004751D3">
        <w:tab/>
      </w:r>
      <w:r w:rsidRPr="004751D3">
        <w:rPr>
          <w:i/>
        </w:rPr>
        <w:t xml:space="preserve">Guidance on the stowage of dangerous goods can be found in </w:t>
      </w:r>
      <w:r w:rsidRPr="009D2A17">
        <w:rPr>
          <w:i/>
          <w:strike/>
        </w:rPr>
        <w:t>Chapters 9 and 10 of</w:t>
      </w:r>
      <w:r w:rsidRPr="004751D3">
        <w:rPr>
          <w:i/>
        </w:rPr>
        <w:t xml:space="preserve"> the IMO/ILO/UNECE Code of Practice for Packing of Cargo Transport Units (CTU Code) </w:t>
      </w:r>
      <w:r>
        <w:rPr>
          <w:i/>
          <w:u w:val="single"/>
        </w:rPr>
        <w:t>[(see e.g. chapter 9 Packing cargo into CTUs and chapter 10 Additional advice on the packing of dangerous goods)]</w:t>
      </w:r>
      <w:r w:rsidRPr="009D2A17">
        <w:rPr>
          <w:i/>
        </w:rPr>
        <w:t xml:space="preserve"> </w:t>
      </w:r>
      <w:r w:rsidRPr="004751D3">
        <w:rPr>
          <w:i/>
        </w:rPr>
        <w:t>and in the European Best Practice Guidelines on Cargo Securing for Road Transport published by the European Commission. Other guidance is also available from competent authorities and industry bodies.</w:t>
      </w:r>
      <w:r w:rsidRPr="004751D3">
        <w:t>”</w:t>
      </w:r>
    </w:p>
    <w:p w:rsidR="00953B59" w:rsidRPr="00953B59" w:rsidRDefault="00953B59" w:rsidP="00953B59">
      <w:pPr>
        <w:pStyle w:val="SingleTxtG"/>
        <w:spacing w:before="240" w:after="0"/>
        <w:jc w:val="center"/>
        <w:rPr>
          <w:u w:val="single"/>
        </w:rPr>
      </w:pPr>
      <w:r>
        <w:rPr>
          <w:u w:val="single"/>
        </w:rPr>
        <w:tab/>
      </w:r>
      <w:r>
        <w:rPr>
          <w:u w:val="single"/>
        </w:rPr>
        <w:tab/>
      </w:r>
      <w:r>
        <w:rPr>
          <w:u w:val="single"/>
        </w:rPr>
        <w:tab/>
      </w:r>
    </w:p>
    <w:sectPr w:rsidR="00953B59" w:rsidRPr="00953B59" w:rsidSect="005C08DA">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F0" w:rsidRDefault="00E037F0"/>
  </w:endnote>
  <w:endnote w:type="continuationSeparator" w:id="0">
    <w:p w:rsidR="00E037F0" w:rsidRDefault="00E037F0"/>
  </w:endnote>
  <w:endnote w:type="continuationNotice" w:id="1">
    <w:p w:rsidR="00E037F0" w:rsidRDefault="00E0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5C08DA">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B56E5F">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F0" w:rsidRPr="000B175B" w:rsidRDefault="00E037F0" w:rsidP="000B175B">
      <w:pPr>
        <w:tabs>
          <w:tab w:val="right" w:pos="2155"/>
        </w:tabs>
        <w:spacing w:after="80"/>
        <w:ind w:left="680"/>
        <w:rPr>
          <w:u w:val="single"/>
        </w:rPr>
      </w:pPr>
      <w:r>
        <w:rPr>
          <w:u w:val="single"/>
        </w:rPr>
        <w:tab/>
      </w:r>
    </w:p>
  </w:footnote>
  <w:footnote w:type="continuationSeparator" w:id="0">
    <w:p w:rsidR="00E037F0" w:rsidRPr="00FC68B7" w:rsidRDefault="00E037F0" w:rsidP="00FC68B7">
      <w:pPr>
        <w:tabs>
          <w:tab w:val="left" w:pos="2155"/>
        </w:tabs>
        <w:spacing w:after="80"/>
        <w:ind w:left="680"/>
        <w:rPr>
          <w:u w:val="single"/>
        </w:rPr>
      </w:pPr>
      <w:r>
        <w:rPr>
          <w:u w:val="single"/>
        </w:rPr>
        <w:tab/>
      </w:r>
    </w:p>
  </w:footnote>
  <w:footnote w:type="continuationNotice" w:id="1">
    <w:p w:rsidR="00E037F0" w:rsidRDefault="00E037F0"/>
  </w:footnote>
  <w:footnote w:id="2">
    <w:p w:rsidR="00F7169C" w:rsidRPr="00F7169C" w:rsidRDefault="00F7169C">
      <w:pPr>
        <w:pStyle w:val="FootnoteText"/>
        <w:rPr>
          <w:lang w:val="fr-CH"/>
        </w:rPr>
      </w:pPr>
      <w:r>
        <w:rPr>
          <w:rStyle w:val="FootnoteReference"/>
        </w:rPr>
        <w:tab/>
      </w:r>
      <w:r w:rsidRPr="00F7169C">
        <w:rPr>
          <w:rStyle w:val="FootnoteReference"/>
          <w:sz w:val="20"/>
          <w:vertAlign w:val="baseline"/>
        </w:rPr>
        <w:t>*</w:t>
      </w:r>
      <w:r>
        <w:rPr>
          <w:rStyle w:val="FootnoteReference"/>
          <w:sz w:val="20"/>
          <w:vertAlign w:val="baseline"/>
        </w:rPr>
        <w:tab/>
      </w:r>
      <w:r>
        <w:rPr>
          <w:color w:val="000000"/>
          <w:lang w:eastAsia="en-GB"/>
        </w:rPr>
        <w:t xml:space="preserve">In accordance with the programme of work of the Inland Transport Committee for 2016-2017, </w:t>
      </w:r>
      <w:r>
        <w:rPr>
          <w:color w:val="000000"/>
          <w:lang w:eastAsia="en-GB"/>
        </w:rPr>
        <w:tab/>
        <w:t>(ECE/TRANS/2016/28/Add.1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pPr>
    <w:r w:rsidRPr="001330DE">
      <w:t>ECE/TRANS/WP.15/201</w:t>
    </w:r>
    <w:r w:rsidR="00410B0F">
      <w:t>7</w:t>
    </w:r>
    <w:r w:rsidRPr="001330DE">
      <w:t>/</w:t>
    </w:r>
    <w:r w:rsidR="00C22C95">
      <w:t>2</w:t>
    </w:r>
    <w:r w:rsidR="00953B59">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jc w:val="right"/>
    </w:pPr>
    <w:r w:rsidRPr="001330DE">
      <w:t>ECE/TRANS/WP.15/201</w:t>
    </w:r>
    <w:r w:rsidR="00410B0F">
      <w:t>7</w:t>
    </w:r>
    <w:r w:rsidRPr="001330DE">
      <w:t>/</w:t>
    </w:r>
    <w:r w:rsidR="00C22C95">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15:restartNumberingAfterBreak="0">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5"/>
  </w:num>
  <w:num w:numId="19">
    <w:abstractNumId w:val="20"/>
  </w:num>
  <w:num w:numId="20">
    <w:abstractNumId w:val="18"/>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329FF"/>
    <w:rsid w:val="00046B1F"/>
    <w:rsid w:val="00050F6B"/>
    <w:rsid w:val="00053178"/>
    <w:rsid w:val="00057E97"/>
    <w:rsid w:val="00072888"/>
    <w:rsid w:val="00072C8C"/>
    <w:rsid w:val="000733B5"/>
    <w:rsid w:val="00081815"/>
    <w:rsid w:val="00083C51"/>
    <w:rsid w:val="00085687"/>
    <w:rsid w:val="00085A33"/>
    <w:rsid w:val="0009185F"/>
    <w:rsid w:val="000931C0"/>
    <w:rsid w:val="000A51CE"/>
    <w:rsid w:val="000B0595"/>
    <w:rsid w:val="000B175B"/>
    <w:rsid w:val="000B3A0F"/>
    <w:rsid w:val="000B4EF7"/>
    <w:rsid w:val="000C0ADE"/>
    <w:rsid w:val="000C2C03"/>
    <w:rsid w:val="000C2D2E"/>
    <w:rsid w:val="000C45FE"/>
    <w:rsid w:val="000D0220"/>
    <w:rsid w:val="000D1D4B"/>
    <w:rsid w:val="000E0415"/>
    <w:rsid w:val="00110235"/>
    <w:rsid w:val="001103AA"/>
    <w:rsid w:val="0011666B"/>
    <w:rsid w:val="00126A57"/>
    <w:rsid w:val="001330DE"/>
    <w:rsid w:val="00135344"/>
    <w:rsid w:val="00145622"/>
    <w:rsid w:val="00165F3A"/>
    <w:rsid w:val="00166991"/>
    <w:rsid w:val="00171A3F"/>
    <w:rsid w:val="00174E63"/>
    <w:rsid w:val="001837D8"/>
    <w:rsid w:val="00197422"/>
    <w:rsid w:val="001A4375"/>
    <w:rsid w:val="001B054C"/>
    <w:rsid w:val="001B4B04"/>
    <w:rsid w:val="001C6663"/>
    <w:rsid w:val="001C7895"/>
    <w:rsid w:val="001D0C8C"/>
    <w:rsid w:val="001D1419"/>
    <w:rsid w:val="001D26DF"/>
    <w:rsid w:val="001D2FAF"/>
    <w:rsid w:val="001D3A03"/>
    <w:rsid w:val="001E4771"/>
    <w:rsid w:val="001E59E0"/>
    <w:rsid w:val="001E7B67"/>
    <w:rsid w:val="001F6AFB"/>
    <w:rsid w:val="00202DA8"/>
    <w:rsid w:val="00207720"/>
    <w:rsid w:val="00211E0B"/>
    <w:rsid w:val="0021665B"/>
    <w:rsid w:val="00236DAD"/>
    <w:rsid w:val="00250738"/>
    <w:rsid w:val="00267F5F"/>
    <w:rsid w:val="00281C40"/>
    <w:rsid w:val="00286B4D"/>
    <w:rsid w:val="002879BE"/>
    <w:rsid w:val="00290814"/>
    <w:rsid w:val="002C2F08"/>
    <w:rsid w:val="002D1038"/>
    <w:rsid w:val="002D4643"/>
    <w:rsid w:val="002E49A7"/>
    <w:rsid w:val="002F175C"/>
    <w:rsid w:val="00302E18"/>
    <w:rsid w:val="00313E88"/>
    <w:rsid w:val="003229D8"/>
    <w:rsid w:val="00332DF3"/>
    <w:rsid w:val="00352709"/>
    <w:rsid w:val="003639E8"/>
    <w:rsid w:val="00364574"/>
    <w:rsid w:val="00371178"/>
    <w:rsid w:val="0038358B"/>
    <w:rsid w:val="00387DA8"/>
    <w:rsid w:val="003A2596"/>
    <w:rsid w:val="003A6810"/>
    <w:rsid w:val="003A6B33"/>
    <w:rsid w:val="003B1A93"/>
    <w:rsid w:val="003C0D40"/>
    <w:rsid w:val="003C2CC4"/>
    <w:rsid w:val="003C6D1D"/>
    <w:rsid w:val="003D4B23"/>
    <w:rsid w:val="003E0029"/>
    <w:rsid w:val="003E7B5F"/>
    <w:rsid w:val="00410B0F"/>
    <w:rsid w:val="00410C89"/>
    <w:rsid w:val="00422E03"/>
    <w:rsid w:val="00426B9B"/>
    <w:rsid w:val="00431164"/>
    <w:rsid w:val="004325CB"/>
    <w:rsid w:val="00432E7C"/>
    <w:rsid w:val="00440193"/>
    <w:rsid w:val="00442A83"/>
    <w:rsid w:val="00443EA9"/>
    <w:rsid w:val="0045495B"/>
    <w:rsid w:val="004826B8"/>
    <w:rsid w:val="0048397A"/>
    <w:rsid w:val="004C2461"/>
    <w:rsid w:val="004C7462"/>
    <w:rsid w:val="004E77B2"/>
    <w:rsid w:val="004F71E2"/>
    <w:rsid w:val="00504B2D"/>
    <w:rsid w:val="0052136D"/>
    <w:rsid w:val="00522B58"/>
    <w:rsid w:val="0052699B"/>
    <w:rsid w:val="0052775E"/>
    <w:rsid w:val="005420F2"/>
    <w:rsid w:val="00555858"/>
    <w:rsid w:val="005628B6"/>
    <w:rsid w:val="005666AA"/>
    <w:rsid w:val="00597B22"/>
    <w:rsid w:val="005A3CE6"/>
    <w:rsid w:val="005B3DB3"/>
    <w:rsid w:val="005B4E13"/>
    <w:rsid w:val="005C08DA"/>
    <w:rsid w:val="005E2EBD"/>
    <w:rsid w:val="005F7B75"/>
    <w:rsid w:val="006001EE"/>
    <w:rsid w:val="00600F71"/>
    <w:rsid w:val="00603CB2"/>
    <w:rsid w:val="00604FD7"/>
    <w:rsid w:val="00605042"/>
    <w:rsid w:val="00607DA4"/>
    <w:rsid w:val="00611FC4"/>
    <w:rsid w:val="006176FB"/>
    <w:rsid w:val="00637C68"/>
    <w:rsid w:val="00640B26"/>
    <w:rsid w:val="00644E68"/>
    <w:rsid w:val="00652D0A"/>
    <w:rsid w:val="006623D5"/>
    <w:rsid w:val="00662BB6"/>
    <w:rsid w:val="006815F2"/>
    <w:rsid w:val="00684C21"/>
    <w:rsid w:val="006919E4"/>
    <w:rsid w:val="00696D0A"/>
    <w:rsid w:val="006A2530"/>
    <w:rsid w:val="006C3589"/>
    <w:rsid w:val="006C7D40"/>
    <w:rsid w:val="006D266F"/>
    <w:rsid w:val="006D37AF"/>
    <w:rsid w:val="006D51D0"/>
    <w:rsid w:val="006E0F9B"/>
    <w:rsid w:val="006E564B"/>
    <w:rsid w:val="006E7191"/>
    <w:rsid w:val="006F22D7"/>
    <w:rsid w:val="006F7854"/>
    <w:rsid w:val="00703577"/>
    <w:rsid w:val="00705894"/>
    <w:rsid w:val="0072632A"/>
    <w:rsid w:val="007327D5"/>
    <w:rsid w:val="00735B31"/>
    <w:rsid w:val="007618D9"/>
    <w:rsid w:val="007629C8"/>
    <w:rsid w:val="0077047D"/>
    <w:rsid w:val="007728F6"/>
    <w:rsid w:val="007937D0"/>
    <w:rsid w:val="00793BB3"/>
    <w:rsid w:val="007A3C5F"/>
    <w:rsid w:val="007A5056"/>
    <w:rsid w:val="007B01E5"/>
    <w:rsid w:val="007B6BA5"/>
    <w:rsid w:val="007C3390"/>
    <w:rsid w:val="007C4F4B"/>
    <w:rsid w:val="007E01E9"/>
    <w:rsid w:val="007E63F3"/>
    <w:rsid w:val="007E7152"/>
    <w:rsid w:val="007F6611"/>
    <w:rsid w:val="00811920"/>
    <w:rsid w:val="00815AD0"/>
    <w:rsid w:val="008242D7"/>
    <w:rsid w:val="008257B1"/>
    <w:rsid w:val="00830A44"/>
    <w:rsid w:val="00843767"/>
    <w:rsid w:val="00852DC9"/>
    <w:rsid w:val="008679D9"/>
    <w:rsid w:val="008878DE"/>
    <w:rsid w:val="008979B1"/>
    <w:rsid w:val="008A32C7"/>
    <w:rsid w:val="008A6B25"/>
    <w:rsid w:val="008A6C4F"/>
    <w:rsid w:val="008A79A0"/>
    <w:rsid w:val="008A7ACD"/>
    <w:rsid w:val="008B2335"/>
    <w:rsid w:val="008C048F"/>
    <w:rsid w:val="008C2B69"/>
    <w:rsid w:val="008D4A19"/>
    <w:rsid w:val="008E0678"/>
    <w:rsid w:val="008F0240"/>
    <w:rsid w:val="009223CA"/>
    <w:rsid w:val="00940F93"/>
    <w:rsid w:val="009471BA"/>
    <w:rsid w:val="00953B59"/>
    <w:rsid w:val="0096764A"/>
    <w:rsid w:val="00967825"/>
    <w:rsid w:val="009760F3"/>
    <w:rsid w:val="009A0E8D"/>
    <w:rsid w:val="009B26E7"/>
    <w:rsid w:val="009C00CE"/>
    <w:rsid w:val="009C126A"/>
    <w:rsid w:val="009C23ED"/>
    <w:rsid w:val="009F6986"/>
    <w:rsid w:val="00A00A3F"/>
    <w:rsid w:val="00A01489"/>
    <w:rsid w:val="00A25183"/>
    <w:rsid w:val="00A3026E"/>
    <w:rsid w:val="00A338F1"/>
    <w:rsid w:val="00A50DEE"/>
    <w:rsid w:val="00A54B32"/>
    <w:rsid w:val="00A63064"/>
    <w:rsid w:val="00A72C0A"/>
    <w:rsid w:val="00A72F22"/>
    <w:rsid w:val="00A7360F"/>
    <w:rsid w:val="00A748A6"/>
    <w:rsid w:val="00A769F4"/>
    <w:rsid w:val="00A776B4"/>
    <w:rsid w:val="00A82A81"/>
    <w:rsid w:val="00A94361"/>
    <w:rsid w:val="00A9586F"/>
    <w:rsid w:val="00AA293C"/>
    <w:rsid w:val="00AA5A36"/>
    <w:rsid w:val="00AF2746"/>
    <w:rsid w:val="00AF2944"/>
    <w:rsid w:val="00B1166F"/>
    <w:rsid w:val="00B30179"/>
    <w:rsid w:val="00B31E80"/>
    <w:rsid w:val="00B421C1"/>
    <w:rsid w:val="00B54192"/>
    <w:rsid w:val="00B55C71"/>
    <w:rsid w:val="00B56E4A"/>
    <w:rsid w:val="00B56E5F"/>
    <w:rsid w:val="00B56E9C"/>
    <w:rsid w:val="00B64B1F"/>
    <w:rsid w:val="00B6553F"/>
    <w:rsid w:val="00B757D2"/>
    <w:rsid w:val="00B77D05"/>
    <w:rsid w:val="00B81206"/>
    <w:rsid w:val="00B81E12"/>
    <w:rsid w:val="00B9038D"/>
    <w:rsid w:val="00B9042E"/>
    <w:rsid w:val="00BA062A"/>
    <w:rsid w:val="00BA6115"/>
    <w:rsid w:val="00BC0C6F"/>
    <w:rsid w:val="00BC3FA0"/>
    <w:rsid w:val="00BC74E9"/>
    <w:rsid w:val="00BD186E"/>
    <w:rsid w:val="00BE0515"/>
    <w:rsid w:val="00BF68A8"/>
    <w:rsid w:val="00C0563C"/>
    <w:rsid w:val="00C11A03"/>
    <w:rsid w:val="00C22C0C"/>
    <w:rsid w:val="00C22C95"/>
    <w:rsid w:val="00C27336"/>
    <w:rsid w:val="00C4527F"/>
    <w:rsid w:val="00C463DD"/>
    <w:rsid w:val="00C468E4"/>
    <w:rsid w:val="00C4724C"/>
    <w:rsid w:val="00C629A0"/>
    <w:rsid w:val="00C64629"/>
    <w:rsid w:val="00C745C3"/>
    <w:rsid w:val="00C74773"/>
    <w:rsid w:val="00C86220"/>
    <w:rsid w:val="00CB3E03"/>
    <w:rsid w:val="00CC0B95"/>
    <w:rsid w:val="00CC7B82"/>
    <w:rsid w:val="00CE0C77"/>
    <w:rsid w:val="00CE4A8F"/>
    <w:rsid w:val="00CF49FD"/>
    <w:rsid w:val="00D02AF5"/>
    <w:rsid w:val="00D07DB9"/>
    <w:rsid w:val="00D2031B"/>
    <w:rsid w:val="00D25FE2"/>
    <w:rsid w:val="00D43252"/>
    <w:rsid w:val="00D47EEA"/>
    <w:rsid w:val="00D6286A"/>
    <w:rsid w:val="00D773DF"/>
    <w:rsid w:val="00D77865"/>
    <w:rsid w:val="00D82D01"/>
    <w:rsid w:val="00D94296"/>
    <w:rsid w:val="00D95303"/>
    <w:rsid w:val="00D978C6"/>
    <w:rsid w:val="00DA3C1C"/>
    <w:rsid w:val="00DA4986"/>
    <w:rsid w:val="00DB5E7F"/>
    <w:rsid w:val="00DD0A3E"/>
    <w:rsid w:val="00DE40E0"/>
    <w:rsid w:val="00DE7E52"/>
    <w:rsid w:val="00DF05DE"/>
    <w:rsid w:val="00E037F0"/>
    <w:rsid w:val="00E046DF"/>
    <w:rsid w:val="00E132FB"/>
    <w:rsid w:val="00E17F13"/>
    <w:rsid w:val="00E2335F"/>
    <w:rsid w:val="00E27346"/>
    <w:rsid w:val="00E327E2"/>
    <w:rsid w:val="00E359A5"/>
    <w:rsid w:val="00E557A2"/>
    <w:rsid w:val="00E71BC8"/>
    <w:rsid w:val="00E7260F"/>
    <w:rsid w:val="00E73F5D"/>
    <w:rsid w:val="00E77E4E"/>
    <w:rsid w:val="00E96630"/>
    <w:rsid w:val="00EB701E"/>
    <w:rsid w:val="00EC012D"/>
    <w:rsid w:val="00ED41D7"/>
    <w:rsid w:val="00ED7A2A"/>
    <w:rsid w:val="00EE05DF"/>
    <w:rsid w:val="00EE2B2E"/>
    <w:rsid w:val="00EF1D7F"/>
    <w:rsid w:val="00F13FB9"/>
    <w:rsid w:val="00F30062"/>
    <w:rsid w:val="00F31E5F"/>
    <w:rsid w:val="00F44B02"/>
    <w:rsid w:val="00F563C7"/>
    <w:rsid w:val="00F6100A"/>
    <w:rsid w:val="00F7169C"/>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33208229"/>
  <w15:docId w15:val="{62555D39-65A1-4ACB-B882-DAD55B7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C2BE-4019-4289-A1B0-50DF6736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5</cp:revision>
  <cp:lastPrinted>2017-08-11T14:13:00Z</cp:lastPrinted>
  <dcterms:created xsi:type="dcterms:W3CDTF">2017-08-11T14:09:00Z</dcterms:created>
  <dcterms:modified xsi:type="dcterms:W3CDTF">2017-08-23T13:42:00Z</dcterms:modified>
</cp:coreProperties>
</file>