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244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244FE" w:rsidP="009244FE">
            <w:pPr>
              <w:jc w:val="right"/>
            </w:pPr>
            <w:r w:rsidRPr="009244FE">
              <w:rPr>
                <w:sz w:val="40"/>
              </w:rPr>
              <w:t>ECE</w:t>
            </w:r>
            <w:r>
              <w:t>/TRANS/WP.15/2017/14</w:t>
            </w:r>
          </w:p>
        </w:tc>
      </w:tr>
      <w:tr w:rsidR="002D5AAC" w:rsidRPr="009244F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244F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244FE" w:rsidRDefault="009244FE" w:rsidP="009244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July 2017</w:t>
            </w:r>
          </w:p>
          <w:p w:rsidR="009244FE" w:rsidRDefault="009244FE" w:rsidP="009244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244FE" w:rsidRPr="008D53B6" w:rsidRDefault="009244FE" w:rsidP="009244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244FE" w:rsidRPr="003D27E4" w:rsidRDefault="009244FE" w:rsidP="009244FE">
      <w:pPr>
        <w:spacing w:before="120"/>
        <w:rPr>
          <w:sz w:val="28"/>
          <w:szCs w:val="28"/>
        </w:rPr>
      </w:pPr>
      <w:r w:rsidRPr="003D27E4">
        <w:rPr>
          <w:sz w:val="28"/>
          <w:szCs w:val="28"/>
        </w:rPr>
        <w:t>Комитет по внутреннему транспорту</w:t>
      </w:r>
    </w:p>
    <w:p w:rsidR="009244FE" w:rsidRPr="003D27E4" w:rsidRDefault="009244FE" w:rsidP="009244FE">
      <w:pPr>
        <w:spacing w:before="120"/>
        <w:rPr>
          <w:b/>
          <w:bCs/>
          <w:sz w:val="24"/>
          <w:szCs w:val="24"/>
        </w:rPr>
      </w:pPr>
      <w:r w:rsidRPr="003D27E4">
        <w:rPr>
          <w:b/>
          <w:bCs/>
          <w:sz w:val="24"/>
          <w:szCs w:val="24"/>
        </w:rPr>
        <w:t>Рабочая группа по перевозкам опасных грузов</w:t>
      </w:r>
    </w:p>
    <w:p w:rsidR="009244FE" w:rsidRPr="00880BBF" w:rsidRDefault="009244FE" w:rsidP="009244FE">
      <w:pPr>
        <w:spacing w:before="120"/>
      </w:pPr>
      <w:r w:rsidRPr="00D1688E">
        <w:rPr>
          <w:b/>
          <w:bCs/>
        </w:rPr>
        <w:t>10</w:t>
      </w:r>
      <w:r>
        <w:rPr>
          <w:b/>
          <w:bCs/>
        </w:rPr>
        <w:t>3</w:t>
      </w:r>
      <w:r w:rsidRPr="00D1688E">
        <w:rPr>
          <w:b/>
          <w:bCs/>
        </w:rPr>
        <w:t>-я сессия</w:t>
      </w:r>
      <w:r w:rsidRPr="00D1688E">
        <w:rPr>
          <w:b/>
          <w:bCs/>
        </w:rPr>
        <w:br/>
      </w:r>
      <w:r w:rsidRPr="00D1688E">
        <w:t xml:space="preserve">Женева, </w:t>
      </w:r>
      <w:r>
        <w:t>6</w:t>
      </w:r>
      <w:r w:rsidR="00880087">
        <w:t>–</w:t>
      </w:r>
      <w:r>
        <w:t>10 ноября</w:t>
      </w:r>
      <w:r w:rsidRPr="00D1688E">
        <w:t xml:space="preserve"> 2017 года</w:t>
      </w:r>
      <w:r w:rsidRPr="00D1688E">
        <w:br/>
      </w:r>
      <w:r w:rsidRPr="00880BBF">
        <w:t xml:space="preserve">Пункт 5 </w:t>
      </w:r>
      <w:r>
        <w:rPr>
          <w:lang w:val="en-US"/>
        </w:rPr>
        <w:t>a</w:t>
      </w:r>
      <w:r w:rsidRPr="00880BBF">
        <w:t>) предварительной повестки дня</w:t>
      </w:r>
    </w:p>
    <w:p w:rsidR="00E12C5F" w:rsidRPr="009244FE" w:rsidRDefault="009244FE" w:rsidP="009244FE">
      <w:r w:rsidRPr="00880BBF">
        <w:rPr>
          <w:b/>
          <w:bCs/>
        </w:rPr>
        <w:t xml:space="preserve">Предложения о внесении поправок в приложения А и В </w:t>
      </w:r>
      <w:r w:rsidRPr="00152E10">
        <w:rPr>
          <w:b/>
          <w:bCs/>
        </w:rPr>
        <w:br/>
      </w:r>
      <w:r w:rsidRPr="00880BBF">
        <w:rPr>
          <w:b/>
          <w:bCs/>
        </w:rPr>
        <w:t>к ДОПОГ:</w:t>
      </w:r>
      <w:r w:rsidRPr="00B53EB8">
        <w:rPr>
          <w:b/>
          <w:bCs/>
        </w:rPr>
        <w:t xml:space="preserve"> </w:t>
      </w:r>
      <w:r w:rsidRPr="00880BBF">
        <w:rPr>
          <w:b/>
        </w:rPr>
        <w:t xml:space="preserve">конструкция и допущение к перевозке </w:t>
      </w:r>
      <w:r w:rsidRPr="00152E10">
        <w:rPr>
          <w:b/>
        </w:rPr>
        <w:br/>
      </w:r>
      <w:r w:rsidRPr="00880BBF">
        <w:rPr>
          <w:b/>
        </w:rPr>
        <w:t>транспортных средств</w:t>
      </w:r>
    </w:p>
    <w:p w:rsidR="009244FE" w:rsidRPr="009244FE" w:rsidRDefault="009244FE" w:rsidP="009244FE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9244FE">
        <w:t xml:space="preserve">Транспортные средства, отвечающие требованию пункта </w:t>
      </w:r>
      <w:r w:rsidRPr="009244FE">
        <w:rPr>
          <w:bCs/>
        </w:rPr>
        <w:t>9.2.2.2.2 в отношении дополнительной защиты</w:t>
      </w:r>
      <w:bookmarkStart w:id="1" w:name="OLE_LINK3"/>
      <w:bookmarkStart w:id="2" w:name="OLE_LINK4"/>
      <w:bookmarkEnd w:id="1"/>
      <w:bookmarkEnd w:id="2"/>
    </w:p>
    <w:p w:rsidR="009244FE" w:rsidRPr="009244FE" w:rsidRDefault="009244FE" w:rsidP="009244FE">
      <w:pPr>
        <w:pStyle w:val="H1GR"/>
      </w:pPr>
      <w:r w:rsidRPr="009244FE">
        <w:tab/>
      </w:r>
      <w:r w:rsidRPr="009244FE">
        <w:tab/>
        <w:t>Передано правительством Швейцарии</w:t>
      </w:r>
      <w:r w:rsidRPr="009244F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9244FE" w:rsidRPr="009244FE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9244FE" w:rsidRPr="009244FE" w:rsidRDefault="009244F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244FE">
              <w:rPr>
                <w:rFonts w:cs="Times New Roman"/>
              </w:rPr>
              <w:tab/>
            </w:r>
            <w:r w:rsidRPr="009244F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244FE" w:rsidRPr="009244FE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244FE" w:rsidRPr="009244FE" w:rsidRDefault="009244FE" w:rsidP="009244FE">
            <w:pPr>
              <w:pStyle w:val="SingleTxtGR"/>
              <w:tabs>
                <w:tab w:val="left" w:pos="3693"/>
              </w:tabs>
              <w:ind w:left="3693" w:hanging="2559"/>
            </w:pPr>
            <w:r w:rsidRPr="009244FE">
              <w:rPr>
                <w:b/>
              </w:rPr>
              <w:t>Существо предложения:</w:t>
            </w:r>
            <w:r w:rsidRPr="009244FE">
              <w:tab/>
              <w:t>Привести сферу применения для транспортных средств, которые охватываются текстом пунк-</w:t>
            </w:r>
            <w:r w:rsidRPr="009244FE">
              <w:br/>
              <w:t xml:space="preserve">та 9.2.2.2.2, в соответствие со сферой применения таблицы, содержащейся в пункте </w:t>
            </w:r>
            <w:r w:rsidRPr="009244FE">
              <w:rPr>
                <w:bCs/>
              </w:rPr>
              <w:t>9.2.1.1.</w:t>
            </w:r>
          </w:p>
        </w:tc>
      </w:tr>
      <w:tr w:rsidR="009244FE" w:rsidRPr="009244FE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244FE" w:rsidRPr="009244FE" w:rsidRDefault="009244FE" w:rsidP="009244FE">
            <w:pPr>
              <w:pStyle w:val="SingleTxtGR"/>
              <w:tabs>
                <w:tab w:val="left" w:pos="3693"/>
              </w:tabs>
              <w:ind w:left="3693" w:hanging="2559"/>
            </w:pPr>
            <w:r w:rsidRPr="009244FE">
              <w:rPr>
                <w:b/>
              </w:rPr>
              <w:t>Предлагаемое решение:</w:t>
            </w:r>
            <w:r w:rsidRPr="009244FE">
              <w:tab/>
              <w:t xml:space="preserve">Заменить в пункте </w:t>
            </w:r>
            <w:r w:rsidRPr="009244FE">
              <w:rPr>
                <w:bCs/>
              </w:rPr>
              <w:t>9.2.2.2.2 термин «автофургон»</w:t>
            </w:r>
            <w:r w:rsidRPr="009244FE">
              <w:t xml:space="preserve"> термином «</w:t>
            </w:r>
            <w:r w:rsidRPr="009244FE">
              <w:rPr>
                <w:lang w:bidi="ru-RU"/>
              </w:rPr>
              <w:t xml:space="preserve">грузовые автомобили </w:t>
            </w:r>
            <w:r w:rsidRPr="009244FE">
              <w:t>с несущим кузовом коробчатого типа».</w:t>
            </w:r>
          </w:p>
        </w:tc>
      </w:tr>
      <w:tr w:rsidR="009244FE" w:rsidRPr="009244FE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9244FE" w:rsidRPr="009244FE" w:rsidRDefault="009244FE" w:rsidP="00850215">
            <w:pPr>
              <w:rPr>
                <w:rFonts w:cs="Times New Roman"/>
              </w:rPr>
            </w:pPr>
          </w:p>
        </w:tc>
      </w:tr>
    </w:tbl>
    <w:p w:rsidR="009244FE" w:rsidRPr="009244FE" w:rsidRDefault="009244FE" w:rsidP="009244FE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9244FE">
        <w:t>Введение</w:t>
      </w:r>
    </w:p>
    <w:p w:rsidR="009244FE" w:rsidRPr="009244FE" w:rsidRDefault="009244FE" w:rsidP="009244FE">
      <w:pPr>
        <w:pStyle w:val="SingleTxtGR"/>
      </w:pPr>
      <w:r w:rsidRPr="009244FE">
        <w:t>1.</w:t>
      </w:r>
      <w:r w:rsidRPr="009244FE">
        <w:tab/>
        <w:t>В последнем абзаце пункта 9.2.2.2.2 «</w:t>
      </w:r>
      <w:r w:rsidRPr="009244FE">
        <w:rPr>
          <w:iCs/>
          <w:lang w:bidi="ru-RU"/>
        </w:rPr>
        <w:t>Дополнительная защита»</w:t>
      </w:r>
      <w:r w:rsidRPr="009244FE">
        <w:t xml:space="preserve"> используется термин «автофургоны». В соответствии с таблицей пункта 9.2.1.1 данный термин в контексте пункта 9.2.2.2.2 может применяться только к транспортным средствам </w:t>
      </w:r>
      <w:r w:rsidRPr="009244FE">
        <w:rPr>
          <w:lang w:val="fr-CH"/>
        </w:rPr>
        <w:t>EX</w:t>
      </w:r>
      <w:r w:rsidRPr="009244FE">
        <w:t>/</w:t>
      </w:r>
      <w:r w:rsidRPr="009244FE">
        <w:rPr>
          <w:lang w:val="fr-CH"/>
        </w:rPr>
        <w:t>II</w:t>
      </w:r>
      <w:r w:rsidRPr="009244FE">
        <w:t xml:space="preserve"> и </w:t>
      </w:r>
      <w:r w:rsidRPr="009244FE">
        <w:rPr>
          <w:lang w:val="fr-CH"/>
        </w:rPr>
        <w:t>EX</w:t>
      </w:r>
      <w:r w:rsidRPr="009244FE">
        <w:t>/</w:t>
      </w:r>
      <w:r w:rsidRPr="009244FE">
        <w:rPr>
          <w:lang w:val="fr-CH"/>
        </w:rPr>
        <w:t>III</w:t>
      </w:r>
      <w:r w:rsidRPr="009244FE">
        <w:t>, поскольку остальные транспортные средства являются автоцистернами. Согласно замечанию «</w:t>
      </w:r>
      <w:r w:rsidRPr="009244FE">
        <w:rPr>
          <w:lang w:val="fr-CH"/>
        </w:rPr>
        <w:t>a</w:t>
      </w:r>
      <w:r w:rsidRPr="009244FE">
        <w:t>», приведенному в последней колонке таблицы пункта 9.2.1.1, пункт 9.2.2.2.2 применим только</w:t>
      </w:r>
      <w:r w:rsidRPr="009244FE">
        <w:rPr>
          <w:lang w:bidi="ru-RU"/>
        </w:rPr>
        <w:t xml:space="preserve"> к транспортным средствам максимальной массой более 3,5 т</w:t>
      </w:r>
      <w:r w:rsidR="001C2DEC">
        <w:rPr>
          <w:lang w:bidi="ru-RU"/>
        </w:rPr>
        <w:t>онн</w:t>
      </w:r>
      <w:r w:rsidRPr="009244FE">
        <w:t>. Масса «автофургонов» не пре</w:t>
      </w:r>
      <w:r w:rsidRPr="009244FE">
        <w:lastRenderedPageBreak/>
        <w:t>вышает указанного значения, и в силу этого на них не распространяется положение последнего абзаца пункта 9.2.2.2.2.</w:t>
      </w:r>
    </w:p>
    <w:p w:rsidR="009244FE" w:rsidRPr="009244FE" w:rsidRDefault="009244FE" w:rsidP="009244FE">
      <w:pPr>
        <w:pStyle w:val="SingleTxtGR"/>
      </w:pPr>
      <w:r w:rsidRPr="009244FE">
        <w:t>2.</w:t>
      </w:r>
      <w:r w:rsidRPr="009244FE">
        <w:tab/>
        <w:t>Данное положение должно распространяться на транспортные средства большой грузоподъемности или грузовые автомобили с несущим кузовом коробчатого типа, а не на автофургоны.</w:t>
      </w:r>
    </w:p>
    <w:p w:rsidR="009244FE" w:rsidRPr="009244FE" w:rsidRDefault="001C2DEC" w:rsidP="001C2DE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9244FE" w:rsidRPr="009244FE">
        <w:t>Предложение</w:t>
      </w:r>
    </w:p>
    <w:p w:rsidR="009244FE" w:rsidRPr="009244FE" w:rsidRDefault="009244FE" w:rsidP="009244FE">
      <w:pPr>
        <w:pStyle w:val="SingleTxtGR"/>
      </w:pPr>
      <w:r w:rsidRPr="009244FE">
        <w:t>3.</w:t>
      </w:r>
      <w:r w:rsidRPr="009244FE">
        <w:tab/>
        <w:t>Изменить последний абзац пункта 9.2.2.2.2 следующим образом (добавленный текст выделен жирным шрифтом и подчеркнут, а исключенный текст зачеркнут):</w:t>
      </w:r>
    </w:p>
    <w:p w:rsidR="009244FE" w:rsidRPr="009244FE" w:rsidRDefault="009244FE" w:rsidP="009244FE">
      <w:pPr>
        <w:pStyle w:val="SingleTxtGR"/>
      </w:pPr>
      <w:r w:rsidRPr="009244FE">
        <w:rPr>
          <w:lang w:bidi="ru-RU"/>
        </w:rPr>
        <w:t xml:space="preserve">«Считается, что транспортные средства ЕХ/II, </w:t>
      </w:r>
      <w:r w:rsidRPr="009244FE">
        <w:t>являющиеся построенными за один этап</w:t>
      </w:r>
      <w:r w:rsidRPr="009244FE">
        <w:rPr>
          <w:lang w:bidi="ru-RU"/>
        </w:rPr>
        <w:t xml:space="preserve"> </w:t>
      </w:r>
      <w:r w:rsidRPr="009244FE">
        <w:rPr>
          <w:b/>
          <w:u w:val="single"/>
          <w:lang w:bidi="ru-RU"/>
        </w:rPr>
        <w:t>грузовыми автомобилями с</w:t>
      </w:r>
      <w:r w:rsidRPr="009244FE">
        <w:rPr>
          <w:b/>
          <w:u w:val="single"/>
        </w:rPr>
        <w:t xml:space="preserve"> несущим кузовом коробчатого типа</w:t>
      </w:r>
      <w:r w:rsidRPr="009244FE">
        <w:rPr>
          <w:b/>
          <w:u w:val="single"/>
          <w:lang w:bidi="ru-RU"/>
        </w:rPr>
        <w:t xml:space="preserve"> </w:t>
      </w:r>
      <w:r w:rsidRPr="001C2DEC">
        <w:rPr>
          <w:strike/>
          <w:lang w:bidi="ru-RU"/>
        </w:rPr>
        <w:t>автофургонами</w:t>
      </w:r>
      <w:r w:rsidRPr="009244FE">
        <w:rPr>
          <w:lang w:bidi="ru-RU"/>
        </w:rPr>
        <w:t>, в которых электропроводка, расположенная позади кабины водителя, защищена кузовом, отвечают данному требованию.».</w:t>
      </w:r>
    </w:p>
    <w:p w:rsidR="009244FE" w:rsidRPr="001C2DEC" w:rsidRDefault="001C2DEC" w:rsidP="001C2DE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244FE" w:rsidRPr="001C2DEC" w:rsidSect="009244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73" w:rsidRPr="00A312BC" w:rsidRDefault="002D0C73" w:rsidP="00A312BC"/>
  </w:endnote>
  <w:endnote w:type="continuationSeparator" w:id="0">
    <w:p w:rsidR="002D0C73" w:rsidRPr="00A312BC" w:rsidRDefault="002D0C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FE" w:rsidRPr="009244FE" w:rsidRDefault="009244FE">
    <w:pPr>
      <w:pStyle w:val="Footer"/>
    </w:pPr>
    <w:r w:rsidRPr="009244FE">
      <w:rPr>
        <w:b/>
        <w:sz w:val="18"/>
      </w:rPr>
      <w:fldChar w:fldCharType="begin"/>
    </w:r>
    <w:r w:rsidRPr="009244FE">
      <w:rPr>
        <w:b/>
        <w:sz w:val="18"/>
      </w:rPr>
      <w:instrText xml:space="preserve"> PAGE  \* MERGEFORMAT </w:instrText>
    </w:r>
    <w:r w:rsidRPr="009244FE">
      <w:rPr>
        <w:b/>
        <w:sz w:val="18"/>
      </w:rPr>
      <w:fldChar w:fldCharType="separate"/>
    </w:r>
    <w:r w:rsidR="00EC498A">
      <w:rPr>
        <w:b/>
        <w:noProof/>
        <w:sz w:val="18"/>
      </w:rPr>
      <w:t>2</w:t>
    </w:r>
    <w:r w:rsidRPr="009244FE">
      <w:rPr>
        <w:b/>
        <w:sz w:val="18"/>
      </w:rPr>
      <w:fldChar w:fldCharType="end"/>
    </w:r>
    <w:r>
      <w:rPr>
        <w:b/>
        <w:sz w:val="18"/>
      </w:rPr>
      <w:tab/>
    </w:r>
    <w:r>
      <w:t>GE.17-12928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FE" w:rsidRPr="009244FE" w:rsidRDefault="009244FE" w:rsidP="009244FE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GE.17-12928</w:t>
    </w:r>
    <w:r>
      <w:tab/>
    </w:r>
    <w:r w:rsidRPr="009244FE">
      <w:rPr>
        <w:b/>
        <w:sz w:val="18"/>
      </w:rPr>
      <w:fldChar w:fldCharType="begin"/>
    </w:r>
    <w:r w:rsidRPr="009244FE">
      <w:rPr>
        <w:b/>
        <w:sz w:val="18"/>
      </w:rPr>
      <w:instrText xml:space="preserve"> PAGE  \* MERGEFORMAT </w:instrText>
    </w:r>
    <w:r w:rsidRPr="009244F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244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244FE" w:rsidRDefault="009244FE" w:rsidP="009244FE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685D074" wp14:editId="369ADDD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17-12928  (R)</w:t>
    </w:r>
    <w:r w:rsidR="001C2DEC">
      <w:rPr>
        <w:lang w:val="en-US"/>
      </w:rPr>
      <w:t xml:space="preserve">  150917  150917</w:t>
    </w:r>
    <w:r>
      <w:br/>
    </w:r>
    <w:r w:rsidRPr="009244FE">
      <w:rPr>
        <w:rFonts w:ascii="C39T30Lfz" w:hAnsi="C39T30Lfz"/>
        <w:spacing w:val="0"/>
        <w:w w:val="100"/>
        <w:sz w:val="56"/>
      </w:rPr>
      <w:t></w:t>
    </w:r>
    <w:r w:rsidRPr="009244FE">
      <w:rPr>
        <w:rFonts w:ascii="C39T30Lfz" w:hAnsi="C39T30Lfz"/>
        <w:spacing w:val="0"/>
        <w:w w:val="100"/>
        <w:sz w:val="56"/>
      </w:rPr>
      <w:t></w:t>
    </w:r>
    <w:r w:rsidRPr="009244FE">
      <w:rPr>
        <w:rFonts w:ascii="C39T30Lfz" w:hAnsi="C39T30Lfz"/>
        <w:spacing w:val="0"/>
        <w:w w:val="100"/>
        <w:sz w:val="56"/>
      </w:rPr>
      <w:t></w:t>
    </w:r>
    <w:r w:rsidRPr="009244FE">
      <w:rPr>
        <w:rFonts w:ascii="C39T30Lfz" w:hAnsi="C39T30Lfz"/>
        <w:spacing w:val="0"/>
        <w:w w:val="100"/>
        <w:sz w:val="56"/>
      </w:rPr>
      <w:t></w:t>
    </w:r>
    <w:r w:rsidRPr="009244FE">
      <w:rPr>
        <w:rFonts w:ascii="C39T30Lfz" w:hAnsi="C39T30Lfz"/>
        <w:spacing w:val="0"/>
        <w:w w:val="100"/>
        <w:sz w:val="56"/>
      </w:rPr>
      <w:t></w:t>
    </w:r>
    <w:r w:rsidRPr="009244FE">
      <w:rPr>
        <w:rFonts w:ascii="C39T30Lfz" w:hAnsi="C39T30Lfz"/>
        <w:spacing w:val="0"/>
        <w:w w:val="100"/>
        <w:sz w:val="56"/>
      </w:rPr>
      <w:t></w:t>
    </w:r>
    <w:r w:rsidRPr="009244FE">
      <w:rPr>
        <w:rFonts w:ascii="C39T30Lfz" w:hAnsi="C39T30Lfz"/>
        <w:spacing w:val="0"/>
        <w:w w:val="100"/>
        <w:sz w:val="56"/>
      </w:rPr>
      <w:t></w:t>
    </w:r>
    <w:r w:rsidRPr="009244FE">
      <w:rPr>
        <w:rFonts w:ascii="C39T30Lfz" w:hAnsi="C39T30Lfz"/>
        <w:spacing w:val="0"/>
        <w:w w:val="100"/>
        <w:sz w:val="56"/>
      </w:rPr>
      <w:t></w:t>
    </w:r>
    <w:r w:rsidRPr="009244F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2017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7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73" w:rsidRPr="001075E9" w:rsidRDefault="002D0C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D0C73" w:rsidRDefault="002D0C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244FE" w:rsidRPr="009244FE" w:rsidRDefault="009244FE">
      <w:pPr>
        <w:pStyle w:val="FootnoteText"/>
        <w:rPr>
          <w:sz w:val="20"/>
          <w:lang w:val="ru-RU"/>
        </w:rPr>
      </w:pPr>
      <w:r>
        <w:tab/>
      </w:r>
      <w:r w:rsidRPr="009244FE">
        <w:rPr>
          <w:rStyle w:val="FootnoteReference"/>
          <w:sz w:val="20"/>
          <w:vertAlign w:val="baseline"/>
          <w:lang w:val="ru-RU"/>
        </w:rPr>
        <w:t>*</w:t>
      </w:r>
      <w:r w:rsidRPr="009244FE">
        <w:rPr>
          <w:rStyle w:val="FootnoteReference"/>
          <w:vertAlign w:val="baseline"/>
          <w:lang w:val="ru-RU"/>
        </w:rPr>
        <w:tab/>
      </w:r>
      <w:r w:rsidRPr="009244FE">
        <w:rPr>
          <w:lang w:val="ru-RU"/>
        </w:rPr>
        <w:t>В соответствии с программой работы Комитета по внутреннему транспорту на 2016−2017 годы (ECE/TRANS/2016/28/Add.1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FE" w:rsidRPr="009244FE" w:rsidRDefault="00EC498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20303">
      <w:t>ECE/TRANS/WP.15/2017/14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FE" w:rsidRPr="009244FE" w:rsidRDefault="00EC498A" w:rsidP="009244F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20303">
      <w:t>ECE/TRANS/WP.15/2017/14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7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2DEC"/>
    <w:rsid w:val="001C7A89"/>
    <w:rsid w:val="00255343"/>
    <w:rsid w:val="0027151D"/>
    <w:rsid w:val="002A2EFC"/>
    <w:rsid w:val="002B0106"/>
    <w:rsid w:val="002B74B1"/>
    <w:rsid w:val="002C0E18"/>
    <w:rsid w:val="002D0C7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6D84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0087"/>
    <w:rsid w:val="00894693"/>
    <w:rsid w:val="008A08D7"/>
    <w:rsid w:val="008A37C8"/>
    <w:rsid w:val="008B6909"/>
    <w:rsid w:val="008D53B6"/>
    <w:rsid w:val="008F7609"/>
    <w:rsid w:val="00906890"/>
    <w:rsid w:val="00911BE4"/>
    <w:rsid w:val="009244FE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20303"/>
    <w:rsid w:val="00E56DF7"/>
    <w:rsid w:val="00E73F76"/>
    <w:rsid w:val="00EA2C9F"/>
    <w:rsid w:val="00EA420E"/>
    <w:rsid w:val="00EC498A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F38333-8E6F-4E7E-852A-EA990A0F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ECE/TRANS/WP.15/2017/14</vt:lpstr>
      <vt:lpstr>ECE/TRANS/WP.15/2017/14</vt:lpstr>
      <vt:lpstr>A/</vt:lpstr>
    </vt:vector>
  </TitlesOfParts>
  <Company>DCM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ECE/TRANS/WP.15/2017/14</dc:title>
  <dc:subject/>
  <dc:creator>Marina Korotkova</dc:creator>
  <cp:keywords/>
  <cp:lastModifiedBy>Christine Barrio-Champeau</cp:lastModifiedBy>
  <cp:revision>2</cp:revision>
  <cp:lastPrinted>2017-09-15T09:28:00Z</cp:lastPrinted>
  <dcterms:created xsi:type="dcterms:W3CDTF">2017-09-20T11:22:00Z</dcterms:created>
  <dcterms:modified xsi:type="dcterms:W3CDTF">2017-09-20T11:22:00Z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