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5453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5453C" w:rsidP="0015453C">
            <w:pPr>
              <w:jc w:val="right"/>
            </w:pPr>
            <w:r w:rsidRPr="0015453C">
              <w:rPr>
                <w:sz w:val="40"/>
              </w:rPr>
              <w:t>ECE</w:t>
            </w:r>
            <w:r>
              <w:t>/TRANS/WP.15/2017/7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5453C" w:rsidP="00C97039">
            <w:pPr>
              <w:spacing w:before="240"/>
            </w:pPr>
            <w:r>
              <w:t>Distr. générale</w:t>
            </w:r>
          </w:p>
          <w:p w:rsidR="0015453C" w:rsidRDefault="0015453C" w:rsidP="0015453C">
            <w:pPr>
              <w:spacing w:line="240" w:lineRule="exact"/>
            </w:pPr>
            <w:r>
              <w:t>20 février 2017</w:t>
            </w:r>
          </w:p>
          <w:p w:rsidR="0015453C" w:rsidRDefault="0015453C" w:rsidP="0015453C">
            <w:pPr>
              <w:spacing w:line="240" w:lineRule="exact"/>
            </w:pPr>
            <w:r>
              <w:t>Français</w:t>
            </w:r>
          </w:p>
          <w:p w:rsidR="0015453C" w:rsidRPr="00DB58B5" w:rsidRDefault="0015453C" w:rsidP="0015453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5453C" w:rsidRPr="009E01B8" w:rsidRDefault="0015453C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15453C" w:rsidRPr="00992778" w:rsidRDefault="0015453C" w:rsidP="00E85C74">
      <w:pPr>
        <w:spacing w:before="120"/>
        <w:rPr>
          <w:b/>
        </w:rPr>
      </w:pPr>
      <w:r>
        <w:rPr>
          <w:b/>
        </w:rPr>
        <w:t>102</w:t>
      </w:r>
      <w:r w:rsidRPr="0015453C">
        <w:rPr>
          <w:b/>
          <w:vertAlign w:val="superscript"/>
        </w:rPr>
        <w:t>e</w:t>
      </w:r>
      <w:r>
        <w:rPr>
          <w:b/>
        </w:rPr>
        <w:t> </w:t>
      </w:r>
      <w:r w:rsidRPr="00992778">
        <w:rPr>
          <w:b/>
        </w:rPr>
        <w:t>session</w:t>
      </w:r>
    </w:p>
    <w:p w:rsidR="0015453C" w:rsidRDefault="0015453C" w:rsidP="00E85C74">
      <w:r>
        <w:t xml:space="preserve">Genève, </w:t>
      </w:r>
      <w:r w:rsidRPr="0015453C">
        <w:t xml:space="preserve">8-12 mai 2017 </w:t>
      </w:r>
    </w:p>
    <w:p w:rsidR="0015453C" w:rsidRDefault="0015453C" w:rsidP="00E85C74">
      <w:r w:rsidRPr="00B93E72">
        <w:t xml:space="preserve">Point </w:t>
      </w:r>
      <w:r>
        <w:t xml:space="preserve">5 a) </w:t>
      </w:r>
      <w:r w:rsidRPr="00B93E72">
        <w:t>de l’ordre du jour provisoire</w:t>
      </w:r>
    </w:p>
    <w:p w:rsidR="0015453C" w:rsidRPr="0015453C" w:rsidRDefault="0015453C" w:rsidP="0015453C">
      <w:pPr>
        <w:rPr>
          <w:b/>
        </w:rPr>
      </w:pPr>
      <w:r w:rsidRPr="0015453C">
        <w:rPr>
          <w:b/>
        </w:rPr>
        <w:t>Propositions d’amendement aux annexes A et B de l’ADR</w:t>
      </w:r>
      <w:r>
        <w:rPr>
          <w:b/>
        </w:rPr>
        <w:t> </w:t>
      </w:r>
      <w:r w:rsidRPr="0015453C">
        <w:rPr>
          <w:b/>
        </w:rPr>
        <w:t>:</w:t>
      </w:r>
    </w:p>
    <w:p w:rsidR="00F9573C" w:rsidRDefault="0015453C" w:rsidP="0015453C">
      <w:pPr>
        <w:rPr>
          <w:b/>
        </w:rPr>
      </w:pPr>
      <w:r w:rsidRPr="0015453C">
        <w:rPr>
          <w:b/>
        </w:rPr>
        <w:t>Construction et agrément des véhicules</w:t>
      </w:r>
    </w:p>
    <w:p w:rsidR="0015453C" w:rsidRPr="0015453C" w:rsidRDefault="0015453C" w:rsidP="0015453C">
      <w:pPr>
        <w:pStyle w:val="HChG"/>
      </w:pPr>
      <w:r>
        <w:tab/>
      </w:r>
      <w:r>
        <w:tab/>
      </w:r>
      <w:r w:rsidRPr="0015453C">
        <w:t xml:space="preserve">Amendements à la section 9.7.3 de l’ADR </w:t>
      </w:r>
      <w:r>
        <w:br/>
      </w:r>
      <w:r w:rsidRPr="0015453C">
        <w:t>concernant les moyens de fixation</w:t>
      </w:r>
    </w:p>
    <w:p w:rsidR="0015453C" w:rsidRDefault="0015453C" w:rsidP="0015453C">
      <w:pPr>
        <w:pStyle w:val="H1G"/>
        <w:rPr>
          <w:b w:val="0"/>
          <w:sz w:val="20"/>
        </w:rPr>
      </w:pPr>
      <w:r w:rsidRPr="0015453C">
        <w:tab/>
      </w:r>
      <w:r w:rsidRPr="0015453C">
        <w:tab/>
        <w:t>Communication du Gouvernement de la Norvège</w:t>
      </w:r>
      <w:r w:rsidRPr="0015453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5453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453C" w:rsidRPr="000001E7" w:rsidRDefault="0015453C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15453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453C" w:rsidRDefault="0015453C" w:rsidP="0015453C">
            <w:pPr>
              <w:pStyle w:val="SingleTxtG"/>
              <w:ind w:left="3402" w:hanging="2268"/>
            </w:pPr>
            <w:r w:rsidRPr="0015453C">
              <w:rPr>
                <w:b/>
              </w:rPr>
              <w:t>Résumé analytique</w:t>
            </w:r>
            <w:r>
              <w:t> :</w:t>
            </w:r>
            <w:r w:rsidRPr="0015453C">
              <w:tab/>
              <w:t>La présente proposition vise à étendre aux véhicules transportant des conteneurs-citernes, aux citernes mobiles, et aux conteneurs à gaz à éléments multiples (CGEM) le champ d’application des prescriptions relatives aux moyens de fixation qui figurent</w:t>
            </w:r>
            <w:r w:rsidR="00C22EBB">
              <w:t xml:space="preserve"> </w:t>
            </w:r>
            <w:r w:rsidRPr="0015453C">
              <w:t xml:space="preserve">à la section 9.7.3 de l’ADR et sont déjà applicables aux véhicules-citernes, aux véhicules-batteries ainsi qu’aux véhicules porteurs de citernes démontables. En ce qui concerne les prescriptions relatives aux matériaux, trois possibilités différentes sont suggérées dans la proposition. En outre, le </w:t>
            </w:r>
            <w:r w:rsidR="00C22EBB">
              <w:t>paragraphe </w:t>
            </w:r>
            <w:r w:rsidRPr="0015453C">
              <w:t>7.5.7.4 de l’ADR a été modifié dans un souci de clarté, et une mesure transitoire applicable aux véhicules qui ne sont pas conformes aux nouvelles prescriptions</w:t>
            </w:r>
            <w:r w:rsidR="00C22EBB">
              <w:t xml:space="preserve"> de la section </w:t>
            </w:r>
            <w:r w:rsidRPr="0015453C">
              <w:t>9.7.3 est proposée.</w:t>
            </w:r>
          </w:p>
        </w:tc>
      </w:tr>
      <w:tr w:rsidR="0015453C" w:rsidTr="00F31FF9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15453C" w:rsidRDefault="00C22EBB" w:rsidP="00C22EBB">
            <w:pPr>
              <w:pStyle w:val="SingleTxtG"/>
              <w:ind w:left="3402" w:hanging="2268"/>
            </w:pPr>
            <w:r w:rsidRPr="00C22EBB">
              <w:rPr>
                <w:b/>
              </w:rPr>
              <w:t>Mesure à prendre</w:t>
            </w:r>
            <w:r>
              <w:rPr>
                <w:b/>
              </w:rPr>
              <w:t> </w:t>
            </w:r>
            <w:r>
              <w:t>:</w:t>
            </w:r>
            <w:r w:rsidRPr="00C22EBB">
              <w:tab/>
            </w:r>
            <w:r>
              <w:tab/>
            </w:r>
            <w:r w:rsidRPr="00C22EBB">
              <w:t>Modifier</w:t>
            </w:r>
            <w:r>
              <w:t xml:space="preserve"> </w:t>
            </w:r>
            <w:r w:rsidRPr="00C22EBB">
              <w:t>la section 9.7.3 et le paragraphe 7.5.7.4 de l’ADR et ajouter une nouvelle mesure transitoire.</w:t>
            </w:r>
          </w:p>
        </w:tc>
      </w:tr>
      <w:tr w:rsidR="0015453C" w:rsidTr="00F31FF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22EBB" w:rsidRDefault="00C22EBB" w:rsidP="00C22EBB">
            <w:pPr>
              <w:keepNext/>
              <w:keepLines/>
              <w:spacing w:line="240" w:lineRule="auto"/>
              <w:ind w:left="3402" w:right="1134" w:hanging="2268"/>
            </w:pPr>
            <w:r>
              <w:rPr>
                <w:b/>
                <w:szCs w:val="22"/>
              </w:rPr>
              <w:lastRenderedPageBreak/>
              <w:t>Documents de référence </w:t>
            </w:r>
            <w:r>
              <w:t>:</w:t>
            </w:r>
            <w:r>
              <w:rPr>
                <w:b/>
                <w:szCs w:val="22"/>
              </w:rPr>
              <w:tab/>
            </w:r>
            <w:r>
              <w:t>Document informel INF.17 de la 98</w:t>
            </w:r>
            <w:r>
              <w:rPr>
                <w:vertAlign w:val="superscript"/>
              </w:rPr>
              <w:t>e</w:t>
            </w:r>
            <w:r>
              <w:t xml:space="preserve"> session </w:t>
            </w:r>
            <w:r>
              <w:br/>
              <w:t>du Groupe de travail</w:t>
            </w:r>
          </w:p>
          <w:p w:rsidR="00C22EBB" w:rsidRDefault="00C22EBB" w:rsidP="00C22EBB">
            <w:pPr>
              <w:keepNext/>
              <w:keepLines/>
              <w:spacing w:line="240" w:lineRule="auto"/>
              <w:ind w:left="3402" w:right="1134" w:hanging="1"/>
            </w:pPr>
            <w:r>
              <w:t>ECE/TRANS/WP.15/AC.1/2015/39 (Norvège)</w:t>
            </w:r>
          </w:p>
          <w:p w:rsidR="00C22EBB" w:rsidRDefault="00C22EBB" w:rsidP="00C22EBB">
            <w:pPr>
              <w:keepNext/>
              <w:keepLines/>
              <w:spacing w:line="240" w:lineRule="auto"/>
              <w:ind w:left="3402" w:right="1134" w:hanging="1"/>
            </w:pPr>
            <w:r>
              <w:t>ECE/TRANS/WP.15/AC.1/140/Add.2, par. 18 à 25</w:t>
            </w:r>
          </w:p>
          <w:p w:rsidR="00C22EBB" w:rsidRDefault="00C22EBB" w:rsidP="00C22EBB">
            <w:pPr>
              <w:keepNext/>
              <w:keepLines/>
              <w:spacing w:line="240" w:lineRule="auto"/>
              <w:ind w:left="3402" w:right="1134" w:hanging="1"/>
            </w:pPr>
            <w:r>
              <w:t>ECE/TRANS/WP.15/AC.1/2016/11 (Norvège)</w:t>
            </w:r>
          </w:p>
          <w:p w:rsidR="00C22EBB" w:rsidRDefault="00C22EBB" w:rsidP="00C22EBB">
            <w:pPr>
              <w:keepNext/>
              <w:keepLines/>
              <w:spacing w:line="240" w:lineRule="auto"/>
              <w:ind w:left="3402" w:right="1134" w:hanging="1"/>
            </w:pPr>
            <w:r>
              <w:t>ECE/TRANS/WP. 15/AC. 1/142/Add.1, par. 6 à 11</w:t>
            </w:r>
          </w:p>
          <w:p w:rsidR="00C22EBB" w:rsidRDefault="00C22EBB" w:rsidP="00C22EBB">
            <w:pPr>
              <w:keepNext/>
              <w:keepLines/>
              <w:spacing w:line="240" w:lineRule="auto"/>
              <w:ind w:left="3402" w:right="1134" w:hanging="1"/>
            </w:pPr>
            <w:r>
              <w:tab/>
            </w:r>
            <w:r>
              <w:tab/>
              <w:t>Document informel INF.27 de la 100</w:t>
            </w:r>
            <w:r>
              <w:rPr>
                <w:vertAlign w:val="superscript"/>
              </w:rPr>
              <w:t>e</w:t>
            </w:r>
            <w:r w:rsidR="00827D35">
              <w:t> </w:t>
            </w:r>
            <w:r>
              <w:t xml:space="preserve">session </w:t>
            </w:r>
            <w:r>
              <w:br/>
              <w:t>du Groupe de travail</w:t>
            </w:r>
          </w:p>
          <w:p w:rsidR="00C22EBB" w:rsidRDefault="00C22EBB" w:rsidP="00C22EBB">
            <w:pPr>
              <w:keepNext/>
              <w:keepLines/>
              <w:spacing w:line="240" w:lineRule="auto"/>
              <w:ind w:left="3402" w:right="1134" w:hanging="1"/>
            </w:pPr>
            <w:r>
              <w:tab/>
            </w:r>
            <w:r>
              <w:tab/>
              <w:t>ECE/TRANS/WP.15/2016/19</w:t>
            </w:r>
          </w:p>
          <w:p w:rsidR="00C22EBB" w:rsidRDefault="00C22EBB" w:rsidP="00C22EBB">
            <w:pPr>
              <w:keepNext/>
              <w:keepLines/>
              <w:spacing w:line="240" w:lineRule="auto"/>
              <w:ind w:left="3402" w:right="1134" w:hanging="1"/>
            </w:pPr>
            <w:r>
              <w:t>Document informel INF.17 de la 101</w:t>
            </w:r>
            <w:r>
              <w:rPr>
                <w:vertAlign w:val="superscript"/>
              </w:rPr>
              <w:t>e</w:t>
            </w:r>
            <w:r>
              <w:t xml:space="preserve"> session </w:t>
            </w:r>
            <w:r>
              <w:br/>
              <w:t>du Groupe de travail</w:t>
            </w:r>
          </w:p>
          <w:p w:rsidR="0015453C" w:rsidRDefault="00C22EBB" w:rsidP="00C22EBB">
            <w:pPr>
              <w:keepNext/>
              <w:keepLines/>
              <w:spacing w:line="240" w:lineRule="auto"/>
              <w:ind w:left="3402" w:right="1134" w:hanging="1"/>
            </w:pPr>
            <w:r>
              <w:tab/>
            </w:r>
            <w:r>
              <w:tab/>
              <w:t>ECE/TRANS/WP.15/235</w:t>
            </w:r>
            <w:r w:rsidR="00827D35">
              <w:t>,</w:t>
            </w:r>
            <w:r>
              <w:t xml:space="preserve"> par. 21</w:t>
            </w:r>
          </w:p>
        </w:tc>
      </w:tr>
      <w:tr w:rsidR="0015453C" w:rsidTr="006B596F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15453C" w:rsidRDefault="0015453C" w:rsidP="00216E0F">
            <w:pPr>
              <w:pStyle w:val="SingleTxtG"/>
            </w:pPr>
          </w:p>
        </w:tc>
      </w:tr>
      <w:tr w:rsidR="0015453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5453C" w:rsidRDefault="0015453C" w:rsidP="00216E0F"/>
        </w:tc>
      </w:tr>
    </w:tbl>
    <w:p w:rsidR="00C22EBB" w:rsidRDefault="00C22EBB" w:rsidP="0015453C">
      <w:pPr>
        <w:pStyle w:val="SingleTxtG"/>
      </w:pPr>
    </w:p>
    <w:p w:rsidR="00C22EBB" w:rsidRPr="00C22EBB" w:rsidRDefault="00C22EBB" w:rsidP="00C22EBB">
      <w:pPr>
        <w:pStyle w:val="HChG"/>
      </w:pPr>
      <w:r>
        <w:br w:type="page"/>
      </w:r>
      <w:r>
        <w:lastRenderedPageBreak/>
        <w:tab/>
      </w:r>
      <w:r>
        <w:tab/>
      </w:r>
      <w:r w:rsidRPr="00C22EBB">
        <w:t>Introduction</w:t>
      </w:r>
    </w:p>
    <w:p w:rsidR="00C22EBB" w:rsidRPr="00C22EBB" w:rsidRDefault="00C22EBB" w:rsidP="00C22EBB">
      <w:pPr>
        <w:pStyle w:val="ParNoG"/>
      </w:pPr>
      <w:r w:rsidRPr="00C22EBB">
        <w:t>À sa session d’automne, le Groupe de travail a examiné le document ECE/TRANS/WP.15/2016/19,</w:t>
      </w:r>
      <w:r>
        <w:t xml:space="preserve"> </w:t>
      </w:r>
      <w:r w:rsidRPr="00C22EBB">
        <w:t>qui porte sur les prescriptions relatives aux moyens de fixation mentionnées</w:t>
      </w:r>
      <w:r>
        <w:t xml:space="preserve"> </w:t>
      </w:r>
      <w:r w:rsidRPr="00C22EBB">
        <w:t xml:space="preserve">à la section 9.7.3 de l’ADR. La proposition visant à étendre aux véhicules transportant des conteneurs-citernes, aux citernes mobiles, et aux CGEM le champ d’application des prescriptions concernant les moyens de fixation, qui sont déjà applicables aux véhicules-citernes, aux véhicules-batteries ainsi qu’aux véhicules porteurs de citernes démontables a été très favorablement accueillie. </w:t>
      </w:r>
    </w:p>
    <w:p w:rsidR="00C22EBB" w:rsidRPr="00C22EBB" w:rsidRDefault="00C22EBB" w:rsidP="00C22EBB">
      <w:pPr>
        <w:pStyle w:val="ParNoG"/>
        <w:tabs>
          <w:tab w:val="clear" w:pos="1701"/>
        </w:tabs>
      </w:pPr>
      <w:r w:rsidRPr="00C22EBB">
        <w:t>Le texte proposé n’a toutefois pas été adopté, certains représentants souhaitant y apporter des retouches et le Groupe de travail estimant qu’il pouvait encore être amélioré. La Norvège a reçu des observations d’autres délégations et établi une nouvelle proposition concernant les prescriptions relatives aux moyens de fixation qui figurent</w:t>
      </w:r>
      <w:r>
        <w:t xml:space="preserve"> </w:t>
      </w:r>
      <w:r w:rsidRPr="00C22EBB">
        <w:t>à la section 9.7.3 de l’ADR, ainsi que les modifications à apporter en conséquence au paragraphe 7.5.7.4. Une mesure transitoire a, en outre, été ajoutée.</w:t>
      </w:r>
    </w:p>
    <w:p w:rsidR="00C22EBB" w:rsidRPr="00C22EBB" w:rsidRDefault="00C22EBB" w:rsidP="00C22EBB">
      <w:pPr>
        <w:pStyle w:val="H1G"/>
      </w:pPr>
      <w:r w:rsidRPr="00C22EBB">
        <w:tab/>
      </w:r>
      <w:r w:rsidRPr="00C22EBB">
        <w:tab/>
        <w:t>Analyse</w:t>
      </w:r>
    </w:p>
    <w:p w:rsidR="00C22EBB" w:rsidRPr="00C22EBB" w:rsidRDefault="00C22EBB" w:rsidP="00C22EBB">
      <w:pPr>
        <w:pStyle w:val="ParNoG"/>
        <w:tabs>
          <w:tab w:val="clear" w:pos="1701"/>
        </w:tabs>
      </w:pPr>
      <w:r>
        <w:t>À</w:t>
      </w:r>
      <w:r w:rsidRPr="00C22EBB">
        <w:t xml:space="preserve"> la section 9.7.3 de l’ADR, il est fait mention des forces décrites au paragraphe 6.8.2.1.2 pour les citernes et les conteneurs-citernes en ce qui concerne les contraintes minimales auxquelles les moyens de fixation doivent être conçus pour résister, dans le cas de véhicules-citernes, de véhicules-batteries et de véhicules porteurs de citernes démontables. </w:t>
      </w:r>
    </w:p>
    <w:p w:rsidR="00C22EBB" w:rsidRPr="00C22EBB" w:rsidRDefault="00C22EBB" w:rsidP="00C22EBB">
      <w:pPr>
        <w:pStyle w:val="ParNoG"/>
        <w:tabs>
          <w:tab w:val="clear" w:pos="1701"/>
        </w:tabs>
      </w:pPr>
      <w:r w:rsidRPr="00C22EBB">
        <w:t>Les mêmes prescriptions relatives aux moyens de fixation devraient</w:t>
      </w:r>
      <w:r>
        <w:t xml:space="preserve"> </w:t>
      </w:r>
      <w:r w:rsidRPr="00C22EBB">
        <w:t>s’appliquer aux véhicules transportant des conteneurs-citernes, aux CGEM et aux citernes mobiles, et il devrait être fait référence aux forces susmentionnées aux paragraphes 6.8.3.1.5 et 6.7.5.2.8 en ce qui concerne les CGEM et aux paragraphes</w:t>
      </w:r>
      <w:r>
        <w:t xml:space="preserve"> </w:t>
      </w:r>
      <w:r w:rsidRPr="00C22EBB">
        <w:t>6.7.2.2.12, 6.7.3.2.9 et 6.7.4.2.12 pour ce qui est des citernes mobiles.</w:t>
      </w:r>
    </w:p>
    <w:p w:rsidR="00C22EBB" w:rsidRPr="00C22EBB" w:rsidRDefault="006B596F" w:rsidP="00C22EBB">
      <w:pPr>
        <w:pStyle w:val="ParNoG"/>
        <w:tabs>
          <w:tab w:val="clear" w:pos="1701"/>
        </w:tabs>
      </w:pPr>
      <w:r w:rsidRPr="00C22EBB">
        <w:t>Lorsque les forces citées dans</w:t>
      </w:r>
      <w:r>
        <w:t xml:space="preserve"> </w:t>
      </w:r>
      <w:r w:rsidRPr="00C22EBB">
        <w:t>les paragraphes susmentionnés sont les mêmes que celles qui sont spécifiées au paragraphe 6.8.2.1.2, il est suggéré de supprimer</w:t>
      </w:r>
      <w:r>
        <w:t xml:space="preserve"> </w:t>
      </w:r>
      <w:r w:rsidRPr="00C22EBB">
        <w:t>à la section</w:t>
      </w:r>
      <w:r>
        <w:t xml:space="preserve"> </w:t>
      </w:r>
      <w:r w:rsidRPr="00C22EBB">
        <w:t>9.7.3 le renvoi au paragraphe 6.8.2.1.2, et</w:t>
      </w:r>
      <w:r>
        <w:t xml:space="preserve"> </w:t>
      </w:r>
      <w:r w:rsidRPr="00C22EBB">
        <w:t>de préciser plutôt les forces que les moyens de fixation du véhicule doivent pouvoir supporter, à la charge maximale autorisée et dans les différents sens (sens de</w:t>
      </w:r>
      <w:r>
        <w:t xml:space="preserve"> la marche, perpendiculairement</w:t>
      </w:r>
      <w:r w:rsidRPr="00C22EBB">
        <w:t xml:space="preserve">, verticalement vers le haut et verticalement vers le bas). </w:t>
      </w:r>
    </w:p>
    <w:p w:rsidR="00C22EBB" w:rsidRPr="00C22EBB" w:rsidRDefault="00C22EBB" w:rsidP="00C22EBB">
      <w:pPr>
        <w:pStyle w:val="ParNoG"/>
        <w:tabs>
          <w:tab w:val="clear" w:pos="1701"/>
        </w:tabs>
      </w:pPr>
      <w:r w:rsidRPr="00C22EBB">
        <w:t>Les dispositifs d’arrimage à verrous rotatifs conformes à la norme ISO 1161:2016 (</w:t>
      </w:r>
      <w:r w:rsidRPr="00C22EBB">
        <w:rPr>
          <w:i/>
        </w:rPr>
        <w:t>Conteneurs de la série</w:t>
      </w:r>
      <w:r>
        <w:rPr>
          <w:i/>
        </w:rPr>
        <w:t> 1 –</w:t>
      </w:r>
      <w:r w:rsidRPr="00C22EBB">
        <w:rPr>
          <w:i/>
        </w:rPr>
        <w:t xml:space="preserve"> Pièces de coin et piè</w:t>
      </w:r>
      <w:r>
        <w:rPr>
          <w:i/>
        </w:rPr>
        <w:t xml:space="preserve">ces de fixation intermédiaires </w:t>
      </w:r>
      <w:r w:rsidR="00827D35">
        <w:rPr>
          <w:i/>
        </w:rPr>
        <w:t>–</w:t>
      </w:r>
      <w:r w:rsidRPr="00C22EBB">
        <w:rPr>
          <w:i/>
        </w:rPr>
        <w:t xml:space="preserve"> Spécifications</w:t>
      </w:r>
      <w:r w:rsidRPr="00C22EBB">
        <w:t>) ne sont pas visés par la proposition</w:t>
      </w:r>
      <w:r>
        <w:t xml:space="preserve"> </w:t>
      </w:r>
      <w:r w:rsidRPr="00C22EBB">
        <w:t>examinée à la réunion de novembre (ECE/TRANS/WP.15/2016/19).</w:t>
      </w:r>
    </w:p>
    <w:p w:rsidR="00C22EBB" w:rsidRPr="00C22EBB" w:rsidRDefault="00C22EBB" w:rsidP="00C22EBB">
      <w:pPr>
        <w:pStyle w:val="ParNoG"/>
        <w:tabs>
          <w:tab w:val="clear" w:pos="1701"/>
        </w:tabs>
      </w:pPr>
      <w:r w:rsidRPr="00C22EBB">
        <w:t>Les fixations d’une citerne, d’un CGEM ou des éléments d’un véhicule-batterie peuvent comprendre divers composants de structure, comme des châssis auxiliaires fixés au véhicule à l’aide de boulons ou soudés</w:t>
      </w:r>
      <w:r>
        <w:t xml:space="preserve"> </w:t>
      </w:r>
      <w:r w:rsidRPr="00C22EBB">
        <w:t>afin de répartir sur une zone étendue les fortes charges qui s’exercent sur le châssis. Il convient de préciser que les prescriptions</w:t>
      </w:r>
      <w:r>
        <w:t xml:space="preserve"> </w:t>
      </w:r>
      <w:r w:rsidRPr="00C22EBB">
        <w:t>de la section 9.7.3 s’appliquent également à toutes les armatures utilisées pour fixer un équipement de structure (voir</w:t>
      </w:r>
      <w:r>
        <w:t xml:space="preserve"> la section </w:t>
      </w:r>
      <w:r w:rsidRPr="00C22EBB">
        <w:t>1.2 pour la définition des équipements de structure) au véhicule. Il est tenu compte de ce point dans la proposition.</w:t>
      </w:r>
    </w:p>
    <w:p w:rsidR="00C22EBB" w:rsidRPr="00C22EBB" w:rsidRDefault="00C22EBB" w:rsidP="00C22EBB">
      <w:pPr>
        <w:pStyle w:val="ParNoG"/>
        <w:tabs>
          <w:tab w:val="clear" w:pos="1701"/>
        </w:tabs>
      </w:pPr>
      <w:r w:rsidRPr="00C22EBB">
        <w:t>Les paragraphes 6.8.2.1.11 à 6.8.2.1.13, 6.8.2.1.15 et 6.8.2.1.16 auxquels renvoie</w:t>
      </w:r>
      <w:r>
        <w:t xml:space="preserve"> </w:t>
      </w:r>
      <w:r w:rsidRPr="00C22EBB">
        <w:t>la section 9.7.3 de l’ADR portent sur les contraintes auxquelles sont soumises les matières dont sont constitués les réservoirs aux pressions de calcul ou d’épreuve.</w:t>
      </w:r>
      <w:r>
        <w:t xml:space="preserve"> </w:t>
      </w:r>
      <w:r w:rsidRPr="00C22EBB">
        <w:t>On pourrait en déduire</w:t>
      </w:r>
      <w:r>
        <w:t xml:space="preserve"> </w:t>
      </w:r>
      <w:r w:rsidRPr="00C22EBB">
        <w:t>que, puisqu’aucune pression d’épreuve n’est prescrite pour le châssis, cette prescription ne s’applique pas.</w:t>
      </w:r>
      <w:r>
        <w:t xml:space="preserve"> </w:t>
      </w:r>
      <w:r w:rsidRPr="00C22EBB">
        <w:t>Toutefois, une valeur de 0,5 Rm est pertinente pour</w:t>
      </w:r>
      <w:r>
        <w:t xml:space="preserve"> </w:t>
      </w:r>
      <w:r w:rsidRPr="00C22EBB">
        <w:t>tenir compte des risques de fissuration par fatigue dus aux charges dynamiques pour l’acier et un coefficient d’allongement de 20 % est la valeur minimale pour les aciers de construction de base comm</w:t>
      </w:r>
      <w:r>
        <w:t>e le S255. La proposition </w:t>
      </w:r>
      <w:r w:rsidRPr="00C22EBB">
        <w:t>2a tend à éliminer complètement les prescriptions relatives aux matériaux dans</w:t>
      </w:r>
      <w:r>
        <w:t xml:space="preserve"> </w:t>
      </w:r>
      <w:r w:rsidRPr="00C22EBB">
        <w:t>la section 9.7.3. Il est suggéré</w:t>
      </w:r>
      <w:r>
        <w:t xml:space="preserve"> dans la proposition </w:t>
      </w:r>
      <w:r w:rsidRPr="00C22EBB">
        <w:t xml:space="preserve">2b de </w:t>
      </w:r>
      <w:r w:rsidRPr="00C22EBB">
        <w:lastRenderedPageBreak/>
        <w:t>conserver les prescriptions relatives aux matériaux et de les rendre applicables à toutes les constructions mentionnées dans le projet de par</w:t>
      </w:r>
      <w:r>
        <w:t>agraphe 9.7.3.2. La proposition </w:t>
      </w:r>
      <w:r w:rsidRPr="00C22EBB">
        <w:t xml:space="preserve">2c consiste simplement à reproduire dans un paragraphe distinct les prescriptions de l’ADR de 2017 en lien avec les paragraphes 6.8.2.1.11 à 6.8.2.1.13, 6.8.2.1.15 et 6.8.2.1.16. </w:t>
      </w:r>
    </w:p>
    <w:p w:rsidR="00C22EBB" w:rsidRPr="00C22EBB" w:rsidRDefault="00C22EBB" w:rsidP="00C22EBB">
      <w:pPr>
        <w:pStyle w:val="ParNoG"/>
        <w:tabs>
          <w:tab w:val="clear" w:pos="1701"/>
        </w:tabs>
      </w:pPr>
      <w:r w:rsidRPr="00C22EBB">
        <w:t>Lorsque les prescriptions</w:t>
      </w:r>
      <w:r>
        <w:t xml:space="preserve"> </w:t>
      </w:r>
      <w:r w:rsidRPr="00C22EBB">
        <w:t>de la section 9.7.3 relatives aux moyens de fixation qui concernent les contraintes appliquées deviendront obligatoires pour les véhicules non actuellement visés par leur champ d’application, il conviendra de prévoir</w:t>
      </w:r>
      <w:r>
        <w:t xml:space="preserve"> </w:t>
      </w:r>
      <w:r w:rsidRPr="00C22EBB">
        <w:t>la mesure transitoire</w:t>
      </w:r>
      <w:r>
        <w:t xml:space="preserve"> </w:t>
      </w:r>
      <w:r w:rsidRPr="00C22EBB">
        <w:t>qui figure dans la proposition ci-dessous.</w:t>
      </w:r>
    </w:p>
    <w:p w:rsidR="00C22EBB" w:rsidRPr="00C22EBB" w:rsidRDefault="00C22EBB" w:rsidP="00C22EBB">
      <w:pPr>
        <w:pStyle w:val="ParNoG"/>
        <w:tabs>
          <w:tab w:val="clear" w:pos="1701"/>
        </w:tabs>
      </w:pPr>
      <w:r w:rsidRPr="00C22EBB">
        <w:t>Même dans les cas où la construction et la conception des moyens de fixation sont conformes aux prescriptions proposées, il importe que les conteneurs-citernes, les CGEM et les citernes mobiles ne soient transportés</w:t>
      </w:r>
      <w:r>
        <w:t xml:space="preserve"> </w:t>
      </w:r>
      <w:r w:rsidRPr="00C22EBB">
        <w:t>que sur des véhicules dont les dispositifs d’arrimage sont compatibles avec les dispositifs qui se trouvent sur ces conteneurs et sont conformes aux prescriptions</w:t>
      </w:r>
      <w:r>
        <w:t xml:space="preserve"> </w:t>
      </w:r>
      <w:r w:rsidRPr="00C22EBB">
        <w:t>de la section 9.7.3. Le paragraphe 7.5.7.4 a été modifié en ce</w:t>
      </w:r>
      <w:r w:rsidR="00827D35">
        <w:t> </w:t>
      </w:r>
      <w:r w:rsidRPr="00C22EBB">
        <w:t xml:space="preserve">sens. </w:t>
      </w:r>
    </w:p>
    <w:p w:rsidR="00C22EBB" w:rsidRPr="00C22EBB" w:rsidRDefault="00C22EBB" w:rsidP="00C22EBB">
      <w:pPr>
        <w:pStyle w:val="HChG"/>
      </w:pPr>
      <w:r w:rsidRPr="00C22EBB">
        <w:tab/>
      </w:r>
      <w:r w:rsidRPr="00C22EBB">
        <w:tab/>
        <w:t>Propositions</w:t>
      </w:r>
    </w:p>
    <w:p w:rsidR="00C22EBB" w:rsidRPr="00C22EBB" w:rsidRDefault="00C22EBB" w:rsidP="00C22EBB">
      <w:pPr>
        <w:pStyle w:val="H1G"/>
      </w:pPr>
      <w:r>
        <w:tab/>
      </w:r>
      <w:r>
        <w:tab/>
        <w:t>Proposition </w:t>
      </w:r>
      <w:r w:rsidRPr="00C22EBB">
        <w:t>1</w:t>
      </w:r>
    </w:p>
    <w:p w:rsidR="00C22EBB" w:rsidRPr="00C22EBB" w:rsidRDefault="00C22EBB" w:rsidP="00C22EBB">
      <w:pPr>
        <w:pStyle w:val="ParNoG"/>
        <w:tabs>
          <w:tab w:val="clear" w:pos="1701"/>
        </w:tabs>
        <w:rPr>
          <w:iCs/>
        </w:rPr>
      </w:pPr>
      <w:r>
        <w:rPr>
          <w:iCs/>
        </w:rPr>
        <w:t>Au chapitre </w:t>
      </w:r>
      <w:r w:rsidRPr="00C22EBB">
        <w:rPr>
          <w:iCs/>
        </w:rPr>
        <w:t>1.6 de l’ADR, ajouter la mesure transitoire suivante</w:t>
      </w:r>
      <w:r>
        <w:rPr>
          <w:iCs/>
        </w:rPr>
        <w:t> :</w:t>
      </w:r>
    </w:p>
    <w:p w:rsidR="00C22EBB" w:rsidRPr="00C22EBB" w:rsidRDefault="00C22EBB" w:rsidP="007A753D">
      <w:pPr>
        <w:pStyle w:val="SingleTxtG"/>
        <w:ind w:left="2268" w:hanging="1134"/>
      </w:pPr>
      <w:r w:rsidRPr="00C22EBB">
        <w:t>«</w:t>
      </w:r>
      <w:r>
        <w:t> </w:t>
      </w:r>
      <w:r w:rsidRPr="00C22EBB">
        <w:t>1.6.5.xx</w:t>
      </w:r>
      <w:r w:rsidR="007A753D">
        <w:tab/>
      </w:r>
      <w:r w:rsidRPr="00C22EBB">
        <w:t>Les véhicules immatriculés pour la première fois (ou mis en circulation, si l’immatriculation n’est pas obligatoire) avant le 1</w:t>
      </w:r>
      <w:r w:rsidRPr="00C22EBB">
        <w:rPr>
          <w:vertAlign w:val="superscript"/>
        </w:rPr>
        <w:t>er</w:t>
      </w:r>
      <w:r>
        <w:t xml:space="preserve"> avril </w:t>
      </w:r>
      <w:r w:rsidRPr="00C22EBB">
        <w:t>2020 qui sont conformes aux prescriptions</w:t>
      </w:r>
      <w:r>
        <w:t xml:space="preserve"> </w:t>
      </w:r>
      <w:r w:rsidRPr="00C22EBB">
        <w:t>de la section</w:t>
      </w:r>
      <w:r>
        <w:t xml:space="preserve"> </w:t>
      </w:r>
      <w:r w:rsidRPr="00C22EBB">
        <w:t xml:space="preserve">9.7.3 applicables </w:t>
      </w:r>
      <w:r>
        <w:t xml:space="preserve">jusqu’au 31 décembre </w:t>
      </w:r>
      <w:r w:rsidRPr="00C22EBB">
        <w:t>2018, mais pas</w:t>
      </w:r>
      <w:r>
        <w:t xml:space="preserve"> </w:t>
      </w:r>
      <w:r w:rsidRPr="00C22EBB">
        <w:t>aux prescriptions</w:t>
      </w:r>
      <w:r>
        <w:t xml:space="preserve"> </w:t>
      </w:r>
      <w:r w:rsidRPr="00C22EBB">
        <w:t>de la section</w:t>
      </w:r>
      <w:r>
        <w:t xml:space="preserve"> </w:t>
      </w:r>
      <w:r w:rsidRPr="00C22EBB">
        <w:t xml:space="preserve"> 9.7.3</w:t>
      </w:r>
      <w:r>
        <w:t xml:space="preserve"> </w:t>
      </w:r>
      <w:r w:rsidRPr="00C22EBB">
        <w:t>applicables à compter du 1</w:t>
      </w:r>
      <w:r w:rsidRPr="00C22EBB">
        <w:rPr>
          <w:vertAlign w:val="superscript"/>
        </w:rPr>
        <w:t>er</w:t>
      </w:r>
      <w:r>
        <w:t xml:space="preserve"> janvier </w:t>
      </w:r>
      <w:r w:rsidRPr="00C22EBB">
        <w:t>2019, peuvent continuer à être utilisés</w:t>
      </w:r>
      <w:r>
        <w:t> </w:t>
      </w:r>
      <w:r w:rsidRPr="00C22EBB">
        <w:t>».</w:t>
      </w:r>
    </w:p>
    <w:p w:rsidR="00C22EBB" w:rsidRPr="00C22EBB" w:rsidRDefault="00C22EBB" w:rsidP="00C22EBB">
      <w:pPr>
        <w:pStyle w:val="H1G"/>
      </w:pPr>
      <w:r>
        <w:tab/>
      </w:r>
      <w:r>
        <w:tab/>
        <w:t>Proposition </w:t>
      </w:r>
      <w:r w:rsidRPr="00C22EBB">
        <w:t>2a</w:t>
      </w:r>
    </w:p>
    <w:p w:rsidR="00C22EBB" w:rsidRPr="00C22EBB" w:rsidRDefault="00C22EBB" w:rsidP="00C22EBB">
      <w:pPr>
        <w:pStyle w:val="ParNoG"/>
        <w:tabs>
          <w:tab w:val="clear" w:pos="1701"/>
        </w:tabs>
      </w:pPr>
      <w:r w:rsidRPr="00C22EBB">
        <w:t>Dans l’ADR, modifier</w:t>
      </w:r>
      <w:r>
        <w:t xml:space="preserve"> </w:t>
      </w:r>
      <w:r w:rsidRPr="00C22EBB">
        <w:t>la section</w:t>
      </w:r>
      <w:r>
        <w:t xml:space="preserve"> </w:t>
      </w:r>
      <w:r w:rsidRPr="00C22EBB">
        <w:t>9.7.3 comme suit</w:t>
      </w:r>
      <w:r>
        <w:t> :</w:t>
      </w:r>
    </w:p>
    <w:p w:rsidR="00C22EBB" w:rsidRPr="00C22EBB" w:rsidRDefault="00C22EBB" w:rsidP="00C22EBB">
      <w:pPr>
        <w:pStyle w:val="SingleTxtG"/>
      </w:pPr>
      <w:r w:rsidRPr="00C22EBB">
        <w:t>«</w:t>
      </w:r>
      <w:r>
        <w:t> </w:t>
      </w:r>
      <w:r w:rsidRPr="00C22EBB">
        <w:t>9.7.3</w:t>
      </w:r>
      <w:r w:rsidRPr="00C22EBB">
        <w:tab/>
      </w:r>
      <w:r>
        <w:tab/>
      </w:r>
      <w:r w:rsidRPr="00C22EBB">
        <w:t>Moyens de fixation</w:t>
      </w:r>
    </w:p>
    <w:p w:rsidR="00C22EBB" w:rsidRPr="00C22EBB" w:rsidRDefault="00C22EBB" w:rsidP="00C22EBB">
      <w:pPr>
        <w:pStyle w:val="SingleTxtG"/>
        <w:ind w:left="2268" w:hanging="1134"/>
      </w:pPr>
      <w:r w:rsidRPr="00C22EBB">
        <w:t>9.7.3.1</w:t>
      </w:r>
      <w:r w:rsidRPr="00C22EBB">
        <w:tab/>
      </w:r>
      <w:r w:rsidRPr="00C22EBB">
        <w:tab/>
        <w:t>Les moyens de fixation doivent être conçus pour résister aux sollicitations statiques et dynamiques dans les condit</w:t>
      </w:r>
      <w:r w:rsidR="00AE5100">
        <w:t>ions normales de transport. Les </w:t>
      </w:r>
      <w:r w:rsidRPr="00C22EBB">
        <w:t>moyens de fixation comprennent toutes les armatures utilisées pour fixer l’équipement de structure (voir la section</w:t>
      </w:r>
      <w:r w:rsidR="007A753D">
        <w:t> </w:t>
      </w:r>
      <w:r w:rsidRPr="00C22EBB">
        <w:t>1.2) au véhicule.</w:t>
      </w:r>
    </w:p>
    <w:p w:rsidR="00C22EBB" w:rsidRPr="00C22EBB" w:rsidRDefault="00C22EBB" w:rsidP="00C22EBB">
      <w:pPr>
        <w:pStyle w:val="SingleTxtG"/>
        <w:ind w:left="2268" w:hanging="1134"/>
      </w:pPr>
      <w:r w:rsidRPr="00C22EBB">
        <w:t>9.7.3.2</w:t>
      </w:r>
      <w:r w:rsidRPr="00C22EBB">
        <w:tab/>
      </w:r>
      <w:r>
        <w:tab/>
      </w:r>
      <w:r w:rsidRPr="00C22EBB">
        <w:t>Les moyens de fixation utilisés sur les véhicules-citernes, les véhicules-batteries, les véhicules transportant des conteneurs-citernes, les citernes démontables, les citernes mobiles, les CGEM ou les CGEM ONU doivent pouvoir supporter, à la charge maximale autorisée, les forces statiques suivantes appliquées séparément</w:t>
      </w:r>
      <w:r w:rsidR="007A753D">
        <w:t> </w:t>
      </w:r>
      <w:r w:rsidRPr="00C22EBB">
        <w:t>:</w:t>
      </w:r>
    </w:p>
    <w:p w:rsidR="00C22EBB" w:rsidRPr="00C22EBB" w:rsidRDefault="007A753D" w:rsidP="007A753D">
      <w:pPr>
        <w:pStyle w:val="Bullet1G"/>
        <w:ind w:left="2835"/>
      </w:pPr>
      <w:r>
        <w:tab/>
      </w:r>
      <w:r w:rsidR="00ED569D">
        <w:t>D</w:t>
      </w:r>
      <w:r w:rsidR="00C22EBB" w:rsidRPr="00C22EBB">
        <w:t>ans le sens de la marche: deux fois la masse totale multipliée par l’accélération de la pesanteur</w:t>
      </w:r>
      <w:r w:rsidR="00C22EBB">
        <w:t xml:space="preserve"> </w:t>
      </w:r>
      <w:r w:rsidR="00C22EBB" w:rsidRPr="00C22EBB">
        <w:t>(g)</w:t>
      </w:r>
      <w:r w:rsidR="00C22EBB" w:rsidRPr="00C22EBB">
        <w:rPr>
          <w:vertAlign w:val="superscript"/>
        </w:rPr>
        <w:t>1</w:t>
      </w:r>
      <w:r>
        <w:rPr>
          <w:vertAlign w:val="superscript"/>
        </w:rPr>
        <w:t> </w:t>
      </w:r>
      <w:r w:rsidR="00C22EBB" w:rsidRPr="00C22EBB">
        <w:t>;</w:t>
      </w:r>
    </w:p>
    <w:p w:rsidR="00C22EBB" w:rsidRPr="00C22EBB" w:rsidRDefault="007A753D" w:rsidP="007A753D">
      <w:pPr>
        <w:pStyle w:val="Bullet1G"/>
        <w:ind w:left="2835"/>
      </w:pPr>
      <w:r>
        <w:tab/>
      </w:r>
      <w:r w:rsidR="00ED569D">
        <w:t>P</w:t>
      </w:r>
      <w:r w:rsidR="00C22EBB" w:rsidRPr="00C22EBB">
        <w:t>erpendiculairement au sens de la marche: la masse totale multipliée par l’accélération de la pesanteur</w:t>
      </w:r>
      <w:r w:rsidR="00C22EBB">
        <w:t xml:space="preserve"> </w:t>
      </w:r>
      <w:r w:rsidR="00C22EBB" w:rsidRPr="00C22EBB">
        <w:t>(g)</w:t>
      </w:r>
      <w:r w:rsidR="00C22EBB" w:rsidRPr="00C22EBB">
        <w:rPr>
          <w:vertAlign w:val="superscript"/>
          <w:lang w:val="fr-FR"/>
        </w:rPr>
        <w:t>1</w:t>
      </w:r>
      <w:r>
        <w:rPr>
          <w:vertAlign w:val="superscript"/>
          <w:lang w:val="fr-FR"/>
        </w:rPr>
        <w:t> </w:t>
      </w:r>
      <w:r w:rsidR="00C22EBB" w:rsidRPr="00C22EBB">
        <w:t>;</w:t>
      </w:r>
    </w:p>
    <w:p w:rsidR="00C22EBB" w:rsidRPr="00C22EBB" w:rsidRDefault="007A753D" w:rsidP="007A753D">
      <w:pPr>
        <w:pStyle w:val="Bullet1G"/>
        <w:ind w:left="2835"/>
      </w:pPr>
      <w:r>
        <w:tab/>
      </w:r>
      <w:r w:rsidR="00ED569D">
        <w:t>V</w:t>
      </w:r>
      <w:r w:rsidR="00C22EBB" w:rsidRPr="00C22EBB">
        <w:t>erticalement vers le haut: la masse totale multipliée par l’accélération de la pesanteur</w:t>
      </w:r>
      <w:r w:rsidR="00C22EBB">
        <w:t xml:space="preserve"> </w:t>
      </w:r>
      <w:r w:rsidR="00C22EBB" w:rsidRPr="00C22EBB">
        <w:t>(g)</w:t>
      </w:r>
      <w:r w:rsidR="00C22EBB" w:rsidRPr="00C22EBB">
        <w:rPr>
          <w:vertAlign w:val="superscript"/>
        </w:rPr>
        <w:t>1</w:t>
      </w:r>
      <w:r>
        <w:rPr>
          <w:vertAlign w:val="superscript"/>
        </w:rPr>
        <w:t> </w:t>
      </w:r>
      <w:r w:rsidR="00C22EBB" w:rsidRPr="00C22EBB">
        <w:t>;</w:t>
      </w:r>
    </w:p>
    <w:p w:rsidR="00C22EBB" w:rsidRPr="00C22EBB" w:rsidRDefault="007A753D" w:rsidP="007A753D">
      <w:pPr>
        <w:pStyle w:val="Bullet1G"/>
        <w:ind w:left="2835"/>
      </w:pPr>
      <w:r>
        <w:tab/>
      </w:r>
      <w:r w:rsidR="00ED569D">
        <w:t>V</w:t>
      </w:r>
      <w:r w:rsidR="00C22EBB" w:rsidRPr="00C22EBB">
        <w:t>erticalement vers le bas: deux fois la masse totale multipliée par l’accélération de la pesanteur</w:t>
      </w:r>
      <w:r w:rsidR="00C22EBB">
        <w:t xml:space="preserve"> </w:t>
      </w:r>
      <w:r w:rsidR="00C22EBB" w:rsidRPr="00C22EBB">
        <w:t>(g)</w:t>
      </w:r>
      <w:r w:rsidR="00C22EBB" w:rsidRPr="00C22EBB">
        <w:rPr>
          <w:vertAlign w:val="superscript"/>
        </w:rPr>
        <w:t>1</w:t>
      </w:r>
      <w:r w:rsidR="00C22EBB" w:rsidRPr="00C22EBB">
        <w:t>.</w:t>
      </w:r>
    </w:p>
    <w:p w:rsidR="00C22EBB" w:rsidRPr="00C22EBB" w:rsidRDefault="00C22EBB" w:rsidP="007A753D">
      <w:pPr>
        <w:pStyle w:val="SingleTxtG"/>
        <w:ind w:left="2268"/>
      </w:pPr>
      <w:r w:rsidRPr="00C22EBB">
        <w:t>NOTA</w:t>
      </w:r>
      <w:r w:rsidR="007A753D">
        <w:t xml:space="preserve"> : </w:t>
      </w:r>
      <w:r w:rsidRPr="00C22EBB">
        <w:t>Les prescriptions du présent paragraphe ne s’appliquent pas aux dispositifs d’arrimage à verrous rotatifs conformes à la norme ISO 1161:2016 (</w:t>
      </w:r>
      <w:r w:rsidRPr="00C22EBB">
        <w:rPr>
          <w:i/>
        </w:rPr>
        <w:t>Conteneurs de la</w:t>
      </w:r>
      <w:r w:rsidR="007A753D">
        <w:rPr>
          <w:i/>
        </w:rPr>
        <w:t> </w:t>
      </w:r>
      <w:r w:rsidRPr="00C22EBB">
        <w:rPr>
          <w:i/>
        </w:rPr>
        <w:t>série</w:t>
      </w:r>
      <w:r w:rsidR="007A753D">
        <w:rPr>
          <w:i/>
        </w:rPr>
        <w:t> 1 –</w:t>
      </w:r>
      <w:r w:rsidRPr="00C22EBB">
        <w:rPr>
          <w:i/>
        </w:rPr>
        <w:t xml:space="preserve"> Pièces de coin et piè</w:t>
      </w:r>
      <w:r w:rsidR="007A753D">
        <w:rPr>
          <w:i/>
        </w:rPr>
        <w:t>ces de fixation intermédiaires –</w:t>
      </w:r>
      <w:r w:rsidRPr="00C22EBB">
        <w:rPr>
          <w:i/>
        </w:rPr>
        <w:t xml:space="preserve"> Spécifications</w:t>
      </w:r>
      <w:r w:rsidRPr="00C22EBB">
        <w:t xml:space="preserve">). Néanmoins, elles s’appliquent à toutes les </w:t>
      </w:r>
      <w:r w:rsidRPr="00C22EBB">
        <w:lastRenderedPageBreak/>
        <w:t>armatures et à tous les autres dispositifs utilisés en renfort de tels</w:t>
      </w:r>
      <w:r w:rsidR="007A753D">
        <w:t xml:space="preserve"> moyens de fixation au véhicule </w:t>
      </w:r>
      <w:r w:rsidRPr="00C22EBB">
        <w:t>».</w:t>
      </w:r>
    </w:p>
    <w:p w:rsidR="00C22EBB" w:rsidRPr="00C22EBB" w:rsidRDefault="00C22EBB" w:rsidP="007A753D">
      <w:pPr>
        <w:pStyle w:val="SingleTxtG"/>
        <w:ind w:left="2268"/>
        <w:rPr>
          <w:b/>
        </w:rPr>
      </w:pPr>
      <w:r w:rsidRPr="00C22EBB">
        <w:t>La note de bas de page</w:t>
      </w:r>
      <w:r w:rsidR="007A753D">
        <w:t> </w:t>
      </w:r>
      <w:r w:rsidRPr="00C22EBB">
        <w:t>1 est libellée comme suit</w:t>
      </w:r>
      <w:r w:rsidR="007A753D">
        <w:t> </w:t>
      </w:r>
      <w:r w:rsidRPr="00C22EBB">
        <w:t>: « pour les besoins des calculs, g</w:t>
      </w:r>
      <w:r w:rsidR="007A753D">
        <w:t> </w:t>
      </w:r>
      <w:r w:rsidRPr="00C22EBB">
        <w:t>=</w:t>
      </w:r>
      <w:r w:rsidR="007A753D">
        <w:t> </w:t>
      </w:r>
      <w:r w:rsidRPr="00C22EBB">
        <w:t>9,</w:t>
      </w:r>
      <w:r w:rsidR="007A753D">
        <w:t>81 </w:t>
      </w:r>
      <w:r w:rsidRPr="00C22EBB">
        <w:t>m/s</w:t>
      </w:r>
      <w:r w:rsidRPr="00C22EBB">
        <w:rPr>
          <w:vertAlign w:val="superscript"/>
        </w:rPr>
        <w:t>2</w:t>
      </w:r>
      <w:r w:rsidR="007A753D">
        <w:t> »</w:t>
      </w:r>
      <w:r w:rsidRPr="00C22EBB">
        <w:t>.</w:t>
      </w:r>
    </w:p>
    <w:p w:rsidR="00C22EBB" w:rsidRPr="00C22EBB" w:rsidRDefault="007A753D" w:rsidP="007A753D">
      <w:pPr>
        <w:pStyle w:val="H1G"/>
      </w:pPr>
      <w:r>
        <w:tab/>
      </w:r>
      <w:r>
        <w:tab/>
        <w:t>Proposition </w:t>
      </w:r>
      <w:r w:rsidR="00C22EBB" w:rsidRPr="00C22EBB">
        <w:t>2b</w:t>
      </w:r>
    </w:p>
    <w:p w:rsidR="00C22EBB" w:rsidRPr="00C22EBB" w:rsidRDefault="00C22EBB" w:rsidP="00C22EBB">
      <w:pPr>
        <w:pStyle w:val="SingleTxtG"/>
      </w:pPr>
      <w:r w:rsidRPr="00C22EBB">
        <w:t>13.</w:t>
      </w:r>
      <w:r w:rsidRPr="00C22EBB">
        <w:tab/>
        <w:t>Conserver les paragraphes 9.7.3.1 et 9.7.3.2 tels qu’ils figurent dans la proposition 2a, et ajouter les deux paragraphes suivants</w:t>
      </w:r>
      <w:r w:rsidR="007A753D">
        <w:t> </w:t>
      </w:r>
      <w:r w:rsidRPr="00C22EBB">
        <w:t>:</w:t>
      </w:r>
    </w:p>
    <w:p w:rsidR="00C22EBB" w:rsidRPr="00C22EBB" w:rsidRDefault="00C22EBB" w:rsidP="007A753D">
      <w:pPr>
        <w:pStyle w:val="SingleTxtG"/>
        <w:ind w:left="2268" w:hanging="1134"/>
      </w:pPr>
      <w:r w:rsidRPr="00C22EBB">
        <w:t>« 9.7.3.3</w:t>
      </w:r>
      <w:r w:rsidRPr="00C22EBB">
        <w:tab/>
        <w:t>Le matériau dont sont faits les moyens de fixation doit avoir un allongement à la rupture, en pourcentage, d’au moins 10 000/Rm pour l’acier, avec</w:t>
      </w:r>
      <w:r>
        <w:t xml:space="preserve"> </w:t>
      </w:r>
      <w:r w:rsidRPr="00C22EBB">
        <w:t>un minimum absolu de 16 % pour les aciers à grains fins et de 20 % pour les autres aciers. Pour l’aluminium et les alliages d’aluminium, l’allongement à la rupture doit être d’au moins 12 %.</w:t>
      </w:r>
    </w:p>
    <w:p w:rsidR="00C22EBB" w:rsidRPr="00C22EBB" w:rsidRDefault="00C22EBB" w:rsidP="007A753D">
      <w:pPr>
        <w:pStyle w:val="SingleTxtG"/>
        <w:ind w:left="2268" w:hanging="1134"/>
      </w:pPr>
      <w:r w:rsidRPr="00C22EBB">
        <w:t>9.7.3.4</w:t>
      </w:r>
      <w:r w:rsidRPr="00C22EBB">
        <w:tab/>
      </w:r>
      <w:r w:rsidR="007A753D">
        <w:tab/>
      </w:r>
      <w:r w:rsidRPr="00C22EBB">
        <w:t>La contrainte σ subie par le matériau dont sont faits les moyens de fixation ne doit pas dépasser la plus petite des valeurs 0,75 Re ou 0,5 Rm</w:t>
      </w:r>
      <w:r>
        <w:t xml:space="preserve"> </w:t>
      </w:r>
      <w:r w:rsidRPr="00C22EBB">
        <w:t xml:space="preserve">lorsque s’exercent les forces définies au paragraphe </w:t>
      </w:r>
      <w:r w:rsidR="007A753D">
        <w:t>9.7.3.2</w:t>
      </w:r>
      <w:r w:rsidRPr="00C22EBB">
        <w:t> ».</w:t>
      </w:r>
    </w:p>
    <w:p w:rsidR="00C22EBB" w:rsidRPr="00C22EBB" w:rsidRDefault="00C22EBB" w:rsidP="007A753D">
      <w:pPr>
        <w:pStyle w:val="H1G"/>
      </w:pPr>
      <w:r w:rsidRPr="00C22EBB">
        <w:tab/>
      </w:r>
      <w:r w:rsidRPr="00C22EBB">
        <w:tab/>
        <w:t>Proposition</w:t>
      </w:r>
      <w:r w:rsidR="007A753D">
        <w:t> </w:t>
      </w:r>
      <w:r w:rsidRPr="00C22EBB">
        <w:t>2c</w:t>
      </w:r>
    </w:p>
    <w:p w:rsidR="00C22EBB" w:rsidRPr="00C22EBB" w:rsidRDefault="00C22EBB" w:rsidP="00C22EBB">
      <w:pPr>
        <w:pStyle w:val="SingleTxtG"/>
      </w:pPr>
      <w:r w:rsidRPr="00C22EBB">
        <w:t>14.</w:t>
      </w:r>
      <w:r w:rsidRPr="00C22EBB">
        <w:tab/>
        <w:t>Conserver les paragraphes 9.7.3.1 et 9.7.3.2 tels qu’ils figurent dans la proposition 2a et ajouter le paragraphe suivant</w:t>
      </w:r>
      <w:r w:rsidR="007A753D">
        <w:t> :</w:t>
      </w:r>
    </w:p>
    <w:p w:rsidR="00C22EBB" w:rsidRPr="00C22EBB" w:rsidRDefault="00C22EBB" w:rsidP="007A753D">
      <w:pPr>
        <w:pStyle w:val="SingleTxtG"/>
        <w:ind w:left="2268" w:hanging="1134"/>
      </w:pPr>
      <w:r w:rsidRPr="00C22EBB">
        <w:t>« 9.7.3.3</w:t>
      </w:r>
      <w:r w:rsidRPr="00C22EBB">
        <w:tab/>
        <w:t xml:space="preserve">Pour les véhicules-citernes, les véhicules-batteries et les véhicules porteurs de citernes démontables, les moyens de fixation doivent pouvoir supporter les contraintes minimales définies aux paragraphes 6.8.2.1.11 à 6.8.2.1.13, 6.8.2.1.15 </w:t>
      </w:r>
      <w:r w:rsidR="007A753D">
        <w:t>et 6.8.2.1.16</w:t>
      </w:r>
      <w:r w:rsidRPr="00C22EBB">
        <w:t> ».</w:t>
      </w:r>
    </w:p>
    <w:p w:rsidR="00C22EBB" w:rsidRPr="00C22EBB" w:rsidRDefault="007A753D" w:rsidP="007A753D">
      <w:pPr>
        <w:pStyle w:val="H1G"/>
      </w:pPr>
      <w:r>
        <w:tab/>
      </w:r>
      <w:r>
        <w:tab/>
        <w:t>Proposition </w:t>
      </w:r>
      <w:r w:rsidR="00C22EBB" w:rsidRPr="00C22EBB">
        <w:t>3</w:t>
      </w:r>
    </w:p>
    <w:p w:rsidR="00C22EBB" w:rsidRPr="00C22EBB" w:rsidRDefault="00C22EBB" w:rsidP="00C22EBB">
      <w:pPr>
        <w:pStyle w:val="SingleTxtG"/>
      </w:pPr>
      <w:r w:rsidRPr="00C22EBB">
        <w:t>15.</w:t>
      </w:r>
      <w:r w:rsidRPr="00C22EBB">
        <w:tab/>
        <w:t xml:space="preserve">Dans l’ADR, modifier le paragraphe 7.5.7.4 comme suit (les ajouts sont indiqués en caractères </w:t>
      </w:r>
      <w:r w:rsidRPr="00C22EBB">
        <w:rPr>
          <w:u w:val="single"/>
        </w:rPr>
        <w:t>soulignés</w:t>
      </w:r>
      <w:r w:rsidR="007A753D">
        <w:t>) :</w:t>
      </w:r>
    </w:p>
    <w:p w:rsidR="00C22EBB" w:rsidRPr="00C22EBB" w:rsidRDefault="00C22EBB" w:rsidP="00827D35">
      <w:pPr>
        <w:pStyle w:val="SingleTxtG"/>
        <w:rPr>
          <w:u w:val="single"/>
          <w:lang w:val="fr-FR"/>
        </w:rPr>
      </w:pPr>
      <w:r w:rsidRPr="00C22EBB">
        <w:t>«</w:t>
      </w:r>
      <w:r w:rsidR="007A753D">
        <w:t> </w:t>
      </w:r>
      <w:r w:rsidRPr="00C22EBB">
        <w:t xml:space="preserve">Les dispositions du paragraphe 7.5.7.1 s’appliquent également au chargement et à l’arrimage des conteneurs, conteneurs-citernes, citernes mobiles et CGEM sur les véhicules ainsi qu’à leur </w:t>
      </w:r>
      <w:r w:rsidR="00AE2CEE">
        <w:t>déchargement</w:t>
      </w:r>
      <w:r w:rsidRPr="00C22EBB">
        <w:t>.</w:t>
      </w:r>
      <w:r w:rsidRPr="00AE2CEE">
        <w:t xml:space="preserve"> </w:t>
      </w:r>
      <w:r w:rsidRPr="00C22EBB">
        <w:rPr>
          <w:u w:val="single"/>
        </w:rPr>
        <w:t>Pour les conteneurs-citernes, citernes mobiles et CGEM qui ne comprennent pas, par construction, de pièces de coin conformément à la norme ISO 1496-1 (</w:t>
      </w:r>
      <w:r w:rsidRPr="00C22EBB">
        <w:rPr>
          <w:u w:val="single"/>
          <w:lang w:val="fr-FR"/>
        </w:rPr>
        <w:t xml:space="preserve">Conteneurs de la série 1 </w:t>
      </w:r>
      <w:r w:rsidR="00AE2CEE">
        <w:rPr>
          <w:u w:val="single"/>
          <w:lang w:val="fr-FR"/>
        </w:rPr>
        <w:t>–</w:t>
      </w:r>
      <w:r w:rsidRPr="00C22EBB">
        <w:rPr>
          <w:u w:val="single"/>
          <w:lang w:val="fr-FR"/>
        </w:rPr>
        <w:t xml:space="preserve"> Spécifications et essais </w:t>
      </w:r>
      <w:r w:rsidR="00AE2CEE">
        <w:rPr>
          <w:u w:val="single"/>
          <w:lang w:val="fr-FR"/>
        </w:rPr>
        <w:t>– Partie </w:t>
      </w:r>
      <w:r w:rsidRPr="00C22EBB">
        <w:rPr>
          <w:u w:val="single"/>
          <w:lang w:val="fr-FR"/>
        </w:rPr>
        <w:t>1</w:t>
      </w:r>
      <w:r w:rsidR="00AE2CEE">
        <w:rPr>
          <w:u w:val="single"/>
          <w:lang w:val="fr-FR"/>
        </w:rPr>
        <w:t> </w:t>
      </w:r>
      <w:r w:rsidRPr="00C22EBB">
        <w:rPr>
          <w:u w:val="single"/>
          <w:lang w:val="fr-FR"/>
        </w:rPr>
        <w:t>: Conteneurs d’usage général pour marchandises diverses)</w:t>
      </w:r>
      <w:r w:rsidRPr="00C22EBB">
        <w:rPr>
          <w:u w:val="single"/>
        </w:rPr>
        <w:t>, on doit vérifier que les dispositifs utilisés sur les conteneurs-citernes, citernes mobiles et CGEM sont compatibles avec le dispositif dont est équipé le véhicule et conformes aux prescriptions</w:t>
      </w:r>
      <w:r>
        <w:rPr>
          <w:u w:val="single"/>
        </w:rPr>
        <w:t xml:space="preserve"> </w:t>
      </w:r>
      <w:r w:rsidRPr="00C22EBB">
        <w:rPr>
          <w:u w:val="single"/>
        </w:rPr>
        <w:t>de la section</w:t>
      </w:r>
      <w:r w:rsidR="00CB28DC">
        <w:rPr>
          <w:u w:val="single"/>
        </w:rPr>
        <w:t> </w:t>
      </w:r>
      <w:r w:rsidR="00AE2CEE">
        <w:rPr>
          <w:u w:val="single"/>
        </w:rPr>
        <w:t>9.7.3</w:t>
      </w:r>
      <w:r w:rsidR="00AE2CEE" w:rsidRPr="00AE2CEE">
        <w:t> </w:t>
      </w:r>
      <w:r w:rsidRPr="00AE2CEE">
        <w:t>».</w:t>
      </w:r>
    </w:p>
    <w:p w:rsidR="00C22EBB" w:rsidRPr="00C22EBB" w:rsidRDefault="00C22EBB" w:rsidP="00AE2CEE">
      <w:pPr>
        <w:pStyle w:val="HChG"/>
      </w:pPr>
      <w:r w:rsidRPr="00C22EBB">
        <w:tab/>
      </w:r>
      <w:r w:rsidRPr="00C22EBB">
        <w:tab/>
        <w:t>Justification</w:t>
      </w:r>
    </w:p>
    <w:p w:rsidR="00C22EBB" w:rsidRPr="00C22EBB" w:rsidRDefault="00C22EBB" w:rsidP="00C22EBB">
      <w:pPr>
        <w:pStyle w:val="SingleTxtG"/>
        <w:rPr>
          <w:u w:val="single"/>
        </w:rPr>
      </w:pPr>
      <w:r w:rsidRPr="00C22EBB">
        <w:t>16.</w:t>
      </w:r>
      <w:r w:rsidRPr="00C22EBB">
        <w:tab/>
        <w:t>Les modifications qu’il est proposé d’apporter</w:t>
      </w:r>
      <w:r>
        <w:t xml:space="preserve"> </w:t>
      </w:r>
      <w:r w:rsidRPr="00C22EBB">
        <w:t>à la section</w:t>
      </w:r>
      <w:r>
        <w:t xml:space="preserve"> </w:t>
      </w:r>
      <w:r w:rsidRPr="00C22EBB">
        <w:t>9.7.3 et au paragraphe 7.5.7.4 de l’ADR amélioreront la sécurité des véhicules transportant des conteneurs-citernes, des CGEM et des citernes mobiles. Les prescriptions de l’ADR seront, en outre, alignées sur le paragraphe 7.2.2 des recommandations de l’ONU.</w:t>
      </w:r>
    </w:p>
    <w:p w:rsidR="0015453C" w:rsidRPr="00AE2CEE" w:rsidRDefault="00AE2CEE" w:rsidP="00AE2CE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453C" w:rsidRPr="00AE2CEE" w:rsidSect="001545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A4" w:rsidRDefault="00EC74A4" w:rsidP="00F95C08">
      <w:pPr>
        <w:spacing w:line="240" w:lineRule="auto"/>
      </w:pPr>
    </w:p>
  </w:endnote>
  <w:endnote w:type="continuationSeparator" w:id="0">
    <w:p w:rsidR="00EC74A4" w:rsidRPr="00AC3823" w:rsidRDefault="00EC74A4" w:rsidP="00AC3823">
      <w:pPr>
        <w:pStyle w:val="Footer"/>
      </w:pPr>
    </w:p>
  </w:endnote>
  <w:endnote w:type="continuationNotice" w:id="1">
    <w:p w:rsidR="00EC74A4" w:rsidRDefault="00EC74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3C" w:rsidRPr="0015453C" w:rsidRDefault="0015453C" w:rsidP="0015453C">
    <w:pPr>
      <w:pStyle w:val="Footer"/>
      <w:tabs>
        <w:tab w:val="right" w:pos="9638"/>
      </w:tabs>
    </w:pPr>
    <w:r w:rsidRPr="0015453C">
      <w:rPr>
        <w:b/>
        <w:sz w:val="18"/>
      </w:rPr>
      <w:fldChar w:fldCharType="begin"/>
    </w:r>
    <w:r w:rsidRPr="0015453C">
      <w:rPr>
        <w:b/>
        <w:sz w:val="18"/>
      </w:rPr>
      <w:instrText xml:space="preserve"> PAGE  \* MERGEFORMAT </w:instrText>
    </w:r>
    <w:r w:rsidRPr="0015453C">
      <w:rPr>
        <w:b/>
        <w:sz w:val="18"/>
      </w:rPr>
      <w:fldChar w:fldCharType="separate"/>
    </w:r>
    <w:r w:rsidR="00175DB1">
      <w:rPr>
        <w:b/>
        <w:noProof/>
        <w:sz w:val="18"/>
      </w:rPr>
      <w:t>2</w:t>
    </w:r>
    <w:r w:rsidRPr="0015453C">
      <w:rPr>
        <w:b/>
        <w:sz w:val="18"/>
      </w:rPr>
      <w:fldChar w:fldCharType="end"/>
    </w:r>
    <w:r>
      <w:rPr>
        <w:b/>
        <w:sz w:val="18"/>
      </w:rPr>
      <w:tab/>
    </w:r>
    <w:r>
      <w:t>GE.17-02693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3C" w:rsidRPr="0015453C" w:rsidRDefault="0015453C" w:rsidP="0015453C">
    <w:pPr>
      <w:pStyle w:val="Footer"/>
      <w:tabs>
        <w:tab w:val="right" w:pos="9638"/>
      </w:tabs>
      <w:rPr>
        <w:b/>
        <w:sz w:val="18"/>
      </w:rPr>
    </w:pPr>
    <w:r>
      <w:t>GE.17-02693</w:t>
    </w:r>
    <w:r>
      <w:tab/>
    </w:r>
    <w:r w:rsidRPr="0015453C">
      <w:rPr>
        <w:b/>
        <w:sz w:val="18"/>
      </w:rPr>
      <w:fldChar w:fldCharType="begin"/>
    </w:r>
    <w:r w:rsidRPr="0015453C">
      <w:rPr>
        <w:b/>
        <w:sz w:val="18"/>
      </w:rPr>
      <w:instrText xml:space="preserve"> PAGE  \* MERGEFORMAT </w:instrText>
    </w:r>
    <w:r w:rsidRPr="0015453C">
      <w:rPr>
        <w:b/>
        <w:sz w:val="18"/>
      </w:rPr>
      <w:fldChar w:fldCharType="separate"/>
    </w:r>
    <w:r w:rsidR="00175DB1">
      <w:rPr>
        <w:b/>
        <w:noProof/>
        <w:sz w:val="18"/>
      </w:rPr>
      <w:t>3</w:t>
    </w:r>
    <w:r w:rsidRPr="001545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5453C" w:rsidRDefault="0015453C" w:rsidP="0015453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2147D4BF" wp14:editId="5BB9694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17-02693</w:t>
    </w:r>
    <w:r w:rsidR="00C22EBB">
      <w:rPr>
        <w:sz w:val="20"/>
      </w:rPr>
      <w:t xml:space="preserve"> </w:t>
    </w:r>
    <w:r>
      <w:rPr>
        <w:sz w:val="20"/>
      </w:rPr>
      <w:t>(F)</w:t>
    </w:r>
    <w:r w:rsidR="00C22EBB">
      <w:rPr>
        <w:sz w:val="20"/>
      </w:rPr>
      <w:t xml:space="preserve">    </w:t>
    </w:r>
    <w:r>
      <w:rPr>
        <w:sz w:val="20"/>
      </w:rPr>
      <w:t>020317</w:t>
    </w:r>
    <w:r w:rsidR="00C22EBB">
      <w:rPr>
        <w:sz w:val="20"/>
      </w:rPr>
      <w:t xml:space="preserve">    </w:t>
    </w:r>
    <w:r>
      <w:rPr>
        <w:sz w:val="20"/>
      </w:rPr>
      <w:t>080317</w:t>
    </w:r>
    <w:r>
      <w:rPr>
        <w:sz w:val="20"/>
      </w:rPr>
      <w:br/>
    </w:r>
    <w:r w:rsidRPr="0015453C">
      <w:rPr>
        <w:rFonts w:ascii="C39T30Lfz" w:hAnsi="C39T30Lfz"/>
        <w:sz w:val="56"/>
      </w:rPr>
      <w:t></w:t>
    </w:r>
    <w:r w:rsidRPr="0015453C">
      <w:rPr>
        <w:rFonts w:ascii="C39T30Lfz" w:hAnsi="C39T30Lfz"/>
        <w:sz w:val="56"/>
      </w:rPr>
      <w:t></w:t>
    </w:r>
    <w:r w:rsidRPr="0015453C">
      <w:rPr>
        <w:rFonts w:ascii="C39T30Lfz" w:hAnsi="C39T30Lfz"/>
        <w:sz w:val="56"/>
      </w:rPr>
      <w:t></w:t>
    </w:r>
    <w:r w:rsidRPr="0015453C">
      <w:rPr>
        <w:rFonts w:ascii="C39T30Lfz" w:hAnsi="C39T30Lfz"/>
        <w:sz w:val="56"/>
      </w:rPr>
      <w:t></w:t>
    </w:r>
    <w:r w:rsidRPr="0015453C">
      <w:rPr>
        <w:rFonts w:ascii="C39T30Lfz" w:hAnsi="C39T30Lfz"/>
        <w:sz w:val="56"/>
      </w:rPr>
      <w:t></w:t>
    </w:r>
    <w:r w:rsidRPr="0015453C">
      <w:rPr>
        <w:rFonts w:ascii="C39T30Lfz" w:hAnsi="C39T30Lfz"/>
        <w:sz w:val="56"/>
      </w:rPr>
      <w:t></w:t>
    </w:r>
    <w:r w:rsidRPr="0015453C">
      <w:rPr>
        <w:rFonts w:ascii="C39T30Lfz" w:hAnsi="C39T30Lfz"/>
        <w:sz w:val="56"/>
      </w:rPr>
      <w:t></w:t>
    </w:r>
    <w:r w:rsidRPr="0015453C">
      <w:rPr>
        <w:rFonts w:ascii="C39T30Lfz" w:hAnsi="C39T30Lfz"/>
        <w:sz w:val="56"/>
      </w:rPr>
      <w:t></w:t>
    </w:r>
    <w:r w:rsidRPr="0015453C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15/2017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7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A4" w:rsidRPr="00AC3823" w:rsidRDefault="00EC74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74A4" w:rsidRPr="00AC3823" w:rsidRDefault="00EC74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74A4" w:rsidRPr="00AC3823" w:rsidRDefault="00EC74A4">
      <w:pPr>
        <w:spacing w:line="240" w:lineRule="auto"/>
        <w:rPr>
          <w:sz w:val="2"/>
          <w:szCs w:val="2"/>
        </w:rPr>
      </w:pPr>
    </w:p>
  </w:footnote>
  <w:footnote w:id="2">
    <w:p w:rsidR="0015453C" w:rsidRDefault="0015453C" w:rsidP="0015453C">
      <w:pPr>
        <w:pStyle w:val="FootnoteText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  <w:t>Conformément au programme de travail du Comité des transports intérieurs pour 2016-2017 (ECE/TRANS/2016/28/Add.1 (9.2))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3C" w:rsidRPr="0015453C" w:rsidRDefault="00175DB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31FF9">
      <w:t>ECE/TRANS/WP.15/2017/7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3C" w:rsidRPr="0015453C" w:rsidRDefault="00175DB1" w:rsidP="0015453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31FF9">
      <w:t>ECE/TRANS/WP.15/2017/7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A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453C"/>
    <w:rsid w:val="00175DB1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B596F"/>
    <w:rsid w:val="0071601D"/>
    <w:rsid w:val="007A62E6"/>
    <w:rsid w:val="007A753D"/>
    <w:rsid w:val="007F20FA"/>
    <w:rsid w:val="0080684C"/>
    <w:rsid w:val="00827D35"/>
    <w:rsid w:val="00871C75"/>
    <w:rsid w:val="008776DC"/>
    <w:rsid w:val="009446C0"/>
    <w:rsid w:val="009705C8"/>
    <w:rsid w:val="009B4D49"/>
    <w:rsid w:val="009C1CF4"/>
    <w:rsid w:val="009F6B74"/>
    <w:rsid w:val="00A30353"/>
    <w:rsid w:val="00AC3823"/>
    <w:rsid w:val="00AE2CEE"/>
    <w:rsid w:val="00AE323C"/>
    <w:rsid w:val="00AE5100"/>
    <w:rsid w:val="00AF0CB5"/>
    <w:rsid w:val="00B00181"/>
    <w:rsid w:val="00B00B0D"/>
    <w:rsid w:val="00B75A9B"/>
    <w:rsid w:val="00B765F7"/>
    <w:rsid w:val="00BA0CA9"/>
    <w:rsid w:val="00C02897"/>
    <w:rsid w:val="00C22EBB"/>
    <w:rsid w:val="00C97039"/>
    <w:rsid w:val="00CB28DC"/>
    <w:rsid w:val="00D3439C"/>
    <w:rsid w:val="00DB1831"/>
    <w:rsid w:val="00DD3BFD"/>
    <w:rsid w:val="00DF6678"/>
    <w:rsid w:val="00E85C74"/>
    <w:rsid w:val="00EA6547"/>
    <w:rsid w:val="00EC74A4"/>
    <w:rsid w:val="00ED569D"/>
    <w:rsid w:val="00EF2E22"/>
    <w:rsid w:val="00F31FF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446A13-E403-483F-94CD-A096C96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5453C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ECE/TRANS/WP.15/2017/7</vt:lpstr>
      <vt:lpstr>ECE/TRANS/WP.15/2017/7</vt:lpstr>
    </vt:vector>
  </TitlesOfParts>
  <Company>DCM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ECE/TRANS/WP.15/2017/7</dc:title>
  <dc:subject/>
  <dc:creator>Bourion</dc:creator>
  <cp:keywords/>
  <cp:lastModifiedBy>Christine Barrio-Champeau</cp:lastModifiedBy>
  <cp:revision>2</cp:revision>
  <cp:lastPrinted>2017-03-08T10:59:00Z</cp:lastPrinted>
  <dcterms:created xsi:type="dcterms:W3CDTF">2017-03-17T11:27:00Z</dcterms:created>
  <dcterms:modified xsi:type="dcterms:W3CDTF">2017-03-17T11:27:00Z</dcterms:modified>
</cp:coreProperties>
</file>