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4429EA" w:rsidTr="00B11BB4">
        <w:trPr>
          <w:cantSplit/>
          <w:trHeight w:hRule="exact" w:val="851"/>
        </w:trPr>
        <w:tc>
          <w:tcPr>
            <w:tcW w:w="1276" w:type="dxa"/>
            <w:tcBorders>
              <w:bottom w:val="single" w:sz="4" w:space="0" w:color="auto"/>
            </w:tcBorders>
            <w:shd w:val="clear" w:color="auto" w:fill="auto"/>
            <w:vAlign w:val="bottom"/>
          </w:tcPr>
          <w:p w:rsidR="00B56E9C" w:rsidRPr="004429EA" w:rsidRDefault="00B56E9C" w:rsidP="00B11BB4">
            <w:pPr>
              <w:spacing w:after="80"/>
            </w:pPr>
          </w:p>
        </w:tc>
        <w:tc>
          <w:tcPr>
            <w:tcW w:w="2268" w:type="dxa"/>
            <w:tcBorders>
              <w:bottom w:val="single" w:sz="4" w:space="0" w:color="auto"/>
            </w:tcBorders>
            <w:shd w:val="clear" w:color="auto" w:fill="auto"/>
            <w:vAlign w:val="bottom"/>
          </w:tcPr>
          <w:p w:rsidR="00B56E9C" w:rsidRPr="004429EA"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4429EA" w:rsidRDefault="00CD57D2" w:rsidP="002209A1">
            <w:pPr>
              <w:suppressAutoHyphens w:val="0"/>
              <w:spacing w:after="20"/>
              <w:jc w:val="right"/>
              <w:rPr>
                <w:b/>
                <w:sz w:val="28"/>
                <w:szCs w:val="28"/>
              </w:rPr>
            </w:pPr>
            <w:r w:rsidRPr="004429EA">
              <w:rPr>
                <w:b/>
                <w:sz w:val="28"/>
                <w:szCs w:val="28"/>
              </w:rPr>
              <w:t>INF.</w:t>
            </w:r>
            <w:r w:rsidR="002209A1">
              <w:rPr>
                <w:b/>
                <w:sz w:val="28"/>
                <w:szCs w:val="28"/>
              </w:rPr>
              <w:t>8</w:t>
            </w:r>
          </w:p>
        </w:tc>
      </w:tr>
    </w:tbl>
    <w:p w:rsidR="00AB32F7" w:rsidRPr="004429EA" w:rsidRDefault="00AB32F7" w:rsidP="00AB32F7">
      <w:pPr>
        <w:spacing w:before="120"/>
        <w:rPr>
          <w:b/>
          <w:sz w:val="28"/>
          <w:szCs w:val="28"/>
        </w:rPr>
      </w:pPr>
      <w:r w:rsidRPr="004429EA">
        <w:rPr>
          <w:b/>
          <w:sz w:val="28"/>
          <w:szCs w:val="28"/>
        </w:rPr>
        <w:t>Economic Commission for Europe</w:t>
      </w:r>
    </w:p>
    <w:p w:rsidR="00AB32F7" w:rsidRPr="004429EA" w:rsidRDefault="00AB32F7" w:rsidP="00AB32F7">
      <w:pPr>
        <w:spacing w:before="120"/>
        <w:rPr>
          <w:sz w:val="28"/>
          <w:szCs w:val="28"/>
        </w:rPr>
      </w:pPr>
      <w:r w:rsidRPr="004429EA">
        <w:rPr>
          <w:sz w:val="28"/>
          <w:szCs w:val="28"/>
        </w:rPr>
        <w:t>Inland Transport Committee</w:t>
      </w:r>
    </w:p>
    <w:p w:rsidR="00AB32F7" w:rsidRPr="004429EA" w:rsidRDefault="00AB32F7" w:rsidP="00AB32F7">
      <w:pPr>
        <w:spacing w:before="120"/>
        <w:rPr>
          <w:b/>
          <w:sz w:val="24"/>
          <w:szCs w:val="24"/>
        </w:rPr>
      </w:pPr>
      <w:r w:rsidRPr="004429EA">
        <w:rPr>
          <w:b/>
          <w:sz w:val="24"/>
          <w:szCs w:val="24"/>
        </w:rPr>
        <w:t>Working Party on the Transport of Dangerous Goods</w:t>
      </w:r>
    </w:p>
    <w:p w:rsidR="00AB32F7" w:rsidRPr="004429EA" w:rsidRDefault="00A44D24" w:rsidP="00AB32F7">
      <w:pPr>
        <w:spacing w:before="120"/>
        <w:rPr>
          <w:b/>
        </w:rPr>
      </w:pPr>
      <w:proofErr w:type="gramStart"/>
      <w:r w:rsidRPr="004429EA">
        <w:rPr>
          <w:b/>
        </w:rPr>
        <w:t>10</w:t>
      </w:r>
      <w:r w:rsidR="00FB1A29" w:rsidRPr="004429EA">
        <w:rPr>
          <w:b/>
        </w:rPr>
        <w:t>3</w:t>
      </w:r>
      <w:r w:rsidR="00A95D61" w:rsidRPr="004429EA">
        <w:rPr>
          <w:b/>
        </w:rPr>
        <w:t>r</w:t>
      </w:r>
      <w:r w:rsidRPr="004429EA">
        <w:rPr>
          <w:b/>
        </w:rPr>
        <w:t>d</w:t>
      </w:r>
      <w:proofErr w:type="gramEnd"/>
      <w:r w:rsidR="00AB32F7" w:rsidRPr="004429EA">
        <w:rPr>
          <w:b/>
        </w:rPr>
        <w:t xml:space="preserve"> session</w:t>
      </w:r>
      <w:r w:rsidR="00AB32F7" w:rsidRPr="004429EA">
        <w:rPr>
          <w:b/>
        </w:rPr>
        <w:tab/>
      </w:r>
      <w:r w:rsidR="00AB32F7" w:rsidRPr="004429EA">
        <w:rPr>
          <w:b/>
        </w:rPr>
        <w:tab/>
      </w:r>
      <w:r w:rsidR="00AB32F7" w:rsidRPr="004429EA">
        <w:rPr>
          <w:b/>
        </w:rPr>
        <w:tab/>
      </w:r>
      <w:r w:rsidR="00AB32F7" w:rsidRPr="004429EA">
        <w:rPr>
          <w:b/>
        </w:rPr>
        <w:tab/>
      </w:r>
      <w:r w:rsidR="00AB32F7" w:rsidRPr="004429EA">
        <w:rPr>
          <w:b/>
        </w:rPr>
        <w:tab/>
      </w:r>
      <w:r w:rsidR="00AB32F7" w:rsidRPr="004429EA">
        <w:rPr>
          <w:b/>
        </w:rPr>
        <w:tab/>
      </w:r>
      <w:r w:rsidR="00AB32F7" w:rsidRPr="004429EA">
        <w:rPr>
          <w:b/>
        </w:rPr>
        <w:tab/>
      </w:r>
      <w:r w:rsidR="00AB32F7" w:rsidRPr="004429EA">
        <w:rPr>
          <w:b/>
        </w:rPr>
        <w:tab/>
      </w:r>
      <w:r w:rsidR="00AB32F7" w:rsidRPr="004429EA">
        <w:rPr>
          <w:b/>
        </w:rPr>
        <w:tab/>
      </w:r>
      <w:r w:rsidR="00AB32F7" w:rsidRPr="004429EA">
        <w:rPr>
          <w:b/>
        </w:rPr>
        <w:tab/>
      </w:r>
      <w:r w:rsidR="00AB32F7" w:rsidRPr="004429EA">
        <w:rPr>
          <w:b/>
        </w:rPr>
        <w:tab/>
      </w:r>
      <w:r w:rsidR="004429EA" w:rsidRPr="004429EA">
        <w:rPr>
          <w:b/>
        </w:rPr>
        <w:t>2</w:t>
      </w:r>
      <w:r w:rsidR="002209A1">
        <w:rPr>
          <w:b/>
        </w:rPr>
        <w:t>3</w:t>
      </w:r>
      <w:r w:rsidR="008C678F" w:rsidRPr="004429EA">
        <w:rPr>
          <w:b/>
        </w:rPr>
        <w:t xml:space="preserve"> October</w:t>
      </w:r>
      <w:r w:rsidRPr="004429EA">
        <w:rPr>
          <w:b/>
        </w:rPr>
        <w:t xml:space="preserve"> 2017</w:t>
      </w:r>
    </w:p>
    <w:p w:rsidR="00AB32F7" w:rsidRPr="004429EA" w:rsidRDefault="00AB32F7" w:rsidP="00AB32F7">
      <w:r w:rsidRPr="004429EA">
        <w:t xml:space="preserve">Geneva, </w:t>
      </w:r>
      <w:r w:rsidR="00FB1A29" w:rsidRPr="004429EA">
        <w:t>6</w:t>
      </w:r>
      <w:r w:rsidR="00875C74" w:rsidRPr="004429EA">
        <w:t>-</w:t>
      </w:r>
      <w:r w:rsidR="00B25EB2" w:rsidRPr="004429EA">
        <w:t>1</w:t>
      </w:r>
      <w:r w:rsidR="00FB1A29" w:rsidRPr="004429EA">
        <w:t>0</w:t>
      </w:r>
      <w:r w:rsidRPr="004429EA">
        <w:t xml:space="preserve"> </w:t>
      </w:r>
      <w:r w:rsidR="00FB1A29" w:rsidRPr="004429EA">
        <w:t>November</w:t>
      </w:r>
      <w:r w:rsidRPr="004429EA">
        <w:t xml:space="preserve"> </w:t>
      </w:r>
      <w:r w:rsidR="00B25EB2" w:rsidRPr="004429EA">
        <w:t>201</w:t>
      </w:r>
      <w:r w:rsidR="00A44D24" w:rsidRPr="004429EA">
        <w:t>7</w:t>
      </w:r>
    </w:p>
    <w:p w:rsidR="00EF1182" w:rsidRPr="004429EA" w:rsidRDefault="00EF1182" w:rsidP="00EF1182">
      <w:r w:rsidRPr="004429EA">
        <w:t xml:space="preserve">Item </w:t>
      </w:r>
      <w:proofErr w:type="gramStart"/>
      <w:r w:rsidR="004429EA" w:rsidRPr="004429EA">
        <w:t>8</w:t>
      </w:r>
      <w:proofErr w:type="gramEnd"/>
      <w:r w:rsidRPr="004429EA">
        <w:t xml:space="preserve"> of the provisional agenda</w:t>
      </w:r>
    </w:p>
    <w:p w:rsidR="002F3C64" w:rsidRPr="004429EA" w:rsidRDefault="004429EA" w:rsidP="00EF1182">
      <w:pPr>
        <w:rPr>
          <w:b/>
        </w:rPr>
      </w:pPr>
      <w:r w:rsidRPr="004429EA">
        <w:rPr>
          <w:b/>
        </w:rPr>
        <w:t>Sixtieth anniversary of ADR</w:t>
      </w:r>
    </w:p>
    <w:p w:rsidR="00A30C84" w:rsidRPr="004429EA" w:rsidRDefault="003D3380" w:rsidP="00EF1182">
      <w:pPr>
        <w:pStyle w:val="HChG"/>
        <w:rPr>
          <w:lang w:val="en-GB"/>
        </w:rPr>
      </w:pPr>
      <w:r w:rsidRPr="004429EA">
        <w:rPr>
          <w:lang w:val="en-GB"/>
        </w:rPr>
        <w:tab/>
      </w:r>
      <w:r w:rsidRPr="004429EA">
        <w:rPr>
          <w:lang w:val="en-GB"/>
        </w:rPr>
        <w:tab/>
      </w:r>
      <w:r w:rsidR="004429EA" w:rsidRPr="004429EA">
        <w:rPr>
          <w:lang w:val="en-GB"/>
        </w:rPr>
        <w:t>Sixtieth anniversary of ADR – Open discussion</w:t>
      </w:r>
    </w:p>
    <w:p w:rsidR="00A30C84" w:rsidRPr="004429EA" w:rsidRDefault="00A30C84" w:rsidP="00A30C84">
      <w:pPr>
        <w:pStyle w:val="H1G"/>
      </w:pPr>
      <w:r w:rsidRPr="004429EA">
        <w:tab/>
      </w:r>
      <w:r w:rsidRPr="004429EA">
        <w:tab/>
      </w:r>
      <w:r w:rsidR="004429EA" w:rsidRPr="004429EA">
        <w:t>Note by the secretariat</w:t>
      </w:r>
    </w:p>
    <w:p w:rsidR="004429EA" w:rsidRPr="004429EA" w:rsidRDefault="004429EA" w:rsidP="004429EA">
      <w:pPr>
        <w:pStyle w:val="HChG"/>
        <w:rPr>
          <w:lang w:val="en-GB"/>
        </w:rPr>
      </w:pPr>
      <w:r w:rsidRPr="004429EA">
        <w:rPr>
          <w:lang w:val="en-GB"/>
        </w:rPr>
        <w:tab/>
      </w:r>
      <w:r w:rsidRPr="004429EA">
        <w:rPr>
          <w:lang w:val="en-GB"/>
        </w:rPr>
        <w:tab/>
        <w:t>Introduction</w:t>
      </w:r>
    </w:p>
    <w:p w:rsidR="004429EA" w:rsidRDefault="004429EA" w:rsidP="004429EA">
      <w:pPr>
        <w:pStyle w:val="SingleTxtG"/>
        <w:rPr>
          <w:lang w:val="en-GB"/>
        </w:rPr>
      </w:pPr>
      <w:r w:rsidRPr="004429EA">
        <w:rPr>
          <w:lang w:val="en-GB"/>
        </w:rPr>
        <w:t>1.</w:t>
      </w:r>
      <w:r w:rsidRPr="004429EA">
        <w:rPr>
          <w:lang w:val="en-GB"/>
        </w:rPr>
        <w:tab/>
        <w:t xml:space="preserve">As indicated in the annotated agenda for the 103rd session (ECE/TRANS/WP.15/238/Add.1), </w:t>
      </w:r>
      <w:r w:rsidR="000154F1">
        <w:rPr>
          <w:lang w:val="en-GB"/>
        </w:rPr>
        <w:t xml:space="preserve">the Working Party had planned to dedicate </w:t>
      </w:r>
      <w:r w:rsidRPr="004429EA">
        <w:rPr>
          <w:lang w:val="en-GB"/>
        </w:rPr>
        <w:t>the afternoon of 6 November 2017 to the celebration of the 60th anniversary of the European Agreement Concerning the International Carriage of</w:t>
      </w:r>
      <w:r>
        <w:rPr>
          <w:lang w:val="en-GB"/>
        </w:rPr>
        <w:t xml:space="preserve"> Dangerous Goods by Road (ADR).</w:t>
      </w:r>
    </w:p>
    <w:p w:rsidR="004429EA" w:rsidRDefault="004429EA" w:rsidP="004429EA">
      <w:pPr>
        <w:pStyle w:val="SingleTxtG"/>
        <w:rPr>
          <w:lang w:val="en-GB"/>
        </w:rPr>
      </w:pPr>
      <w:r w:rsidRPr="004429EA">
        <w:rPr>
          <w:lang w:val="en-GB"/>
        </w:rPr>
        <w:t>2.</w:t>
      </w:r>
      <w:r w:rsidRPr="004429EA">
        <w:rPr>
          <w:lang w:val="en-GB"/>
        </w:rPr>
        <w:tab/>
        <w:t>As the secretariat did not receive any proposal concerning the moderation or presentation for a possible round-table</w:t>
      </w:r>
      <w:r>
        <w:rPr>
          <w:lang w:val="en-GB"/>
        </w:rPr>
        <w:t xml:space="preserve">, and </w:t>
      </w:r>
      <w:r w:rsidRPr="004429EA">
        <w:rPr>
          <w:lang w:val="en-GB"/>
        </w:rPr>
        <w:t>after consultation with the bureau, the secretariat would like to propose to reserve</w:t>
      </w:r>
      <w:r>
        <w:rPr>
          <w:lang w:val="en-GB"/>
        </w:rPr>
        <w:t xml:space="preserve"> the first part of the afternoon session (from 2.30 PM to 4.00 PM) </w:t>
      </w:r>
      <w:r w:rsidRPr="004429EA">
        <w:rPr>
          <w:lang w:val="en-GB"/>
        </w:rPr>
        <w:t xml:space="preserve">for an open discussion on the future of ADR and of the Working Party. </w:t>
      </w:r>
    </w:p>
    <w:p w:rsidR="004429EA" w:rsidRDefault="004429EA" w:rsidP="004429EA">
      <w:pPr>
        <w:pStyle w:val="SingleTxtG"/>
        <w:rPr>
          <w:sz w:val="24"/>
          <w:szCs w:val="24"/>
          <w:lang w:val="en-GB"/>
        </w:rPr>
      </w:pPr>
      <w:r>
        <w:rPr>
          <w:lang w:val="en-GB"/>
        </w:rPr>
        <w:t>3.</w:t>
      </w:r>
      <w:r>
        <w:rPr>
          <w:lang w:val="en-GB"/>
        </w:rPr>
        <w:tab/>
      </w:r>
      <w:r w:rsidRPr="004429EA">
        <w:rPr>
          <w:lang w:val="en-GB"/>
        </w:rPr>
        <w:t xml:space="preserve">In this respect, delegations participating in the meeting </w:t>
      </w:r>
      <w:r w:rsidR="00402065">
        <w:rPr>
          <w:lang w:val="en-GB"/>
        </w:rPr>
        <w:t>might want to give their views</w:t>
      </w:r>
      <w:r w:rsidRPr="004429EA">
        <w:rPr>
          <w:lang w:val="en-GB"/>
        </w:rPr>
        <w:t xml:space="preserve"> on the following issues:</w:t>
      </w:r>
    </w:p>
    <w:p w:rsidR="004429EA" w:rsidRDefault="004429EA" w:rsidP="004429EA">
      <w:pPr>
        <w:pStyle w:val="SingleTxtG"/>
        <w:rPr>
          <w:lang w:val="en-GB"/>
        </w:rPr>
      </w:pPr>
      <w:r w:rsidRPr="004429EA">
        <w:rPr>
          <w:lang w:val="en-GB"/>
        </w:rPr>
        <w:t>-</w:t>
      </w:r>
      <w:r>
        <w:rPr>
          <w:lang w:val="en-GB"/>
        </w:rPr>
        <w:tab/>
      </w:r>
      <w:r w:rsidRPr="004429EA">
        <w:rPr>
          <w:lang w:val="en-GB"/>
        </w:rPr>
        <w:t xml:space="preserve">Which developments of ADR </w:t>
      </w:r>
      <w:r>
        <w:rPr>
          <w:lang w:val="en-GB"/>
        </w:rPr>
        <w:t xml:space="preserve">and of the work of the Working Party </w:t>
      </w:r>
      <w:r w:rsidR="000154F1">
        <w:rPr>
          <w:lang w:val="en-GB"/>
        </w:rPr>
        <w:t>do you foresee</w:t>
      </w:r>
      <w:r w:rsidRPr="004429EA">
        <w:rPr>
          <w:lang w:val="en-GB"/>
        </w:rPr>
        <w:t xml:space="preserve"> in the next decades?</w:t>
      </w:r>
    </w:p>
    <w:p w:rsidR="004429EA" w:rsidRDefault="004429EA" w:rsidP="004429EA">
      <w:pPr>
        <w:pStyle w:val="SingleTxtG"/>
        <w:rPr>
          <w:sz w:val="24"/>
          <w:szCs w:val="24"/>
          <w:lang w:val="en-GB"/>
        </w:rPr>
      </w:pPr>
      <w:r w:rsidRPr="004429EA">
        <w:rPr>
          <w:lang w:val="en-GB"/>
        </w:rPr>
        <w:t xml:space="preserve">- </w:t>
      </w:r>
      <w:r>
        <w:rPr>
          <w:lang w:val="en-GB"/>
        </w:rPr>
        <w:tab/>
      </w:r>
      <w:r w:rsidRPr="004429EA">
        <w:rPr>
          <w:lang w:val="en-GB"/>
        </w:rPr>
        <w:t>How can the Working Party help countries to achieve the Sustainable Development Goals (SDGs) of the United Nations' 2030 Agenda for Sustainable Development?</w:t>
      </w:r>
    </w:p>
    <w:p w:rsidR="004429EA" w:rsidRDefault="004429EA" w:rsidP="004429EA">
      <w:pPr>
        <w:pStyle w:val="SingleTxtG"/>
        <w:rPr>
          <w:lang w:val="en-GB"/>
        </w:rPr>
      </w:pPr>
      <w:r>
        <w:rPr>
          <w:lang w:val="en-GB"/>
        </w:rPr>
        <w:t>4.</w:t>
      </w:r>
      <w:r>
        <w:rPr>
          <w:lang w:val="en-GB"/>
        </w:rPr>
        <w:tab/>
      </w:r>
      <w:r w:rsidR="00402065" w:rsidRPr="00402065">
        <w:rPr>
          <w:lang w:val="en-GB"/>
        </w:rPr>
        <w:t xml:space="preserve">On </w:t>
      </w:r>
      <w:r w:rsidR="00402065">
        <w:rPr>
          <w:lang w:val="en-GB"/>
        </w:rPr>
        <w:t xml:space="preserve">25 </w:t>
      </w:r>
      <w:r w:rsidR="00402065" w:rsidRPr="00402065">
        <w:rPr>
          <w:lang w:val="en-GB"/>
        </w:rPr>
        <w:t xml:space="preserve">September 2015, countries adopted </w:t>
      </w:r>
      <w:r w:rsidR="00676523">
        <w:rPr>
          <w:lang w:val="en-GB"/>
        </w:rPr>
        <w:t>the SDGs to</w:t>
      </w:r>
      <w:r w:rsidR="00402065" w:rsidRPr="00402065">
        <w:rPr>
          <w:lang w:val="en-GB"/>
        </w:rPr>
        <w:t xml:space="preserve"> end poverty, protect the planet, and ensure prosperity for all as part. Each goal has specific targets </w:t>
      </w:r>
      <w:r w:rsidR="000154F1">
        <w:rPr>
          <w:lang w:val="en-GB"/>
        </w:rPr>
        <w:t>for</w:t>
      </w:r>
      <w:r w:rsidR="00402065" w:rsidRPr="00402065">
        <w:rPr>
          <w:lang w:val="en-GB"/>
        </w:rPr>
        <w:t xml:space="preserve"> the next 15 years.</w:t>
      </w:r>
      <w:r w:rsidR="00676523">
        <w:rPr>
          <w:lang w:val="en-GB"/>
        </w:rPr>
        <w:t xml:space="preserve"> </w:t>
      </w:r>
      <w:proofErr w:type="gramStart"/>
      <w:r w:rsidRPr="004429EA">
        <w:rPr>
          <w:lang w:val="en-GB"/>
        </w:rPr>
        <w:t>As a guide for discussion,</w:t>
      </w:r>
      <w:proofErr w:type="gramEnd"/>
      <w:r w:rsidRPr="004429EA">
        <w:rPr>
          <w:lang w:val="en-GB"/>
        </w:rPr>
        <w:t xml:space="preserve"> </w:t>
      </w:r>
      <w:proofErr w:type="gramStart"/>
      <w:r w:rsidRPr="004429EA">
        <w:rPr>
          <w:lang w:val="en-GB"/>
        </w:rPr>
        <w:t>the secretariat</w:t>
      </w:r>
      <w:proofErr w:type="gramEnd"/>
      <w:r w:rsidRPr="004429EA">
        <w:rPr>
          <w:lang w:val="en-GB"/>
        </w:rPr>
        <w:t xml:space="preserve"> </w:t>
      </w:r>
      <w:r>
        <w:rPr>
          <w:lang w:val="en-GB"/>
        </w:rPr>
        <w:t xml:space="preserve">prepared the table </w:t>
      </w:r>
      <w:r w:rsidR="000154F1">
        <w:rPr>
          <w:lang w:val="en-GB"/>
        </w:rPr>
        <w:t>above</w:t>
      </w:r>
      <w:r w:rsidRPr="004429EA">
        <w:rPr>
          <w:lang w:val="en-GB"/>
        </w:rPr>
        <w:t xml:space="preserve"> with the list of SDGs and </w:t>
      </w:r>
      <w:r w:rsidR="00676523">
        <w:rPr>
          <w:lang w:val="en-GB"/>
        </w:rPr>
        <w:t xml:space="preserve">a non-exhaustive list of </w:t>
      </w:r>
      <w:r w:rsidRPr="004429EA">
        <w:rPr>
          <w:lang w:val="en-GB"/>
        </w:rPr>
        <w:t xml:space="preserve">related targets </w:t>
      </w:r>
      <w:r>
        <w:rPr>
          <w:lang w:val="en-GB"/>
        </w:rPr>
        <w:t>that may be t</w:t>
      </w:r>
      <w:bookmarkStart w:id="0" w:name="_GoBack"/>
      <w:bookmarkEnd w:id="0"/>
      <w:r>
        <w:rPr>
          <w:lang w:val="en-GB"/>
        </w:rPr>
        <w:t>he most</w:t>
      </w:r>
      <w:r w:rsidRPr="004429EA">
        <w:rPr>
          <w:lang w:val="en-GB"/>
        </w:rPr>
        <w:t xml:space="preserve"> relevant for the </w:t>
      </w:r>
      <w:r>
        <w:rPr>
          <w:lang w:val="en-GB"/>
        </w:rPr>
        <w:t>work of the Working Party.</w:t>
      </w:r>
    </w:p>
    <w:p w:rsidR="00402065" w:rsidRDefault="00402065" w:rsidP="004429EA">
      <w:pPr>
        <w:pStyle w:val="SingleTxtG"/>
        <w:rPr>
          <w:lang w:val="en-GB"/>
        </w:rPr>
      </w:pPr>
      <w:r>
        <w:rPr>
          <w:lang w:val="en-GB"/>
        </w:rPr>
        <w:t>5.</w:t>
      </w:r>
      <w:r>
        <w:rPr>
          <w:lang w:val="en-GB"/>
        </w:rPr>
        <w:tab/>
        <w:t xml:space="preserve">Information on the SDGs is also available at </w:t>
      </w:r>
      <w:hyperlink r:id="rId8" w:history="1">
        <w:r w:rsidRPr="00266537">
          <w:rPr>
            <w:rStyle w:val="Hyperlink"/>
            <w:lang w:val="en-GB"/>
          </w:rPr>
          <w:t>http://www.un.org/sustainabledevelopment/sustainable-development-goals/</w:t>
        </w:r>
      </w:hyperlink>
      <w:r>
        <w:rPr>
          <w:lang w:val="en-GB"/>
        </w:rPr>
        <w:t xml:space="preserve"> and </w:t>
      </w:r>
      <w:hyperlink r:id="rId9" w:history="1">
        <w:r w:rsidRPr="00266537">
          <w:rPr>
            <w:rStyle w:val="Hyperlink"/>
            <w:lang w:val="en-GB"/>
          </w:rPr>
          <w:t>http://www.unece.org/info/about-unece/mission/unece-and-the-global-goals.html</w:t>
        </w:r>
      </w:hyperlink>
      <w:r>
        <w:rPr>
          <w:lang w:val="en-GB"/>
        </w:rPr>
        <w:t xml:space="preserve"> </w:t>
      </w:r>
    </w:p>
    <w:p w:rsidR="00676523" w:rsidRDefault="000154F1" w:rsidP="000154F1">
      <w:pPr>
        <w:pStyle w:val="SingleTxtG"/>
        <w:jc w:val="left"/>
        <w:rPr>
          <w:lang w:val="en-GB"/>
        </w:rPr>
      </w:pPr>
      <w:r>
        <w:rPr>
          <w:lang w:val="en-GB"/>
        </w:rPr>
        <w:t>6.</w:t>
      </w:r>
      <w:r>
        <w:rPr>
          <w:lang w:val="en-GB"/>
        </w:rPr>
        <w:tab/>
        <w:t>See also General Assembly resolution A/RES/70/1 in English, French, Russian and other United Nations languages at</w:t>
      </w:r>
      <w:proofErr w:type="gramStart"/>
      <w:r>
        <w:rPr>
          <w:lang w:val="en-GB"/>
        </w:rPr>
        <w:t>:</w:t>
      </w:r>
      <w:proofErr w:type="gramEnd"/>
      <w:r>
        <w:rPr>
          <w:lang w:val="en-GB"/>
        </w:rPr>
        <w:br/>
      </w:r>
      <w:hyperlink r:id="rId10" w:history="1">
        <w:r w:rsidRPr="001362A4">
          <w:rPr>
            <w:rStyle w:val="Hyperlink"/>
            <w:lang w:val="en-GB"/>
          </w:rPr>
          <w:t>https://sustainabledevelopment.un.org/index.php?page=view&amp;type=111&amp;nr=8496&amp;menu=35</w:t>
        </w:r>
      </w:hyperlink>
    </w:p>
    <w:p w:rsidR="00402065" w:rsidRDefault="00402065">
      <w:pPr>
        <w:suppressAutoHyphens w:val="0"/>
        <w:spacing w:line="240" w:lineRule="auto"/>
        <w:rPr>
          <w:u w:val="single"/>
        </w:rPr>
      </w:pPr>
      <w:r>
        <w:rPr>
          <w:u w:val="single"/>
        </w:rPr>
        <w:br w:type="page"/>
      </w:r>
    </w:p>
    <w:tbl>
      <w:tblPr>
        <w:tblStyle w:val="TableGrid"/>
        <w:tblW w:w="0" w:type="auto"/>
        <w:tblInd w:w="-5" w:type="dxa"/>
        <w:tblLook w:val="04A0" w:firstRow="1" w:lastRow="0" w:firstColumn="1" w:lastColumn="0" w:noHBand="0" w:noVBand="1"/>
      </w:tblPr>
      <w:tblGrid>
        <w:gridCol w:w="1921"/>
        <w:gridCol w:w="7713"/>
      </w:tblGrid>
      <w:tr w:rsidR="00143762" w:rsidRPr="00676523" w:rsidTr="00143762">
        <w:tc>
          <w:tcPr>
            <w:tcW w:w="0" w:type="auto"/>
          </w:tcPr>
          <w:p w:rsidR="00143762" w:rsidRPr="00676523" w:rsidRDefault="00143762" w:rsidP="00676523">
            <w:pPr>
              <w:spacing w:line="240" w:lineRule="auto"/>
              <w:jc w:val="center"/>
            </w:pPr>
            <w:r w:rsidRPr="00676523">
              <w:lastRenderedPageBreak/>
              <w:t>Goal</w:t>
            </w:r>
          </w:p>
        </w:tc>
        <w:tc>
          <w:tcPr>
            <w:tcW w:w="0" w:type="auto"/>
          </w:tcPr>
          <w:p w:rsidR="00143762" w:rsidRPr="00676523" w:rsidRDefault="00143762" w:rsidP="00676523">
            <w:pPr>
              <w:spacing w:line="240" w:lineRule="auto"/>
              <w:jc w:val="center"/>
            </w:pPr>
            <w:r w:rsidRPr="00676523">
              <w:t>Targets proposed as most relevant for the work of the Working Party</w:t>
            </w:r>
          </w:p>
        </w:tc>
      </w:tr>
      <w:tr w:rsidR="00143762" w:rsidRPr="00676523" w:rsidTr="00143762">
        <w:tc>
          <w:tcPr>
            <w:tcW w:w="0" w:type="auto"/>
          </w:tcPr>
          <w:p w:rsidR="00143762" w:rsidRPr="00676523" w:rsidRDefault="00143762" w:rsidP="00676523">
            <w:pPr>
              <w:spacing w:line="240" w:lineRule="auto"/>
              <w:jc w:val="center"/>
            </w:pPr>
            <w:r>
              <w:t>3. Good health and well-being</w:t>
            </w:r>
          </w:p>
        </w:tc>
        <w:tc>
          <w:tcPr>
            <w:tcW w:w="0" w:type="auto"/>
          </w:tcPr>
          <w:p w:rsidR="00143762" w:rsidRDefault="00143762" w:rsidP="0030420D">
            <w:pPr>
              <w:spacing w:line="240" w:lineRule="auto"/>
            </w:pPr>
            <w:r w:rsidRPr="001F4D76">
              <w:t>3.6</w:t>
            </w:r>
            <w:r w:rsidRPr="001F4D76">
              <w:tab/>
              <w:t>By 2020, halve the number of global deaths and injuries from road traffic accidents</w:t>
            </w:r>
          </w:p>
          <w:p w:rsidR="00143762" w:rsidRDefault="00143762" w:rsidP="0030420D">
            <w:pPr>
              <w:spacing w:line="240" w:lineRule="auto"/>
            </w:pPr>
            <w:r w:rsidRPr="001F4D76">
              <w:t>3.9</w:t>
            </w:r>
            <w:r w:rsidRPr="001F4D76">
              <w:tab/>
              <w:t>By 2030, substantially reduce the number of deaths and illnesses from hazardous chemicals and air, water and soil pollution and contamination</w:t>
            </w:r>
          </w:p>
          <w:p w:rsidR="00143762" w:rsidRPr="00676523" w:rsidRDefault="00143762" w:rsidP="0030420D">
            <w:pPr>
              <w:spacing w:line="240" w:lineRule="auto"/>
            </w:pPr>
            <w:r w:rsidRPr="001F4D76">
              <w:t>3.d</w:t>
            </w:r>
            <w:r w:rsidRPr="001F4D76">
              <w:tab/>
              <w:t>Strengthen the capacity of all countries, in particular developing countries, for early warning, risk reduction and management of national and global health risks</w:t>
            </w:r>
          </w:p>
        </w:tc>
      </w:tr>
      <w:tr w:rsidR="00143762" w:rsidRPr="00676523" w:rsidTr="00143762">
        <w:tc>
          <w:tcPr>
            <w:tcW w:w="0" w:type="auto"/>
          </w:tcPr>
          <w:p w:rsidR="00143762" w:rsidRPr="00676523" w:rsidRDefault="00143762" w:rsidP="00676523">
            <w:pPr>
              <w:spacing w:line="240" w:lineRule="auto"/>
              <w:jc w:val="center"/>
            </w:pPr>
            <w:r>
              <w:t>6. Clean water and sanitation</w:t>
            </w:r>
          </w:p>
        </w:tc>
        <w:tc>
          <w:tcPr>
            <w:tcW w:w="0" w:type="auto"/>
          </w:tcPr>
          <w:p w:rsidR="00143762" w:rsidRDefault="00143762" w:rsidP="0030420D">
            <w:pPr>
              <w:spacing w:line="240" w:lineRule="auto"/>
            </w:pPr>
            <w:r w:rsidRPr="001F4D76">
              <w:t>6.3</w:t>
            </w:r>
            <w:r w:rsidRPr="001F4D76">
              <w:tab/>
              <w:t>By 2030, improve water quality by reducing pollution, eliminating dumping and minimizing release of hazardous chemicals and materials, halving the proportion of untreated wastewater and substantially increasing recycling and safe reuse globally</w:t>
            </w:r>
          </w:p>
          <w:p w:rsidR="00143762" w:rsidRPr="00676523" w:rsidRDefault="00143762" w:rsidP="0030420D">
            <w:pPr>
              <w:spacing w:line="240" w:lineRule="auto"/>
            </w:pPr>
            <w:r w:rsidRPr="001F4D76">
              <w:t>6.6</w:t>
            </w:r>
            <w:r w:rsidRPr="001F4D76">
              <w:tab/>
              <w:t>By 2020, protect and restore water-related ecosystems, including mountains, forests, wetlands, rivers, aquifers and lakes</w:t>
            </w:r>
          </w:p>
        </w:tc>
      </w:tr>
      <w:tr w:rsidR="00143762" w:rsidRPr="00676523" w:rsidTr="00143762">
        <w:tc>
          <w:tcPr>
            <w:tcW w:w="0" w:type="auto"/>
          </w:tcPr>
          <w:p w:rsidR="00143762" w:rsidRPr="00676523" w:rsidRDefault="00143762" w:rsidP="00676523">
            <w:pPr>
              <w:spacing w:line="240" w:lineRule="auto"/>
              <w:jc w:val="center"/>
            </w:pPr>
            <w:r>
              <w:t>8. Decent work and economic growth</w:t>
            </w:r>
          </w:p>
        </w:tc>
        <w:tc>
          <w:tcPr>
            <w:tcW w:w="0" w:type="auto"/>
          </w:tcPr>
          <w:p w:rsidR="00143762" w:rsidRDefault="00143762" w:rsidP="00837CA8">
            <w:pPr>
              <w:spacing w:line="240" w:lineRule="auto"/>
            </w:pPr>
            <w:r>
              <w:t>8.1</w:t>
            </w:r>
            <w:r>
              <w:tab/>
              <w:t>Sustain per capita economic growth in accordance with national circumstances and, in particular, at least 7 per cent gross domestic product growth per annum in the least developed countries</w:t>
            </w:r>
          </w:p>
          <w:p w:rsidR="00143762" w:rsidRDefault="00143762" w:rsidP="00837CA8">
            <w:pPr>
              <w:spacing w:line="240" w:lineRule="auto"/>
            </w:pPr>
            <w:r>
              <w:t>8.2</w:t>
            </w:r>
            <w:r>
              <w:tab/>
              <w:t>Achieve higher levels of economic productivity through diversification, technological upgrading and innovation, including through a focus on high-value added and labour-intensive sectors</w:t>
            </w:r>
          </w:p>
          <w:p w:rsidR="00143762" w:rsidRPr="00676523" w:rsidRDefault="00143762" w:rsidP="00837CA8">
            <w:pPr>
              <w:spacing w:line="240" w:lineRule="auto"/>
            </w:pPr>
            <w:r w:rsidRPr="00837CA8">
              <w:t>8.4</w:t>
            </w:r>
            <w:r w:rsidRPr="00837CA8">
              <w:tab/>
              <w:t>Improve progressively, through 2030, global resource efficiency in consumption and production and endeavour to decouple economic growth from environmental degradation, in accordance with the 10 Year Framework of Programmes on Sustainable Consumption and Production, with developed countries taking the lead</w:t>
            </w:r>
          </w:p>
        </w:tc>
      </w:tr>
      <w:tr w:rsidR="00143762" w:rsidRPr="00676523" w:rsidTr="00143762">
        <w:tc>
          <w:tcPr>
            <w:tcW w:w="0" w:type="auto"/>
          </w:tcPr>
          <w:p w:rsidR="00143762" w:rsidRPr="00676523" w:rsidRDefault="00143762" w:rsidP="00676523">
            <w:pPr>
              <w:spacing w:line="240" w:lineRule="auto"/>
              <w:jc w:val="center"/>
            </w:pPr>
            <w:r>
              <w:t>9. Industry, innovation and infrastructure</w:t>
            </w:r>
          </w:p>
        </w:tc>
        <w:tc>
          <w:tcPr>
            <w:tcW w:w="0" w:type="auto"/>
          </w:tcPr>
          <w:p w:rsidR="00143762" w:rsidRPr="00676523" w:rsidRDefault="00143762" w:rsidP="0030420D">
            <w:pPr>
              <w:spacing w:line="240" w:lineRule="auto"/>
            </w:pPr>
            <w:r w:rsidRPr="001F4D76">
              <w:t>9.4</w:t>
            </w:r>
            <w:r w:rsidRPr="001F4D76">
              <w:tab/>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tc>
      </w:tr>
      <w:tr w:rsidR="00143762" w:rsidRPr="00676523" w:rsidTr="00143762">
        <w:tc>
          <w:tcPr>
            <w:tcW w:w="0" w:type="auto"/>
          </w:tcPr>
          <w:p w:rsidR="00143762" w:rsidRPr="00676523" w:rsidRDefault="00143762" w:rsidP="00676523">
            <w:pPr>
              <w:spacing w:line="240" w:lineRule="auto"/>
              <w:jc w:val="center"/>
            </w:pPr>
            <w:r>
              <w:t>11. Sustainable cities and communities</w:t>
            </w:r>
          </w:p>
        </w:tc>
        <w:tc>
          <w:tcPr>
            <w:tcW w:w="0" w:type="auto"/>
          </w:tcPr>
          <w:p w:rsidR="00143762" w:rsidRDefault="00143762" w:rsidP="0030420D">
            <w:pPr>
              <w:spacing w:line="240" w:lineRule="auto"/>
            </w:pPr>
            <w:r w:rsidRPr="00970AEF">
              <w:t>11.2</w:t>
            </w:r>
            <w:r w:rsidRPr="00970AEF">
              <w:tab/>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143762" w:rsidRPr="00676523" w:rsidRDefault="00143762" w:rsidP="0030420D">
            <w:pPr>
              <w:spacing w:line="240" w:lineRule="auto"/>
            </w:pPr>
            <w:r w:rsidRPr="001F4D76">
              <w:t>11.5</w:t>
            </w:r>
            <w:r w:rsidRPr="001F4D76">
              <w:tab/>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tc>
      </w:tr>
      <w:tr w:rsidR="00143762" w:rsidRPr="00676523" w:rsidTr="00143762">
        <w:tc>
          <w:tcPr>
            <w:tcW w:w="0" w:type="auto"/>
          </w:tcPr>
          <w:p w:rsidR="00143762" w:rsidRDefault="00143762" w:rsidP="00676523">
            <w:pPr>
              <w:spacing w:line="240" w:lineRule="auto"/>
              <w:jc w:val="center"/>
            </w:pPr>
            <w:r>
              <w:t>12. Responsible consumption and production</w:t>
            </w:r>
          </w:p>
        </w:tc>
        <w:tc>
          <w:tcPr>
            <w:tcW w:w="0" w:type="auto"/>
          </w:tcPr>
          <w:p w:rsidR="00143762" w:rsidRPr="00676523" w:rsidRDefault="00143762" w:rsidP="0030420D">
            <w:pPr>
              <w:spacing w:line="240" w:lineRule="auto"/>
            </w:pPr>
            <w:r w:rsidRPr="001F4D76">
              <w:t>12.4</w:t>
            </w:r>
            <w:r w:rsidRPr="001F4D76">
              <w:tab/>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r>
      <w:tr w:rsidR="00143762" w:rsidRPr="00676523" w:rsidTr="00143762">
        <w:tc>
          <w:tcPr>
            <w:tcW w:w="0" w:type="auto"/>
          </w:tcPr>
          <w:p w:rsidR="00143762" w:rsidRPr="00676523" w:rsidRDefault="00143762" w:rsidP="00676523">
            <w:pPr>
              <w:spacing w:line="240" w:lineRule="auto"/>
              <w:jc w:val="center"/>
            </w:pPr>
            <w:r>
              <w:t>14. Life below water</w:t>
            </w:r>
          </w:p>
        </w:tc>
        <w:tc>
          <w:tcPr>
            <w:tcW w:w="0" w:type="auto"/>
          </w:tcPr>
          <w:p w:rsidR="00143762" w:rsidRPr="00676523" w:rsidRDefault="00143762" w:rsidP="0030420D">
            <w:pPr>
              <w:spacing w:line="240" w:lineRule="auto"/>
            </w:pPr>
            <w:r w:rsidRPr="001F4D76">
              <w:t>14.1</w:t>
            </w:r>
            <w:r w:rsidRPr="001F4D76">
              <w:tab/>
              <w:t>By 2025, prevent and significantly reduce marine pollution of all kinds, in particular from land-based activities, including marine debris and nutrient pollution</w:t>
            </w:r>
          </w:p>
        </w:tc>
      </w:tr>
    </w:tbl>
    <w:p w:rsidR="00402065" w:rsidRDefault="00676523" w:rsidP="00EF1182">
      <w:pPr>
        <w:spacing w:before="240"/>
        <w:ind w:left="1134" w:right="1134"/>
        <w:jc w:val="center"/>
        <w:rPr>
          <w:u w:val="single"/>
        </w:rPr>
      </w:pPr>
      <w:r>
        <w:rPr>
          <w:noProof/>
          <w:lang w:eastAsia="en-GB"/>
        </w:rPr>
        <w:drawing>
          <wp:inline distT="0" distB="0" distL="0" distR="0" wp14:anchorId="0B7C00D0" wp14:editId="0F6F142E">
            <wp:extent cx="4061637" cy="1831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6404" cy="1837955"/>
                    </a:xfrm>
                    <a:prstGeom prst="rect">
                      <a:avLst/>
                    </a:prstGeom>
                  </pic:spPr>
                </pic:pic>
              </a:graphicData>
            </a:graphic>
          </wp:inline>
        </w:drawing>
      </w:r>
    </w:p>
    <w:p w:rsidR="00EF1182" w:rsidRPr="004429EA" w:rsidRDefault="00EF1182" w:rsidP="00EF1182">
      <w:pPr>
        <w:spacing w:before="240"/>
        <w:ind w:left="1134" w:right="1134"/>
        <w:jc w:val="center"/>
        <w:rPr>
          <w:u w:val="single"/>
        </w:rPr>
      </w:pPr>
      <w:r w:rsidRPr="004429EA">
        <w:rPr>
          <w:u w:val="single"/>
        </w:rPr>
        <w:tab/>
      </w:r>
      <w:r w:rsidRPr="004429EA">
        <w:rPr>
          <w:u w:val="single"/>
        </w:rPr>
        <w:tab/>
      </w:r>
      <w:r w:rsidRPr="004429EA">
        <w:rPr>
          <w:u w:val="single"/>
        </w:rPr>
        <w:tab/>
      </w:r>
    </w:p>
    <w:sectPr w:rsidR="00EF1182" w:rsidRPr="004429EA" w:rsidSect="00AC36B7">
      <w:headerReference w:type="even" r:id="rId12"/>
      <w:headerReference w:type="default" r:id="rId13"/>
      <w:footerReference w:type="even" r:id="rId14"/>
      <w:footerReference w:type="default" r:id="rId15"/>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09" w:rsidRDefault="00BC7D09"/>
  </w:endnote>
  <w:endnote w:type="continuationSeparator" w:id="0">
    <w:p w:rsidR="00BC7D09" w:rsidRDefault="00BC7D09"/>
  </w:endnote>
  <w:endnote w:type="continuationNotice" w:id="1">
    <w:p w:rsidR="00BC7D09" w:rsidRDefault="00BC7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0154F1">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0154F1">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09" w:rsidRPr="000B175B" w:rsidRDefault="00BC7D09" w:rsidP="000B175B">
      <w:pPr>
        <w:tabs>
          <w:tab w:val="right" w:pos="2155"/>
        </w:tabs>
        <w:spacing w:after="80"/>
        <w:ind w:left="680"/>
        <w:rPr>
          <w:u w:val="single"/>
        </w:rPr>
      </w:pPr>
      <w:r>
        <w:rPr>
          <w:u w:val="single"/>
        </w:rPr>
        <w:tab/>
      </w:r>
    </w:p>
  </w:footnote>
  <w:footnote w:type="continuationSeparator" w:id="0">
    <w:p w:rsidR="00BC7D09" w:rsidRPr="00FC68B7" w:rsidRDefault="00BC7D09" w:rsidP="00FC68B7">
      <w:pPr>
        <w:tabs>
          <w:tab w:val="left" w:pos="2155"/>
        </w:tabs>
        <w:spacing w:after="80"/>
        <w:ind w:left="680"/>
        <w:rPr>
          <w:u w:val="single"/>
        </w:rPr>
      </w:pPr>
      <w:r>
        <w:rPr>
          <w:u w:val="single"/>
        </w:rPr>
        <w:tab/>
      </w:r>
    </w:p>
  </w:footnote>
  <w:footnote w:type="continuationNotice" w:id="1">
    <w:p w:rsidR="00BC7D09" w:rsidRDefault="00BC7D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402065">
      <w:rPr>
        <w:szCs w:val="18"/>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0D7449">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48011DD7"/>
    <w:multiLevelType w:val="multilevel"/>
    <w:tmpl w:val="0409001D"/>
    <w:numStyleLink w:val="1ai"/>
  </w:abstractNum>
  <w:abstractNum w:abstractNumId="17"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5A913DDA"/>
    <w:multiLevelType w:val="hybridMultilevel"/>
    <w:tmpl w:val="EE5C001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22"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9"/>
  </w:num>
  <w:num w:numId="15">
    <w:abstractNumId w:val="12"/>
  </w:num>
  <w:num w:numId="16">
    <w:abstractNumId w:val="11"/>
  </w:num>
  <w:num w:numId="17">
    <w:abstractNumId w:val="22"/>
  </w:num>
  <w:num w:numId="18">
    <w:abstractNumId w:val="20"/>
  </w:num>
  <w:num w:numId="19">
    <w:abstractNumId w:val="15"/>
  </w:num>
  <w:num w:numId="20">
    <w:abstractNumId w:val="17"/>
  </w:num>
  <w:num w:numId="21">
    <w:abstractNumId w:val="21"/>
  </w:num>
  <w:num w:numId="22">
    <w:abstractNumId w:val="16"/>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154F1"/>
    <w:rsid w:val="000218B5"/>
    <w:rsid w:val="000260EE"/>
    <w:rsid w:val="000375AD"/>
    <w:rsid w:val="00037F9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D7449"/>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43762"/>
    <w:rsid w:val="00154657"/>
    <w:rsid w:val="00155068"/>
    <w:rsid w:val="001644E3"/>
    <w:rsid w:val="00165F3A"/>
    <w:rsid w:val="00177CE8"/>
    <w:rsid w:val="0018210E"/>
    <w:rsid w:val="00186D7B"/>
    <w:rsid w:val="00193CA7"/>
    <w:rsid w:val="0019451E"/>
    <w:rsid w:val="001A1DCF"/>
    <w:rsid w:val="001A6E55"/>
    <w:rsid w:val="001B08A2"/>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09A1"/>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B42"/>
    <w:rsid w:val="00267F5F"/>
    <w:rsid w:val="00280A1D"/>
    <w:rsid w:val="00284DBC"/>
    <w:rsid w:val="00286343"/>
    <w:rsid w:val="00286B4D"/>
    <w:rsid w:val="00291E09"/>
    <w:rsid w:val="002A0CC5"/>
    <w:rsid w:val="002A3C85"/>
    <w:rsid w:val="002A603B"/>
    <w:rsid w:val="002B46EB"/>
    <w:rsid w:val="002B742C"/>
    <w:rsid w:val="002C63B0"/>
    <w:rsid w:val="002D0CE4"/>
    <w:rsid w:val="002D2E24"/>
    <w:rsid w:val="002D4643"/>
    <w:rsid w:val="002D4B6C"/>
    <w:rsid w:val="002E20D5"/>
    <w:rsid w:val="002F175C"/>
    <w:rsid w:val="002F3C64"/>
    <w:rsid w:val="00301D76"/>
    <w:rsid w:val="00302E18"/>
    <w:rsid w:val="0030420D"/>
    <w:rsid w:val="0030606F"/>
    <w:rsid w:val="00312976"/>
    <w:rsid w:val="003173A5"/>
    <w:rsid w:val="003229D8"/>
    <w:rsid w:val="00324058"/>
    <w:rsid w:val="0033230E"/>
    <w:rsid w:val="003358CF"/>
    <w:rsid w:val="00335D02"/>
    <w:rsid w:val="0034605E"/>
    <w:rsid w:val="00350BA2"/>
    <w:rsid w:val="00352709"/>
    <w:rsid w:val="00354ED9"/>
    <w:rsid w:val="0035741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E47CA"/>
    <w:rsid w:val="003F310D"/>
    <w:rsid w:val="003F7107"/>
    <w:rsid w:val="003F710A"/>
    <w:rsid w:val="004002CE"/>
    <w:rsid w:val="00402065"/>
    <w:rsid w:val="00406D5C"/>
    <w:rsid w:val="00410C89"/>
    <w:rsid w:val="0041397F"/>
    <w:rsid w:val="0041539A"/>
    <w:rsid w:val="00422E03"/>
    <w:rsid w:val="00426B9B"/>
    <w:rsid w:val="00427729"/>
    <w:rsid w:val="004325CB"/>
    <w:rsid w:val="004356D2"/>
    <w:rsid w:val="004428E6"/>
    <w:rsid w:val="004429EA"/>
    <w:rsid w:val="00442A83"/>
    <w:rsid w:val="00446D76"/>
    <w:rsid w:val="0045495B"/>
    <w:rsid w:val="00454D98"/>
    <w:rsid w:val="00456890"/>
    <w:rsid w:val="0045737E"/>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659C3"/>
    <w:rsid w:val="00584FAE"/>
    <w:rsid w:val="00586DB8"/>
    <w:rsid w:val="005933E3"/>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BBE"/>
    <w:rsid w:val="006713A7"/>
    <w:rsid w:val="00671F98"/>
    <w:rsid w:val="00673C44"/>
    <w:rsid w:val="00674897"/>
    <w:rsid w:val="00676523"/>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6F303E"/>
    <w:rsid w:val="006F3CCF"/>
    <w:rsid w:val="00702574"/>
    <w:rsid w:val="00703577"/>
    <w:rsid w:val="00705894"/>
    <w:rsid w:val="0071793F"/>
    <w:rsid w:val="0072632A"/>
    <w:rsid w:val="007327D5"/>
    <w:rsid w:val="007418F1"/>
    <w:rsid w:val="00743E81"/>
    <w:rsid w:val="00753674"/>
    <w:rsid w:val="00754592"/>
    <w:rsid w:val="007611CF"/>
    <w:rsid w:val="007612FF"/>
    <w:rsid w:val="007629C8"/>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37CA8"/>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678F"/>
    <w:rsid w:val="008C7AFF"/>
    <w:rsid w:val="008D7341"/>
    <w:rsid w:val="008E0678"/>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70AEF"/>
    <w:rsid w:val="0097110C"/>
    <w:rsid w:val="009760F3"/>
    <w:rsid w:val="00977203"/>
    <w:rsid w:val="00995AB4"/>
    <w:rsid w:val="0099754E"/>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57342"/>
    <w:rsid w:val="00A72F22"/>
    <w:rsid w:val="00A7360F"/>
    <w:rsid w:val="00A748A6"/>
    <w:rsid w:val="00A769F4"/>
    <w:rsid w:val="00A776B4"/>
    <w:rsid w:val="00A86F6A"/>
    <w:rsid w:val="00A915B4"/>
    <w:rsid w:val="00A94361"/>
    <w:rsid w:val="00A95D61"/>
    <w:rsid w:val="00A970A8"/>
    <w:rsid w:val="00AA1F98"/>
    <w:rsid w:val="00AA293C"/>
    <w:rsid w:val="00AA5165"/>
    <w:rsid w:val="00AA55D5"/>
    <w:rsid w:val="00AA66C0"/>
    <w:rsid w:val="00AB32F7"/>
    <w:rsid w:val="00AB4050"/>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CA6"/>
    <w:rsid w:val="00B2148A"/>
    <w:rsid w:val="00B21F96"/>
    <w:rsid w:val="00B22BC2"/>
    <w:rsid w:val="00B24F79"/>
    <w:rsid w:val="00B25EB2"/>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1184"/>
    <w:rsid w:val="00BB5635"/>
    <w:rsid w:val="00BB7CD1"/>
    <w:rsid w:val="00BC2725"/>
    <w:rsid w:val="00BC3FA0"/>
    <w:rsid w:val="00BC626B"/>
    <w:rsid w:val="00BC67E1"/>
    <w:rsid w:val="00BC74E9"/>
    <w:rsid w:val="00BC7D09"/>
    <w:rsid w:val="00BE4F17"/>
    <w:rsid w:val="00BF3CC6"/>
    <w:rsid w:val="00BF68A8"/>
    <w:rsid w:val="00BF6B31"/>
    <w:rsid w:val="00C00247"/>
    <w:rsid w:val="00C0468A"/>
    <w:rsid w:val="00C10FE6"/>
    <w:rsid w:val="00C11A03"/>
    <w:rsid w:val="00C11B49"/>
    <w:rsid w:val="00C217A5"/>
    <w:rsid w:val="00C22C0C"/>
    <w:rsid w:val="00C23978"/>
    <w:rsid w:val="00C25E1A"/>
    <w:rsid w:val="00C30215"/>
    <w:rsid w:val="00C33407"/>
    <w:rsid w:val="00C3410A"/>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285E"/>
    <w:rsid w:val="00CD2BAF"/>
    <w:rsid w:val="00CD46A7"/>
    <w:rsid w:val="00CD57D2"/>
    <w:rsid w:val="00CE1761"/>
    <w:rsid w:val="00CE1CFD"/>
    <w:rsid w:val="00CE3E6E"/>
    <w:rsid w:val="00CE4A8F"/>
    <w:rsid w:val="00CE4E67"/>
    <w:rsid w:val="00CF3164"/>
    <w:rsid w:val="00CF7AC0"/>
    <w:rsid w:val="00D13F4D"/>
    <w:rsid w:val="00D2031B"/>
    <w:rsid w:val="00D224BF"/>
    <w:rsid w:val="00D22523"/>
    <w:rsid w:val="00D25FE2"/>
    <w:rsid w:val="00D43252"/>
    <w:rsid w:val="00D44198"/>
    <w:rsid w:val="00D47EEA"/>
    <w:rsid w:val="00D47F36"/>
    <w:rsid w:val="00D5385E"/>
    <w:rsid w:val="00D550D4"/>
    <w:rsid w:val="00D56292"/>
    <w:rsid w:val="00D62742"/>
    <w:rsid w:val="00D63158"/>
    <w:rsid w:val="00D7419E"/>
    <w:rsid w:val="00D773DF"/>
    <w:rsid w:val="00D810EE"/>
    <w:rsid w:val="00D876F8"/>
    <w:rsid w:val="00D91A8D"/>
    <w:rsid w:val="00D9255F"/>
    <w:rsid w:val="00D95303"/>
    <w:rsid w:val="00D97453"/>
    <w:rsid w:val="00D978C6"/>
    <w:rsid w:val="00DA3C1C"/>
    <w:rsid w:val="00DA4212"/>
    <w:rsid w:val="00DA5024"/>
    <w:rsid w:val="00DB1304"/>
    <w:rsid w:val="00DB43CD"/>
    <w:rsid w:val="00DB6E62"/>
    <w:rsid w:val="00DC12A9"/>
    <w:rsid w:val="00DE37C6"/>
    <w:rsid w:val="00DE4970"/>
    <w:rsid w:val="00DE7486"/>
    <w:rsid w:val="00DF418D"/>
    <w:rsid w:val="00E01B7D"/>
    <w:rsid w:val="00E02661"/>
    <w:rsid w:val="00E046DF"/>
    <w:rsid w:val="00E14853"/>
    <w:rsid w:val="00E15557"/>
    <w:rsid w:val="00E21502"/>
    <w:rsid w:val="00E261FA"/>
    <w:rsid w:val="00E26778"/>
    <w:rsid w:val="00E27346"/>
    <w:rsid w:val="00E51E40"/>
    <w:rsid w:val="00E54F0D"/>
    <w:rsid w:val="00E5731F"/>
    <w:rsid w:val="00E62A14"/>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182"/>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1A29"/>
    <w:rsid w:val="00FB4C10"/>
    <w:rsid w:val="00FB613B"/>
    <w:rsid w:val="00FB7B98"/>
    <w:rsid w:val="00FC1945"/>
    <w:rsid w:val="00FC2EA1"/>
    <w:rsid w:val="00FC3938"/>
    <w:rsid w:val="00FC3C87"/>
    <w:rsid w:val="00FC68B7"/>
    <w:rsid w:val="00FD044C"/>
    <w:rsid w:val="00FD3588"/>
    <w:rsid w:val="00FE0275"/>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4AD0286"/>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ustainabledevelopment.un.org/index.php?page=view&amp;type=111&amp;nr=8496&amp;menu=35" TargetMode="External"/><Relationship Id="rId4" Type="http://schemas.openxmlformats.org/officeDocument/2006/relationships/settings" Target="settings.xml"/><Relationship Id="rId9" Type="http://schemas.openxmlformats.org/officeDocument/2006/relationships/hyperlink" Target="http://www.unece.org/info/about-unece/mission/unece-and-the-global-goal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2292-4AD1-41B2-B13D-2BAB7069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839</Words>
  <Characters>4785</Characters>
  <Application>Microsoft Office Word</Application>
  <DocSecurity>0</DocSecurity>
  <Lines>39</Lines>
  <Paragraphs>11</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Editorial</cp:lastModifiedBy>
  <cp:revision>6</cp:revision>
  <cp:lastPrinted>2017-10-16T07:11:00Z</cp:lastPrinted>
  <dcterms:created xsi:type="dcterms:W3CDTF">2017-10-20T14:35:00Z</dcterms:created>
  <dcterms:modified xsi:type="dcterms:W3CDTF">2017-10-23T09:30:00Z</dcterms:modified>
</cp:coreProperties>
</file>