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EE06A0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A11CD3">
              <w:rPr>
                <w:b/>
                <w:sz w:val="40"/>
                <w:szCs w:val="40"/>
              </w:rPr>
              <w:t>34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EE06A0">
              <w:rPr>
                <w:b/>
                <w:sz w:val="40"/>
                <w:szCs w:val="40"/>
              </w:rPr>
              <w:t>13</w:t>
            </w:r>
          </w:p>
        </w:tc>
      </w:tr>
      <w:tr w:rsidR="0099001C" w:rsidRPr="00772240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A11CD3" w:rsidRDefault="00A11CD3" w:rsidP="00A11CD3">
            <w:pPr>
              <w:spacing w:before="120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A11CD3" w:rsidRDefault="00A11CD3" w:rsidP="00A11CD3">
            <w:pPr>
              <w:tabs>
                <w:tab w:val="right" w:pos="9300"/>
              </w:tabs>
              <w:spacing w:before="120"/>
              <w:rPr>
                <w:b/>
              </w:rPr>
            </w:pPr>
            <w:r>
              <w:rPr>
                <w:b/>
                <w:lang w:val="en-US"/>
              </w:rPr>
              <w:t>Sub-Committee of Experts on the Globally Harmonized</w:t>
            </w:r>
            <w:r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58474C">
              <w:rPr>
                <w:b/>
                <w:lang w:val="en-US"/>
              </w:rPr>
              <w:t>22</w:t>
            </w:r>
            <w:r w:rsidR="00C8584C">
              <w:rPr>
                <w:b/>
                <w:lang w:val="en-US"/>
              </w:rPr>
              <w:t xml:space="preserve"> November</w:t>
            </w:r>
            <w:r>
              <w:rPr>
                <w:b/>
                <w:lang w:val="en-US"/>
              </w:rPr>
              <w:t xml:space="preserve"> 2017</w:t>
            </w:r>
          </w:p>
          <w:p w:rsidR="00A11CD3" w:rsidRDefault="00A11CD3" w:rsidP="00A11CD3">
            <w:pPr>
              <w:spacing w:before="120"/>
            </w:pPr>
            <w:r>
              <w:rPr>
                <w:b/>
              </w:rPr>
              <w:t>Thirty-fourth session</w:t>
            </w:r>
          </w:p>
          <w:p w:rsidR="00A11CD3" w:rsidRDefault="00A11CD3" w:rsidP="00A11CD3">
            <w:r>
              <w:t xml:space="preserve">Geneva, </w:t>
            </w:r>
            <w:r w:rsidR="005629F3">
              <w:t>6-8</w:t>
            </w:r>
            <w:r>
              <w:t xml:space="preserve"> December 2017</w:t>
            </w:r>
          </w:p>
          <w:p w:rsidR="00A11CD3" w:rsidRPr="0058474C" w:rsidRDefault="00A11CD3" w:rsidP="00A11CD3">
            <w:pPr>
              <w:rPr>
                <w:b/>
              </w:rPr>
            </w:pPr>
            <w:r>
              <w:t xml:space="preserve">Item </w:t>
            </w:r>
            <w:r w:rsidR="005629F3" w:rsidRPr="0058474C">
              <w:t>2</w:t>
            </w:r>
            <w:r w:rsidR="00EE06A0">
              <w:t xml:space="preserve"> </w:t>
            </w:r>
            <w:r w:rsidR="005629F3" w:rsidRPr="0058474C">
              <w:t>(h)</w:t>
            </w:r>
            <w:r w:rsidRPr="0058474C">
              <w:t xml:space="preserve"> of the provisional agenda</w:t>
            </w:r>
          </w:p>
          <w:p w:rsidR="0099001C" w:rsidRPr="005629F3" w:rsidRDefault="005629F3" w:rsidP="00A11CD3">
            <w:pPr>
              <w:spacing w:line="240" w:lineRule="exact"/>
              <w:rPr>
                <w:b/>
              </w:rPr>
            </w:pPr>
            <w:r w:rsidRPr="0058474C">
              <w:rPr>
                <w:b/>
              </w:rPr>
              <w:t xml:space="preserve">Classification criteria and related hazard communication: </w:t>
            </w:r>
            <w:r w:rsidR="00EE06A0">
              <w:rPr>
                <w:b/>
              </w:rPr>
              <w:br/>
            </w:r>
            <w:r w:rsidRPr="0058474C">
              <w:rPr>
                <w:b/>
              </w:rPr>
              <w:t>other issues</w:t>
            </w:r>
          </w:p>
        </w:tc>
      </w:tr>
    </w:tbl>
    <w:p w:rsidR="00B768D1" w:rsidRPr="00153636" w:rsidRDefault="00EE06A0" w:rsidP="00EE06A0">
      <w:pPr>
        <w:pStyle w:val="HChG"/>
      </w:pPr>
      <w:r>
        <w:tab/>
      </w:r>
      <w:r>
        <w:tab/>
      </w:r>
      <w:r w:rsidR="00B768D1">
        <w:t xml:space="preserve">Clarification on procedure by which </w:t>
      </w:r>
      <w:r w:rsidR="008B317C">
        <w:t>the GH</w:t>
      </w:r>
      <w:r w:rsidR="005B0E2B">
        <w:t>S (rev. 3) decision logics for flammable a</w:t>
      </w:r>
      <w:r w:rsidR="008B317C">
        <w:t xml:space="preserve">erosols were </w:t>
      </w:r>
      <w:r w:rsidR="008B317C" w:rsidRPr="00EE06A0">
        <w:t>converted</w:t>
      </w:r>
      <w:r w:rsidR="008B317C">
        <w:t xml:space="preserve"> to text language for the Canadian </w:t>
      </w:r>
      <w:r w:rsidR="00B768D1">
        <w:rPr>
          <w:i/>
        </w:rPr>
        <w:t>Hazardous Products Regulations</w:t>
      </w:r>
      <w:r w:rsidR="00B768D1">
        <w:t xml:space="preserve"> </w:t>
      </w:r>
    </w:p>
    <w:p w:rsidR="00A11CD3" w:rsidRPr="005B7FD3" w:rsidRDefault="00A11CD3" w:rsidP="00EE06A0">
      <w:pPr>
        <w:pStyle w:val="H1G"/>
      </w:pPr>
      <w:r>
        <w:tab/>
      </w:r>
      <w:r>
        <w:tab/>
        <w:t>Transmitted</w:t>
      </w:r>
      <w:r w:rsidRPr="005B7FD3">
        <w:t xml:space="preserve"> by the expert from Canada</w:t>
      </w:r>
    </w:p>
    <w:p w:rsidR="00A11CD3" w:rsidRDefault="00A11CD3" w:rsidP="00EE06A0">
      <w:pPr>
        <w:pStyle w:val="HChG"/>
      </w:pPr>
      <w:r>
        <w:tab/>
      </w:r>
      <w:r>
        <w:tab/>
      </w:r>
      <w:r w:rsidR="001D6A87" w:rsidRPr="00EE06A0">
        <w:t>Introduction</w:t>
      </w:r>
    </w:p>
    <w:p w:rsidR="00881D60" w:rsidRDefault="00EE06A0" w:rsidP="00EE06A0">
      <w:pPr>
        <w:pStyle w:val="SingleTxtG"/>
      </w:pPr>
      <w:r>
        <w:t>1.</w:t>
      </w:r>
      <w:r>
        <w:tab/>
      </w:r>
      <w:r w:rsidR="00A11CD3">
        <w:t xml:space="preserve">At the </w:t>
      </w:r>
      <w:r>
        <w:t>thirty-third</w:t>
      </w:r>
      <w:r w:rsidR="00A11CD3">
        <w:t xml:space="preserve"> session, the European Chemical Industry Council (CEFIC) and the European Industrial Gases Associated (EIGA) </w:t>
      </w:r>
      <w:r w:rsidR="00881D60">
        <w:t xml:space="preserve">submitted </w:t>
      </w:r>
      <w:r>
        <w:t xml:space="preserve">informal document </w:t>
      </w:r>
      <w:r w:rsidR="00881D60">
        <w:t>INF</w:t>
      </w:r>
      <w:r w:rsidR="007C70FC">
        <w:t>.</w:t>
      </w:r>
      <w:r w:rsidR="00881D60">
        <w:t>12:  “Proposal for a new classification for chemicals under pressure”.</w:t>
      </w:r>
      <w:r w:rsidR="00D8272E">
        <w:t xml:space="preserve">  This document</w:t>
      </w:r>
      <w:r w:rsidR="00881D60">
        <w:t xml:space="preserve"> proposed that aerosols and chemicals under pressure could be combined and addressed in the same chapter </w:t>
      </w:r>
      <w:r w:rsidR="00E07DA9">
        <w:t xml:space="preserve">(2.3) </w:t>
      </w:r>
      <w:r w:rsidR="00881D60">
        <w:t>of the GHS, which currently addresses Aerosols.</w:t>
      </w:r>
    </w:p>
    <w:p w:rsidR="00CA6CCD" w:rsidRDefault="00EE06A0" w:rsidP="00EE06A0">
      <w:pPr>
        <w:pStyle w:val="SingleTxtG"/>
      </w:pPr>
      <w:r>
        <w:t>2.</w:t>
      </w:r>
      <w:r>
        <w:tab/>
      </w:r>
      <w:r w:rsidR="00E07DA9">
        <w:t xml:space="preserve">Paragraph 8 of </w:t>
      </w:r>
      <w:r>
        <w:t xml:space="preserve">informal document </w:t>
      </w:r>
      <w:r w:rsidR="00E07DA9">
        <w:t>INF</w:t>
      </w:r>
      <w:r w:rsidR="007C70FC">
        <w:t>.</w:t>
      </w:r>
      <w:r w:rsidR="00E07DA9">
        <w:t xml:space="preserve">12 highlighted the importance of the decision logic flow charts </w:t>
      </w:r>
      <w:r w:rsidR="007C5AAE">
        <w:t xml:space="preserve">presented in sections 2.3.1.4.1 and 2.3.2.4.1 of this </w:t>
      </w:r>
      <w:r w:rsidR="00D8272E">
        <w:t>document</w:t>
      </w:r>
      <w:r w:rsidR="007C5AAE">
        <w:t xml:space="preserve">. </w:t>
      </w:r>
      <w:r w:rsidR="00CA6CCD">
        <w:t>F</w:t>
      </w:r>
      <w:r w:rsidR="007460D3">
        <w:t xml:space="preserve">or aerosols and chemicals under pressure, </w:t>
      </w:r>
      <w:r w:rsidR="00CA6CCD">
        <w:t xml:space="preserve">it was suggested that </w:t>
      </w:r>
      <w:r w:rsidR="007460D3">
        <w:t>the decision logic flow charts are required to determine the appropriate classification of a che</w:t>
      </w:r>
      <w:r w:rsidR="00CA6CCD">
        <w:t xml:space="preserve">mical, as the decision criteria are not completely described in the “Classification </w:t>
      </w:r>
      <w:r>
        <w:t>criteria” section.</w:t>
      </w:r>
      <w:r w:rsidR="00CA6CCD">
        <w:t xml:space="preserve"> </w:t>
      </w:r>
      <w:r w:rsidR="00D560D7">
        <w:t xml:space="preserve">It </w:t>
      </w:r>
      <w:r w:rsidR="00CA6CCD">
        <w:t xml:space="preserve">was </w:t>
      </w:r>
      <w:r w:rsidR="00E07DA9">
        <w:t>proposed that the words “are not part of the harmonized classification system” be deleted from sections 2.3.1.4 and 2.3.2.4</w:t>
      </w:r>
      <w:r w:rsidR="00CA6CCD">
        <w:t xml:space="preserve"> of this </w:t>
      </w:r>
      <w:r w:rsidR="00D8272E">
        <w:t>document</w:t>
      </w:r>
      <w:r w:rsidR="00D560D7">
        <w:t>, to emphasize</w:t>
      </w:r>
      <w:r w:rsidR="00E07DA9">
        <w:t xml:space="preserve"> </w:t>
      </w:r>
      <w:r w:rsidR="00D560D7">
        <w:t>the significance of the decision logic flow charts in clarifying the decision process.</w:t>
      </w:r>
    </w:p>
    <w:p w:rsidR="00816C07" w:rsidRDefault="00EE06A0" w:rsidP="00EE06A0">
      <w:pPr>
        <w:pStyle w:val="SingleTxtG"/>
      </w:pPr>
      <w:r>
        <w:t>3.</w:t>
      </w:r>
      <w:r>
        <w:tab/>
      </w:r>
      <w:r w:rsidR="007C70FC">
        <w:t xml:space="preserve">During the discussion of </w:t>
      </w:r>
      <w:r>
        <w:t xml:space="preserve">informal document </w:t>
      </w:r>
      <w:r w:rsidR="007C70FC">
        <w:t xml:space="preserve">INF.12 at the </w:t>
      </w:r>
      <w:r>
        <w:t>thirty-third</w:t>
      </w:r>
      <w:r w:rsidR="007C70FC">
        <w:t xml:space="preserve"> session, the expert from Canada informed the Sub-Committee</w:t>
      </w:r>
      <w:r w:rsidR="00D8272E">
        <w:t xml:space="preserve"> </w:t>
      </w:r>
      <w:r w:rsidR="00CF5699">
        <w:t xml:space="preserve">that, in the Canadian </w:t>
      </w:r>
      <w:r w:rsidR="001D6A87" w:rsidRPr="00CD6B43">
        <w:rPr>
          <w:i/>
        </w:rPr>
        <w:t>Hazardous Products Regulations</w:t>
      </w:r>
      <w:r w:rsidR="001D6A87">
        <w:t xml:space="preserve"> (HPR), </w:t>
      </w:r>
      <w:r w:rsidR="00CF5699">
        <w:t xml:space="preserve">no </w:t>
      </w:r>
      <w:r w:rsidR="002B3D1C">
        <w:t xml:space="preserve">GHS </w:t>
      </w:r>
      <w:r w:rsidR="00CF5699">
        <w:t>decision logic flow charts were incorporated</w:t>
      </w:r>
      <w:r w:rsidR="008F7C57">
        <w:t>.</w:t>
      </w:r>
      <w:r w:rsidR="00841379">
        <w:t xml:space="preserve"> </w:t>
      </w:r>
      <w:r w:rsidR="00C8584C">
        <w:t>It</w:t>
      </w:r>
      <w:r w:rsidR="00816C07">
        <w:t xml:space="preserve"> is not possible to include diagrams or flow charts</w:t>
      </w:r>
      <w:r w:rsidR="00C8584C">
        <w:t xml:space="preserve"> in Canadian legislation and regulations</w:t>
      </w:r>
      <w:r w:rsidR="00816C07">
        <w:t xml:space="preserve">.  </w:t>
      </w:r>
    </w:p>
    <w:p w:rsidR="00CD6B43" w:rsidRDefault="00EE06A0" w:rsidP="00EE06A0">
      <w:pPr>
        <w:pStyle w:val="SingleTxtG"/>
      </w:pPr>
      <w:r>
        <w:t>4.</w:t>
      </w:r>
      <w:r>
        <w:tab/>
      </w:r>
      <w:r w:rsidR="00816C07">
        <w:t>Therefore</w:t>
      </w:r>
      <w:r w:rsidR="002B3D1C">
        <w:t>, f</w:t>
      </w:r>
      <w:r w:rsidR="00841379">
        <w:t>or hazard classes</w:t>
      </w:r>
      <w:r w:rsidR="002B3D1C">
        <w:t xml:space="preserve"> where the decision logics included information that was not </w:t>
      </w:r>
      <w:r w:rsidR="008D698E">
        <w:t xml:space="preserve">completely described </w:t>
      </w:r>
      <w:r w:rsidR="002B3D1C">
        <w:t>in the “Classification criteria” section</w:t>
      </w:r>
      <w:r w:rsidR="007D3BE8">
        <w:t xml:space="preserve"> of the same GHS chapter</w:t>
      </w:r>
      <w:r w:rsidR="002B3D1C">
        <w:t>,</w:t>
      </w:r>
      <w:r w:rsidR="008F7C57">
        <w:t xml:space="preserve"> </w:t>
      </w:r>
      <w:r w:rsidR="004661DF">
        <w:t>the information presented in the decision logics was</w:t>
      </w:r>
      <w:r w:rsidR="00841379">
        <w:t xml:space="preserve"> </w:t>
      </w:r>
      <w:r w:rsidR="00CD6B43">
        <w:t xml:space="preserve">incorporated </w:t>
      </w:r>
      <w:r w:rsidR="004C5E51">
        <w:t xml:space="preserve">in the Regulations </w:t>
      </w:r>
      <w:r w:rsidR="00CD6B43">
        <w:t xml:space="preserve">using words.  </w:t>
      </w:r>
      <w:r w:rsidR="004661DF">
        <w:t>For example, in the case of the Flammable Aerosols hazard class, the information presented in the decision logics for Flammable Aerosols in section 2.3.4.1 of the</w:t>
      </w:r>
      <w:r w:rsidR="001708F5">
        <w:t xml:space="preserve"> GHS (rev. 3)</w:t>
      </w:r>
      <w:r w:rsidR="004661DF">
        <w:t xml:space="preserve"> </w:t>
      </w:r>
      <w:r w:rsidR="00CD6B43">
        <w:t xml:space="preserve">was converted to text language.  </w:t>
      </w:r>
    </w:p>
    <w:p w:rsidR="00EE06A0" w:rsidRDefault="00EE06A0">
      <w:pPr>
        <w:suppressAutoHyphens w:val="0"/>
        <w:spacing w:line="240" w:lineRule="auto"/>
      </w:pPr>
      <w:r>
        <w:br w:type="page"/>
      </w:r>
    </w:p>
    <w:p w:rsidR="00EC19D3" w:rsidRDefault="00EE06A0" w:rsidP="00EE06A0">
      <w:pPr>
        <w:pStyle w:val="SingleTxtG"/>
      </w:pPr>
      <w:r>
        <w:lastRenderedPageBreak/>
        <w:t>5.</w:t>
      </w:r>
      <w:r>
        <w:tab/>
      </w:r>
      <w:r w:rsidR="00CD6B43">
        <w:t xml:space="preserve">The expert from Canada was invited to share the </w:t>
      </w:r>
      <w:r w:rsidR="007D3BE8">
        <w:t xml:space="preserve">relevant </w:t>
      </w:r>
      <w:r w:rsidR="00CD6B43">
        <w:t xml:space="preserve">text of the </w:t>
      </w:r>
      <w:r w:rsidR="007D3BE8">
        <w:t>Canadian regulations, so that the Sub-Committee may consider whether the same approach could be adopted for the proposal from CEFIC and EIGA on classification for chemicals under pressure.</w:t>
      </w:r>
    </w:p>
    <w:p w:rsidR="00EC78D9" w:rsidRDefault="00EE06A0" w:rsidP="00EE06A0">
      <w:pPr>
        <w:pStyle w:val="SingleTxtG"/>
      </w:pPr>
      <w:r>
        <w:t>6.</w:t>
      </w:r>
      <w:r>
        <w:tab/>
      </w:r>
      <w:r w:rsidR="00480EED">
        <w:t>Considering that other</w:t>
      </w:r>
      <w:r w:rsidR="003561CA" w:rsidRPr="003561CA">
        <w:t xml:space="preserve"> jurisdictions may </w:t>
      </w:r>
      <w:r w:rsidR="00480EED">
        <w:t xml:space="preserve">similarly </w:t>
      </w:r>
      <w:r w:rsidR="00027710">
        <w:t xml:space="preserve">be required to translate GHS decision logic diagrams </w:t>
      </w:r>
      <w:r w:rsidR="00480EED">
        <w:t xml:space="preserve">into text for </w:t>
      </w:r>
      <w:r w:rsidR="00480EED" w:rsidRPr="003561CA">
        <w:t>the purpose of incorporating the GHS into their respective regulations,</w:t>
      </w:r>
      <w:r w:rsidR="00480EED">
        <w:t xml:space="preserve"> the experts from Canada</w:t>
      </w:r>
      <w:r w:rsidR="003561CA" w:rsidRPr="003561CA">
        <w:t xml:space="preserve"> encourage the UNSCEGHS to endeavour to describe all cla</w:t>
      </w:r>
      <w:r>
        <w:t xml:space="preserve">ssification criteria in words. </w:t>
      </w:r>
      <w:r w:rsidR="000C158F">
        <w:t>While d</w:t>
      </w:r>
      <w:r w:rsidR="00480EED">
        <w:t xml:space="preserve">iagrams </w:t>
      </w:r>
      <w:r w:rsidR="003D0517">
        <w:t>may</w:t>
      </w:r>
      <w:r w:rsidR="00480EED">
        <w:t xml:space="preserve"> be used to supplement the understanding of the text, </w:t>
      </w:r>
      <w:r w:rsidR="003561CA" w:rsidRPr="003561CA">
        <w:t>the diagrams</w:t>
      </w:r>
      <w:r>
        <w:t xml:space="preserve"> should not replace the words. </w:t>
      </w:r>
      <w:r w:rsidR="002C3DC1">
        <w:t>This approach would avoid the potential for inconsistencies in wording that could result in the scenario where each affected jurisdiction would be required to translate</w:t>
      </w:r>
      <w:r w:rsidR="002C3DC1" w:rsidRPr="003561CA">
        <w:t xml:space="preserve"> </w:t>
      </w:r>
      <w:r w:rsidR="002C3DC1">
        <w:t>GHS decision logic diagrams into</w:t>
      </w:r>
      <w:r w:rsidR="002C3DC1" w:rsidRPr="003561CA">
        <w:t xml:space="preserve"> </w:t>
      </w:r>
      <w:r>
        <w:t xml:space="preserve">words. </w:t>
      </w:r>
      <w:r w:rsidR="003561CA" w:rsidRPr="003561CA">
        <w:t>In this manner</w:t>
      </w:r>
      <w:r w:rsidR="00EC78D9">
        <w:t>,</w:t>
      </w:r>
      <w:r w:rsidR="003561CA" w:rsidRPr="003561CA">
        <w:t xml:space="preserve"> we will be able to </w:t>
      </w:r>
      <w:r w:rsidR="00EC78D9">
        <w:t>achieve greater</w:t>
      </w:r>
      <w:r w:rsidR="003561CA" w:rsidRPr="003561CA">
        <w:t xml:space="preserve"> consistency </w:t>
      </w:r>
      <w:r w:rsidR="00EC78D9">
        <w:t>in the implementation of the GHS worldwide</w:t>
      </w:r>
      <w:r w:rsidR="002C3DC1">
        <w:t>.</w:t>
      </w:r>
    </w:p>
    <w:p w:rsidR="00ED279F" w:rsidRDefault="00EE06A0" w:rsidP="00EE06A0">
      <w:pPr>
        <w:pStyle w:val="HChG"/>
        <w:rPr>
          <w:i/>
        </w:rPr>
      </w:pPr>
      <w:r>
        <w:tab/>
      </w:r>
      <w:r>
        <w:tab/>
      </w:r>
      <w:r w:rsidR="005B0E2B">
        <w:t>Flammable aerosols s</w:t>
      </w:r>
      <w:r w:rsidR="00ED279F" w:rsidRPr="00ED279F">
        <w:t xml:space="preserve">ection of the </w:t>
      </w:r>
      <w:r w:rsidR="00ED279F">
        <w:t xml:space="preserve">Canadian </w:t>
      </w:r>
      <w:r w:rsidR="00ED279F" w:rsidRPr="00ED279F">
        <w:rPr>
          <w:i/>
        </w:rPr>
        <w:t>Hazardous Products Regulations</w:t>
      </w:r>
    </w:p>
    <w:p w:rsidR="009B4A65" w:rsidRDefault="00350B58" w:rsidP="00EE06A0">
      <w:pPr>
        <w:pStyle w:val="SingleTxtG"/>
      </w:pPr>
      <w:r>
        <w:t>7.</w:t>
      </w:r>
      <w:r>
        <w:tab/>
      </w:r>
      <w:r w:rsidR="00A02CED">
        <w:t xml:space="preserve">For the Flammable Aerosols hazard class, </w:t>
      </w:r>
      <w:r w:rsidR="00DE6D0B">
        <w:t>Health Canada referred to the “Flammable Aerosols</w:t>
      </w:r>
      <w:r w:rsidR="006B1F07">
        <w:t>”</w:t>
      </w:r>
      <w:r w:rsidR="00DE6D0B">
        <w:t xml:space="preserve"> </w:t>
      </w:r>
      <w:r w:rsidR="00DE6D0B" w:rsidRPr="00EE06A0">
        <w:t>chapter</w:t>
      </w:r>
      <w:r w:rsidR="00DE6D0B">
        <w:t xml:space="preserve"> </w:t>
      </w:r>
      <w:r w:rsidR="00476FD6">
        <w:t xml:space="preserve">(2.3) </w:t>
      </w:r>
      <w:r w:rsidR="00DE6D0B">
        <w:t>of the GHS</w:t>
      </w:r>
      <w:r w:rsidR="00D9508B">
        <w:t xml:space="preserve"> (rev. 3</w:t>
      </w:r>
      <w:r w:rsidR="00DE6D0B">
        <w:t xml:space="preserve">), which </w:t>
      </w:r>
      <w:r w:rsidR="001B6A12">
        <w:t>included decision</w:t>
      </w:r>
      <w:r w:rsidR="00DE6D0B">
        <w:t xml:space="preserve"> logic flow charts for flammable aerosols, spray aerosols and foam aerosols</w:t>
      </w:r>
      <w:r w:rsidR="00693556">
        <w:t xml:space="preserve"> (refer to Annex 1).  </w:t>
      </w:r>
      <w:r w:rsidR="00DE6D0B">
        <w:t xml:space="preserve">The </w:t>
      </w:r>
      <w:r w:rsidR="009941EC">
        <w:t>definition</w:t>
      </w:r>
      <w:r w:rsidR="00632C10">
        <w:t>s</w:t>
      </w:r>
      <w:r w:rsidR="009941EC">
        <w:t>, classification criteria, decision logic</w:t>
      </w:r>
      <w:r w:rsidR="005B6A20">
        <w:t>s</w:t>
      </w:r>
      <w:r w:rsidR="009941EC">
        <w:t xml:space="preserve"> and guidance provided in chapter 2.3 of the GHS (</w:t>
      </w:r>
      <w:r w:rsidR="00D9508B">
        <w:t>rev. 3</w:t>
      </w:r>
      <w:r w:rsidR="00632C10">
        <w:t>) were</w:t>
      </w:r>
      <w:r w:rsidR="009941EC">
        <w:t xml:space="preserve"> incorporated in </w:t>
      </w:r>
      <w:r w:rsidR="005B6A20">
        <w:t xml:space="preserve">Subpart 3 of Part 7 of </w:t>
      </w:r>
      <w:r w:rsidR="009941EC">
        <w:t xml:space="preserve">the HPR using the following text:  </w:t>
      </w:r>
    </w:p>
    <w:p w:rsidR="005A4E60" w:rsidRPr="005A4E60" w:rsidRDefault="00D600F1" w:rsidP="00350B58">
      <w:pPr>
        <w:pStyle w:val="SingleTxtG"/>
        <w:ind w:left="1689" w:right="0" w:hanging="555"/>
        <w:rPr>
          <w:b/>
        </w:rPr>
      </w:pPr>
      <w:r>
        <w:rPr>
          <w:b/>
        </w:rPr>
        <w:t xml:space="preserve"> </w:t>
      </w:r>
      <w:r w:rsidR="005A4E60">
        <w:rPr>
          <w:b/>
        </w:rPr>
        <w:t>“</w:t>
      </w:r>
      <w:r w:rsidR="005A4E60" w:rsidRPr="005A4E60">
        <w:rPr>
          <w:b/>
        </w:rPr>
        <w:t>SUBPART 3</w:t>
      </w:r>
    </w:p>
    <w:p w:rsidR="005A4E60" w:rsidRPr="005A4E60" w:rsidRDefault="005A4E60" w:rsidP="00350B58">
      <w:pPr>
        <w:pStyle w:val="SingleTxtG"/>
        <w:rPr>
          <w:b/>
          <w:sz w:val="28"/>
          <w:szCs w:val="28"/>
        </w:rPr>
      </w:pPr>
      <w:r w:rsidRPr="005A4E60">
        <w:rPr>
          <w:sz w:val="28"/>
          <w:szCs w:val="28"/>
        </w:rPr>
        <w:t>Flammable Aerosols</w:t>
      </w:r>
    </w:p>
    <w:p w:rsidR="005A4E60" w:rsidRPr="005A4E60" w:rsidRDefault="005A4E60" w:rsidP="00350B58">
      <w:pPr>
        <w:pStyle w:val="SingleTxtG"/>
        <w:rPr>
          <w:b/>
        </w:rPr>
      </w:pPr>
      <w:r w:rsidRPr="005A4E60">
        <w:rPr>
          <w:b/>
        </w:rPr>
        <w:t>Definitions</w:t>
      </w:r>
    </w:p>
    <w:p w:rsidR="00F145C8" w:rsidRDefault="00F145C8" w:rsidP="00350B58">
      <w:pPr>
        <w:pStyle w:val="SingleTxtG"/>
      </w:pPr>
      <w:r w:rsidRPr="005A4E60">
        <w:rPr>
          <w:b/>
        </w:rPr>
        <w:t>7.3</w:t>
      </w:r>
      <w:r>
        <w:t xml:space="preserve"> The following definitions apply in this Subpart.</w:t>
      </w:r>
    </w:p>
    <w:p w:rsidR="00F145C8" w:rsidRDefault="00F145C8" w:rsidP="00350B58">
      <w:pPr>
        <w:pStyle w:val="SingleTxtG"/>
      </w:pPr>
      <w:proofErr w:type="gramStart"/>
      <w:r w:rsidRPr="00F145C8">
        <w:rPr>
          <w:b/>
          <w:i/>
        </w:rPr>
        <w:t>flammable</w:t>
      </w:r>
      <w:proofErr w:type="gramEnd"/>
      <w:r w:rsidRPr="00F145C8">
        <w:rPr>
          <w:b/>
          <w:i/>
        </w:rPr>
        <w:t xml:space="preserve"> aerosol</w:t>
      </w:r>
      <w:r>
        <w:t xml:space="preserve"> means a product that contains one or more flammable components in an aerosol dispenser and that, when dispensed, is liable to ignite, but excludes a product that contains flammable components in an aerosol dispenser at a concentration less than or equal to 1.0% and that has a heat of combustion less than 20 kJ/g. </w:t>
      </w:r>
    </w:p>
    <w:p w:rsidR="005A4E60" w:rsidRDefault="005A4E60" w:rsidP="00350B58">
      <w:pPr>
        <w:pStyle w:val="SingleTxtG"/>
      </w:pPr>
      <w:proofErr w:type="gramStart"/>
      <w:r w:rsidRPr="005A4E60">
        <w:rPr>
          <w:b/>
          <w:i/>
        </w:rPr>
        <w:t>flammable</w:t>
      </w:r>
      <w:proofErr w:type="gramEnd"/>
      <w:r w:rsidRPr="005A4E60">
        <w:rPr>
          <w:b/>
          <w:i/>
        </w:rPr>
        <w:t xml:space="preserve"> component</w:t>
      </w:r>
      <w:r>
        <w:t xml:space="preserve"> means a mixture or substance that is classified in a category or subcategory of a hazard class in Subpart 2, 6 or 7 of this Part. </w:t>
      </w:r>
    </w:p>
    <w:p w:rsidR="005A4E60" w:rsidRDefault="005A4E60" w:rsidP="00350B58">
      <w:pPr>
        <w:pStyle w:val="SingleTxtG"/>
      </w:pPr>
      <w:proofErr w:type="gramStart"/>
      <w:r w:rsidRPr="005A4E60">
        <w:rPr>
          <w:b/>
          <w:i/>
        </w:rPr>
        <w:t>foam</w:t>
      </w:r>
      <w:proofErr w:type="gramEnd"/>
      <w:r w:rsidRPr="005A4E60">
        <w:rPr>
          <w:b/>
          <w:i/>
        </w:rPr>
        <w:t xml:space="preserve"> aerosol</w:t>
      </w:r>
      <w:r>
        <w:t xml:space="preserve"> means the content that is dispensed from an aerosol dispenser having a spray distance of less than 15 cm and that is in the form of a foam, mousse, gel or paste. </w:t>
      </w:r>
    </w:p>
    <w:p w:rsidR="005A4E60" w:rsidRDefault="005A4E60" w:rsidP="00350B58">
      <w:pPr>
        <w:pStyle w:val="SingleTxtG"/>
        <w:spacing w:after="240"/>
      </w:pPr>
      <w:proofErr w:type="gramStart"/>
      <w:r w:rsidRPr="005A4E60">
        <w:rPr>
          <w:b/>
          <w:i/>
        </w:rPr>
        <w:t>spray</w:t>
      </w:r>
      <w:proofErr w:type="gramEnd"/>
      <w:r w:rsidRPr="005A4E60">
        <w:rPr>
          <w:b/>
          <w:i/>
        </w:rPr>
        <w:t xml:space="preserve"> aerosol</w:t>
      </w:r>
      <w:r>
        <w:t xml:space="preserve"> means the content that is dispensed from an aerosol dispenser and that is not a foam aerosol. </w:t>
      </w:r>
    </w:p>
    <w:p w:rsidR="00693556" w:rsidRDefault="00693556">
      <w:p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4E60" w:rsidRDefault="00350B58" w:rsidP="00350B58">
      <w:pPr>
        <w:pStyle w:val="HChG"/>
      </w:pPr>
      <w:r>
        <w:lastRenderedPageBreak/>
        <w:tab/>
      </w:r>
      <w:r>
        <w:tab/>
      </w:r>
      <w:r w:rsidR="005A4E60" w:rsidRPr="005A4E60">
        <w:t>Classificat</w:t>
      </w:r>
      <w:r w:rsidR="005B0E2B">
        <w:t>ion in a category of the c</w:t>
      </w:r>
      <w:r w:rsidR="005A4E60" w:rsidRPr="005A4E60">
        <w:t>lass</w:t>
      </w:r>
    </w:p>
    <w:p w:rsidR="005A4E60" w:rsidRDefault="00350B58" w:rsidP="00350B58">
      <w:pPr>
        <w:pStyle w:val="H23G"/>
      </w:pPr>
      <w:r>
        <w:tab/>
      </w:r>
      <w:r>
        <w:tab/>
      </w:r>
      <w:r w:rsidR="005A4E60" w:rsidRPr="005A4E60">
        <w:t>Categories</w:t>
      </w:r>
    </w:p>
    <w:p w:rsidR="005A4E60" w:rsidRDefault="005A4E60" w:rsidP="00350B58">
      <w:pPr>
        <w:pStyle w:val="SingleTxtG"/>
        <w:rPr>
          <w:b/>
          <w:sz w:val="28"/>
          <w:szCs w:val="28"/>
        </w:rPr>
      </w:pPr>
      <w:r w:rsidRPr="005A4E60">
        <w:rPr>
          <w:b/>
        </w:rPr>
        <w:t>7.3.1 (1)</w:t>
      </w:r>
      <w:r>
        <w:t xml:space="preserve"> </w:t>
      </w:r>
      <w:proofErr w:type="gramStart"/>
      <w:r>
        <w:t>A</w:t>
      </w:r>
      <w:proofErr w:type="gramEnd"/>
      <w:r>
        <w:t xml:space="preserve"> flammable aerosol is classified in a category of this hazard class in accordance with the following table:</w:t>
      </w:r>
    </w:p>
    <w:p w:rsidR="00D560D7" w:rsidRPr="00D560D7" w:rsidRDefault="002E409A" w:rsidP="003A5488">
      <w:pPr>
        <w:spacing w:line="280" w:lineRule="atLeast"/>
        <w:rPr>
          <w:b/>
          <w:smallCaps/>
        </w:rPr>
      </w:pPr>
      <w:r w:rsidRPr="00D560D7">
        <w:rPr>
          <w:b/>
          <w:smallCaps/>
        </w:rPr>
        <w:t>table</w:t>
      </w:r>
    </w:p>
    <w:tbl>
      <w:tblPr>
        <w:tblW w:w="0" w:type="auto"/>
        <w:tblCellSpacing w:w="0" w:type="dxa"/>
        <w:tblBorders>
          <w:top w:val="double" w:sz="6" w:space="0" w:color="auto"/>
          <w:bottom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22"/>
        <w:gridCol w:w="7785"/>
        <w:gridCol w:w="102"/>
      </w:tblGrid>
      <w:tr w:rsidR="002E409A" w:rsidRPr="002E409A" w:rsidTr="007F216A">
        <w:trPr>
          <w:gridAfter w:val="1"/>
          <w:tblHeader/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Column 1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Column 2</w:t>
            </w:r>
          </w:p>
        </w:tc>
      </w:tr>
      <w:tr w:rsidR="002E409A" w:rsidRPr="002E409A" w:rsidTr="002E409A">
        <w:trPr>
          <w:gridAfter w:val="1"/>
          <w:tblHeader/>
          <w:tblCellSpacing w:w="0" w:type="dxa"/>
        </w:trPr>
        <w:tc>
          <w:tcPr>
            <w:tcW w:w="0" w:type="auto"/>
            <w:tcBorders>
              <w:top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Criteria</w:t>
            </w:r>
          </w:p>
        </w:tc>
      </w:tr>
      <w:tr w:rsidR="002E409A" w:rsidRPr="002E409A" w:rsidTr="007F216A">
        <w:trPr>
          <w:gridAfter w:val="1"/>
          <w:tblHeader/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</w:tr>
      <w:tr w:rsidR="002E409A" w:rsidRPr="002E409A" w:rsidTr="003A5488">
        <w:trPr>
          <w:gridAfter w:val="1"/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E409A" w:rsidRPr="003A5488" w:rsidRDefault="003A5488" w:rsidP="002E409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E409A" w:rsidRPr="003A5488" w:rsidRDefault="002E409A" w:rsidP="002E409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Flammable Aerosols — Category 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bottom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 xml:space="preserve">An aerosol dispenser that </w:t>
            </w:r>
          </w:p>
          <w:p w:rsidR="002E409A" w:rsidRPr="003A5488" w:rsidRDefault="002E409A" w:rsidP="002E409A">
            <w:pPr>
              <w:ind w:left="170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</w:t>
            </w:r>
            <w:r w:rsidRPr="003A5488">
              <w:rPr>
                <w:i/>
                <w:iCs/>
                <w:sz w:val="18"/>
                <w:szCs w:val="18"/>
              </w:rPr>
              <w:t>a</w:t>
            </w:r>
            <w:r w:rsidRPr="003A5488">
              <w:rPr>
                <w:sz w:val="18"/>
                <w:szCs w:val="18"/>
              </w:rPr>
              <w:t>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contains ≥ 85.0% flammable components and that generates an aerosol that has a heat of combustion ≥ 30 kJ/g;</w:t>
            </w:r>
          </w:p>
          <w:p w:rsidR="002E409A" w:rsidRPr="003A5488" w:rsidRDefault="002E409A" w:rsidP="002E409A">
            <w:pPr>
              <w:ind w:left="170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</w:t>
            </w:r>
            <w:r w:rsidRPr="003A5488">
              <w:rPr>
                <w:i/>
                <w:iCs/>
                <w:sz w:val="18"/>
                <w:szCs w:val="18"/>
              </w:rPr>
              <w:t>b</w:t>
            </w:r>
            <w:r w:rsidRPr="003A5488">
              <w:rPr>
                <w:sz w:val="18"/>
                <w:szCs w:val="18"/>
              </w:rPr>
              <w:t>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generates a spray aerosol that has an ignition distance ≥ 75 cm, based on test results from the ignition distance test for spray aerosols performed in accordance with sub</w:t>
            </w:r>
            <w:r w:rsidR="005B6A20">
              <w:rPr>
                <w:sz w:val="18"/>
                <w:szCs w:val="18"/>
              </w:rPr>
              <w:t>-</w:t>
            </w:r>
            <w:r w:rsidRPr="003A5488">
              <w:rPr>
                <w:sz w:val="18"/>
                <w:szCs w:val="18"/>
              </w:rPr>
              <w:t>section 31.4 of Part III of the Manual of Tests and Criteria; or</w:t>
            </w:r>
          </w:p>
          <w:p w:rsidR="002E409A" w:rsidRPr="003A5488" w:rsidRDefault="002E409A" w:rsidP="002E409A">
            <w:pPr>
              <w:ind w:left="170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</w:t>
            </w:r>
            <w:r w:rsidRPr="003A5488">
              <w:rPr>
                <w:i/>
                <w:iCs/>
                <w:sz w:val="18"/>
                <w:szCs w:val="18"/>
              </w:rPr>
              <w:t>c</w:t>
            </w:r>
            <w:r w:rsidRPr="003A5488">
              <w:rPr>
                <w:sz w:val="18"/>
                <w:szCs w:val="18"/>
              </w:rPr>
              <w:t>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generates a foam aerosol that has, based on test results from the aerosol foam flammability test performed in accordance with sub</w:t>
            </w:r>
            <w:r w:rsidR="005B6A20">
              <w:rPr>
                <w:sz w:val="18"/>
                <w:szCs w:val="18"/>
              </w:rPr>
              <w:t>-</w:t>
            </w:r>
            <w:r w:rsidRPr="003A5488">
              <w:rPr>
                <w:sz w:val="18"/>
                <w:szCs w:val="18"/>
              </w:rPr>
              <w:t>section 31.6 of Part III of the Manual of Tests and Criteria, either</w:t>
            </w:r>
          </w:p>
          <w:p w:rsidR="002E409A" w:rsidRPr="003A5488" w:rsidRDefault="002E409A" w:rsidP="002E409A">
            <w:pPr>
              <w:ind w:left="284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(i)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a flame height ≥ 20 cm and a flame duration ≥ 2 s, or</w:t>
            </w:r>
          </w:p>
          <w:p w:rsidR="002E409A" w:rsidRPr="003A5488" w:rsidRDefault="002E409A" w:rsidP="002E409A">
            <w:pPr>
              <w:ind w:left="284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(ii)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a flame height ≥ 4 cm and a flame duration ≥ 7 s</w:t>
            </w:r>
          </w:p>
          <w:p w:rsidR="002E409A" w:rsidRPr="003A5488" w:rsidRDefault="002E409A" w:rsidP="007F216A">
            <w:pPr>
              <w:jc w:val="both"/>
              <w:rPr>
                <w:sz w:val="18"/>
                <w:szCs w:val="18"/>
              </w:rPr>
            </w:pPr>
          </w:p>
        </w:tc>
      </w:tr>
      <w:tr w:rsidR="002E409A" w:rsidRPr="002E409A" w:rsidTr="007F216A">
        <w:trPr>
          <w:tblCellSpacing w:w="0" w:type="dxa"/>
        </w:trPr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E409A" w:rsidRPr="002E409A" w:rsidRDefault="002E409A" w:rsidP="007F216A"/>
        </w:tc>
      </w:tr>
      <w:tr w:rsidR="002E409A" w:rsidRPr="002E409A" w:rsidTr="007F216A">
        <w:trPr>
          <w:tblCellSpacing w:w="0" w:type="dxa"/>
        </w:trPr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E409A" w:rsidRPr="002E409A" w:rsidRDefault="002E409A" w:rsidP="007F216A"/>
        </w:tc>
      </w:tr>
      <w:tr w:rsidR="002E409A" w:rsidRPr="002E409A" w:rsidTr="007F216A">
        <w:trPr>
          <w:tblCellSpacing w:w="0" w:type="dxa"/>
        </w:trPr>
        <w:tc>
          <w:tcPr>
            <w:tcW w:w="0" w:type="auto"/>
            <w:vMerge w:val="restart"/>
            <w:tcBorders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E409A" w:rsidRPr="003A5488" w:rsidRDefault="003A5488" w:rsidP="007F216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Flammable Aerosols — Category 2</w:t>
            </w:r>
          </w:p>
        </w:tc>
        <w:tc>
          <w:tcPr>
            <w:tcW w:w="0" w:type="auto"/>
            <w:vMerge w:val="restart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E409A" w:rsidRPr="003A5488" w:rsidRDefault="002E409A" w:rsidP="007F216A">
            <w:pPr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An aerosol dispenser that generates</w:t>
            </w:r>
          </w:p>
          <w:p w:rsidR="002E409A" w:rsidRPr="003A5488" w:rsidRDefault="002E409A" w:rsidP="00D70FF7">
            <w:pPr>
              <w:ind w:left="170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</w:t>
            </w:r>
            <w:r w:rsidRPr="003A5488">
              <w:rPr>
                <w:i/>
                <w:iCs/>
                <w:sz w:val="18"/>
                <w:szCs w:val="18"/>
              </w:rPr>
              <w:t>a</w:t>
            </w:r>
            <w:r w:rsidRPr="003A5488">
              <w:rPr>
                <w:sz w:val="18"/>
                <w:szCs w:val="18"/>
              </w:rPr>
              <w:t>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a spray aerosol that does not meet the criteria for the category “Flammable Aerosols — Category 1” and that has</w:t>
            </w:r>
          </w:p>
          <w:p w:rsidR="002E409A" w:rsidRPr="003A5488" w:rsidRDefault="002E409A" w:rsidP="00D70FF7">
            <w:pPr>
              <w:ind w:left="284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(i)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a heat of combustion ≥ 20 kJ/g,</w:t>
            </w:r>
          </w:p>
          <w:p w:rsidR="002E409A" w:rsidRPr="003A5488" w:rsidRDefault="002E409A" w:rsidP="00D70FF7">
            <w:pPr>
              <w:ind w:left="284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(ii)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an ignition distance ≥ 15 cm, based on test results from the ignition distance test for spray aerosols performed in accordance with sub</w:t>
            </w:r>
            <w:r w:rsidR="005B6A20">
              <w:rPr>
                <w:sz w:val="18"/>
                <w:szCs w:val="18"/>
              </w:rPr>
              <w:t>-</w:t>
            </w:r>
            <w:r w:rsidRPr="003A5488">
              <w:rPr>
                <w:sz w:val="18"/>
                <w:szCs w:val="18"/>
              </w:rPr>
              <w:t>section 31.4 of Part III of the Manual of Tests and Criteria,</w:t>
            </w:r>
          </w:p>
          <w:p w:rsidR="002E409A" w:rsidRPr="003A5488" w:rsidRDefault="002E409A" w:rsidP="00D70FF7">
            <w:pPr>
              <w:ind w:left="284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(iii)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a time equivalent ≤ 300 s/m</w:t>
            </w:r>
            <w:r w:rsidRPr="003A5488">
              <w:rPr>
                <w:sz w:val="18"/>
                <w:szCs w:val="18"/>
                <w:vertAlign w:val="superscript"/>
              </w:rPr>
              <w:t>3</w:t>
            </w:r>
            <w:r w:rsidRPr="003A5488">
              <w:rPr>
                <w:sz w:val="18"/>
                <w:szCs w:val="18"/>
              </w:rPr>
              <w:t>, based on test results from the enclosed space ignition test performed in accordance with sub</w:t>
            </w:r>
            <w:r w:rsidR="005B6A20">
              <w:rPr>
                <w:sz w:val="18"/>
                <w:szCs w:val="18"/>
              </w:rPr>
              <w:t>-</w:t>
            </w:r>
            <w:r w:rsidRPr="003A5488">
              <w:rPr>
                <w:sz w:val="18"/>
                <w:szCs w:val="18"/>
              </w:rPr>
              <w:t>section 31.5 of Part III of the Manual of Tests and Criteria, or</w:t>
            </w:r>
          </w:p>
          <w:p w:rsidR="002E409A" w:rsidRPr="003A5488" w:rsidRDefault="002E409A" w:rsidP="00D70FF7">
            <w:pPr>
              <w:ind w:left="284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(iv)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a deflagration density ≤ 300 g/m</w:t>
            </w:r>
            <w:r w:rsidRPr="003A5488">
              <w:rPr>
                <w:sz w:val="18"/>
                <w:szCs w:val="18"/>
                <w:vertAlign w:val="superscript"/>
              </w:rPr>
              <w:t>3</w:t>
            </w:r>
            <w:r w:rsidRPr="003A5488">
              <w:rPr>
                <w:sz w:val="18"/>
                <w:szCs w:val="18"/>
              </w:rPr>
              <w:t>, based on test results from the enclosed space ignition test performed in accordance with sub</w:t>
            </w:r>
            <w:r w:rsidR="005B6A20">
              <w:rPr>
                <w:sz w:val="18"/>
                <w:szCs w:val="18"/>
              </w:rPr>
              <w:t>-</w:t>
            </w:r>
            <w:r w:rsidRPr="003A5488">
              <w:rPr>
                <w:sz w:val="18"/>
                <w:szCs w:val="18"/>
              </w:rPr>
              <w:t>section 31.5 of Part III of the Manual of Tests and Criteria; or</w:t>
            </w:r>
          </w:p>
          <w:p w:rsidR="002E409A" w:rsidRPr="003A5488" w:rsidRDefault="002E409A" w:rsidP="00D70FF7">
            <w:pPr>
              <w:ind w:left="170"/>
              <w:jc w:val="both"/>
              <w:rPr>
                <w:sz w:val="18"/>
                <w:szCs w:val="18"/>
              </w:rPr>
            </w:pPr>
            <w:r w:rsidRPr="003A5488">
              <w:rPr>
                <w:sz w:val="18"/>
                <w:szCs w:val="18"/>
              </w:rPr>
              <w:t>(</w:t>
            </w:r>
            <w:r w:rsidRPr="003A5488">
              <w:rPr>
                <w:i/>
                <w:iCs/>
                <w:sz w:val="18"/>
                <w:szCs w:val="18"/>
              </w:rPr>
              <w:t>b</w:t>
            </w:r>
            <w:r w:rsidRPr="003A5488">
              <w:rPr>
                <w:sz w:val="18"/>
                <w:szCs w:val="18"/>
              </w:rPr>
              <w:t>)</w:t>
            </w:r>
            <w:r w:rsidRPr="003A5488">
              <w:rPr>
                <w:sz w:val="18"/>
                <w:szCs w:val="18"/>
              </w:rPr>
              <w:t> </w:t>
            </w:r>
            <w:r w:rsidRPr="003A5488">
              <w:rPr>
                <w:sz w:val="18"/>
                <w:szCs w:val="18"/>
              </w:rPr>
              <w:t>a foam aerosol that does not meet the criteria for the category “Flammable Aerosols — Category 1” and that has a flame height ≥ 4 cm and a flame duration ≥ 2 s, based on test results from the aerosol foam flammability test performed in accordance with sub</w:t>
            </w:r>
            <w:r w:rsidR="005B6A20">
              <w:rPr>
                <w:sz w:val="18"/>
                <w:szCs w:val="18"/>
              </w:rPr>
              <w:t>-</w:t>
            </w:r>
            <w:r w:rsidRPr="003A5488">
              <w:rPr>
                <w:sz w:val="18"/>
                <w:szCs w:val="18"/>
              </w:rPr>
              <w:t>section 31.6 of Part III of the Manual of Tests and Criteria</w:t>
            </w:r>
          </w:p>
        </w:tc>
        <w:tc>
          <w:tcPr>
            <w:tcW w:w="0" w:type="auto"/>
            <w:vAlign w:val="center"/>
            <w:hideMark/>
          </w:tcPr>
          <w:p w:rsidR="002E409A" w:rsidRPr="002E409A" w:rsidRDefault="002E409A" w:rsidP="007F216A"/>
        </w:tc>
      </w:tr>
      <w:tr w:rsidR="002E409A" w:rsidTr="007F216A">
        <w:trPr>
          <w:tblCellSpacing w:w="0" w:type="dxa"/>
        </w:trPr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2E409A" w:rsidRDefault="002E409A" w:rsidP="007F21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2E409A" w:rsidRDefault="002E409A" w:rsidP="007F21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409A" w:rsidRDefault="002E409A" w:rsidP="007F21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E409A" w:rsidRDefault="002E409A" w:rsidP="007F216A">
            <w:pPr>
              <w:rPr>
                <w:sz w:val="24"/>
                <w:szCs w:val="24"/>
              </w:rPr>
            </w:pPr>
          </w:p>
        </w:tc>
      </w:tr>
    </w:tbl>
    <w:p w:rsidR="005C355F" w:rsidRPr="005C355F" w:rsidRDefault="00350B58" w:rsidP="00350B58">
      <w:pPr>
        <w:pStyle w:val="H23G"/>
      </w:pPr>
      <w:r>
        <w:tab/>
      </w:r>
      <w:r>
        <w:tab/>
      </w:r>
      <w:r w:rsidR="005C355F" w:rsidRPr="005C355F">
        <w:t>Default category</w:t>
      </w:r>
    </w:p>
    <w:p w:rsidR="005A4E60" w:rsidRDefault="005C355F" w:rsidP="00350B58">
      <w:pPr>
        <w:pStyle w:val="SingleTxtG"/>
      </w:pPr>
      <w:r w:rsidRPr="005C355F">
        <w:rPr>
          <w:b/>
        </w:rPr>
        <w:t>(2)</w:t>
      </w:r>
      <w:r>
        <w:t xml:space="preserve"> A </w:t>
      </w:r>
      <w:r w:rsidRPr="00350B58">
        <w:t>product</w:t>
      </w:r>
      <w:r>
        <w:t xml:space="preserve"> that contains flammable components in an aerosol dispenser for which there are no test results in accordance with subparagraph 2.1(a</w:t>
      </w:r>
      <w:proofErr w:type="gramStart"/>
      <w:r>
        <w:t>)(</w:t>
      </w:r>
      <w:proofErr w:type="gramEnd"/>
      <w:r>
        <w:t>i) and referred to in subsection (1) must be classified in the category “Flammable Aerosols – Category 1”, unless the product contains flammable components at a concentration less than or equal to 1.0% and has a heat of combustion less than 20 kJ/g.</w:t>
      </w:r>
      <w:r w:rsidR="00F109C5">
        <w:t>”</w:t>
      </w:r>
    </w:p>
    <w:p w:rsidR="00843CAD" w:rsidRDefault="00350B58" w:rsidP="00350B58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7F216A" w:rsidRPr="00350B58">
        <w:t>Canada</w:t>
      </w:r>
      <w:r w:rsidR="007F216A" w:rsidRPr="00816C07">
        <w:rPr>
          <w:lang w:val="en-US"/>
        </w:rPr>
        <w:t xml:space="preserve"> is currently considering aligning with the GHS (rev. 7) and will maintain this same approach to convert new or updated decision logic flow charts</w:t>
      </w:r>
      <w:r w:rsidR="00816C07">
        <w:rPr>
          <w:lang w:val="en-US"/>
        </w:rPr>
        <w:t>, as applicable</w:t>
      </w:r>
      <w:r w:rsidR="007F216A" w:rsidRPr="00816C07">
        <w:rPr>
          <w:lang w:val="en-US"/>
        </w:rPr>
        <w:t>.</w:t>
      </w:r>
    </w:p>
    <w:p w:rsidR="00843CAD" w:rsidRDefault="00843CAD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843CAD" w:rsidRDefault="00350B58" w:rsidP="00843CAD">
      <w:pPr>
        <w:pStyle w:val="HChG"/>
      </w:pPr>
      <w:r>
        <w:lastRenderedPageBreak/>
        <w:t xml:space="preserve">Annex </w:t>
      </w:r>
    </w:p>
    <w:p w:rsidR="007F216A" w:rsidRDefault="00350B58" w:rsidP="00350B58">
      <w:pPr>
        <w:pStyle w:val="H23G"/>
      </w:pPr>
      <w:r>
        <w:tab/>
      </w:r>
      <w:r>
        <w:tab/>
      </w:r>
      <w:r w:rsidR="005B0E2B">
        <w:t>Decision l</w:t>
      </w:r>
      <w:r w:rsidR="00693556">
        <w:t xml:space="preserve">ogic </w:t>
      </w:r>
      <w:r w:rsidR="005B0E2B">
        <w:t>f</w:t>
      </w:r>
      <w:r w:rsidR="00693556">
        <w:t xml:space="preserve">low </w:t>
      </w:r>
      <w:r w:rsidR="005B0E2B">
        <w:t>c</w:t>
      </w:r>
      <w:r w:rsidR="00693556">
        <w:t xml:space="preserve">harts for </w:t>
      </w:r>
      <w:r w:rsidR="005B0E2B">
        <w:t>f</w:t>
      </w:r>
      <w:r w:rsidR="00693556" w:rsidRPr="00693556">
        <w:t xml:space="preserve">lammable </w:t>
      </w:r>
      <w:r w:rsidR="005B0E2B">
        <w:t>a</w:t>
      </w:r>
      <w:r w:rsidR="00693556" w:rsidRPr="00693556">
        <w:t xml:space="preserve">erosols, </w:t>
      </w:r>
      <w:r w:rsidR="005B0E2B">
        <w:t>s</w:t>
      </w:r>
      <w:r w:rsidR="00693556" w:rsidRPr="00693556">
        <w:t xml:space="preserve">pray </w:t>
      </w:r>
      <w:r w:rsidR="005B0E2B">
        <w:t>a</w:t>
      </w:r>
      <w:r w:rsidR="00693556" w:rsidRPr="00693556">
        <w:t xml:space="preserve">erosols and </w:t>
      </w:r>
      <w:r w:rsidR="005B0E2B">
        <w:t>f</w:t>
      </w:r>
      <w:r w:rsidR="00693556" w:rsidRPr="00693556">
        <w:t xml:space="preserve">oam </w:t>
      </w:r>
      <w:r w:rsidR="005B0E2B">
        <w:t>a</w:t>
      </w:r>
      <w:bookmarkStart w:id="0" w:name="_GoBack"/>
      <w:bookmarkEnd w:id="0"/>
      <w:r w:rsidR="00693556" w:rsidRPr="00693556">
        <w:t>erosols</w:t>
      </w:r>
      <w:r w:rsidR="00693556">
        <w:t>, as specified in section 2.3.4.1 of the GHS (rev. 3)</w:t>
      </w:r>
    </w:p>
    <w:p w:rsidR="00693556" w:rsidRDefault="00693556" w:rsidP="00693556">
      <w:pPr>
        <w:pStyle w:val="SingleTxtG"/>
        <w:ind w:right="0"/>
      </w:pPr>
      <w:r>
        <w:rPr>
          <w:noProof/>
          <w:lang w:eastAsia="en-GB"/>
        </w:rPr>
        <w:drawing>
          <wp:inline distT="0" distB="0" distL="0" distR="0" wp14:anchorId="78E7FFF2" wp14:editId="7752D355">
            <wp:extent cx="4981575" cy="4314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37" cy="43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56" w:rsidRDefault="00693556" w:rsidP="00843CAD">
      <w:pPr>
        <w:pStyle w:val="SingleTxtG"/>
        <w:ind w:left="0" w:right="0"/>
      </w:pPr>
    </w:p>
    <w:p w:rsidR="00693556" w:rsidRDefault="00693556">
      <w:pPr>
        <w:suppressAutoHyphens w:val="0"/>
        <w:spacing w:line="240" w:lineRule="auto"/>
      </w:pPr>
      <w:r>
        <w:br w:type="page"/>
      </w:r>
    </w:p>
    <w:p w:rsidR="00693556" w:rsidRDefault="00693556" w:rsidP="00693556">
      <w:pPr>
        <w:pStyle w:val="SingleTxtG"/>
        <w:ind w:right="0"/>
      </w:pPr>
      <w:r>
        <w:rPr>
          <w:b/>
          <w:noProof/>
          <w:lang w:eastAsia="en-GB"/>
        </w:rPr>
        <w:lastRenderedPageBreak/>
        <w:drawing>
          <wp:inline distT="0" distB="0" distL="0" distR="0" wp14:anchorId="7A1D58A9" wp14:editId="52DF484D">
            <wp:extent cx="5104765" cy="588391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58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56" w:rsidRDefault="00693556" w:rsidP="00843CAD">
      <w:pPr>
        <w:pStyle w:val="SingleTxtG"/>
        <w:ind w:left="0" w:right="0"/>
      </w:pPr>
    </w:p>
    <w:p w:rsidR="00693556" w:rsidRDefault="00693556">
      <w:pPr>
        <w:suppressAutoHyphens w:val="0"/>
        <w:spacing w:line="240" w:lineRule="auto"/>
      </w:pPr>
      <w:r>
        <w:br w:type="page"/>
      </w:r>
    </w:p>
    <w:p w:rsidR="00693556" w:rsidRDefault="00693556" w:rsidP="00693556">
      <w:pPr>
        <w:pStyle w:val="SingleTxtG"/>
        <w:ind w:right="0"/>
      </w:pPr>
      <w:r>
        <w:rPr>
          <w:b/>
          <w:noProof/>
          <w:lang w:eastAsia="en-GB"/>
        </w:rPr>
        <w:lastRenderedPageBreak/>
        <w:drawing>
          <wp:inline distT="0" distB="0" distL="0" distR="0" wp14:anchorId="77DC07CB" wp14:editId="4F23EA82">
            <wp:extent cx="4985385" cy="3808730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56" w:rsidRPr="00350B58" w:rsidRDefault="00350B58" w:rsidP="00350B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3556" w:rsidRDefault="00693556" w:rsidP="00843CAD">
      <w:pPr>
        <w:pStyle w:val="SingleTxtG"/>
        <w:ind w:left="0" w:right="0"/>
      </w:pPr>
    </w:p>
    <w:sectPr w:rsidR="00693556" w:rsidSect="0099001C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A9" w:rsidRDefault="00746BA9"/>
  </w:endnote>
  <w:endnote w:type="continuationSeparator" w:id="0">
    <w:p w:rsidR="00746BA9" w:rsidRDefault="00746BA9"/>
  </w:endnote>
  <w:endnote w:type="continuationNotice" w:id="1">
    <w:p w:rsidR="00746BA9" w:rsidRDefault="00746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6A" w:rsidRPr="0099001C" w:rsidRDefault="007F216A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5B0E2B"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6A" w:rsidRPr="0099001C" w:rsidRDefault="007F216A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5B0E2B"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A9" w:rsidRPr="000B175B" w:rsidRDefault="00746BA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46BA9" w:rsidRPr="00FC68B7" w:rsidRDefault="00746BA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46BA9" w:rsidRDefault="00746B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6A" w:rsidRPr="0099001C" w:rsidRDefault="007F216A" w:rsidP="00366CA7">
    <w:pPr>
      <w:pStyle w:val="Header"/>
    </w:pPr>
    <w:r w:rsidRPr="00772240">
      <w:t>UN/SCEGHS/</w:t>
    </w:r>
    <w:r>
      <w:t>34</w:t>
    </w:r>
    <w:r w:rsidRPr="00772240">
      <w:t>/INF.</w:t>
    </w:r>
    <w:r w:rsidR="00350B58"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6A" w:rsidRPr="0099001C" w:rsidRDefault="00350B58" w:rsidP="0099001C">
    <w:pPr>
      <w:pStyle w:val="Header"/>
      <w:jc w:val="right"/>
    </w:pPr>
    <w:r>
      <w:t>UN/SCEGHS/34/INF.13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13131CB"/>
    <w:multiLevelType w:val="hybridMultilevel"/>
    <w:tmpl w:val="FDDED6B8"/>
    <w:lvl w:ilvl="0" w:tplc="1009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5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5783706"/>
    <w:multiLevelType w:val="hybridMultilevel"/>
    <w:tmpl w:val="EC76335C"/>
    <w:lvl w:ilvl="0" w:tplc="5ABA087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26B5A"/>
    <w:rsid w:val="00027710"/>
    <w:rsid w:val="00033B3D"/>
    <w:rsid w:val="0004033E"/>
    <w:rsid w:val="00050F6B"/>
    <w:rsid w:val="00072C8C"/>
    <w:rsid w:val="000754A8"/>
    <w:rsid w:val="00076813"/>
    <w:rsid w:val="00081647"/>
    <w:rsid w:val="000931C0"/>
    <w:rsid w:val="000B175B"/>
    <w:rsid w:val="000B3A0F"/>
    <w:rsid w:val="000C158F"/>
    <w:rsid w:val="000C6544"/>
    <w:rsid w:val="000D10AA"/>
    <w:rsid w:val="000E0415"/>
    <w:rsid w:val="000E57D3"/>
    <w:rsid w:val="000F0C50"/>
    <w:rsid w:val="00121D91"/>
    <w:rsid w:val="001220B8"/>
    <w:rsid w:val="001506DF"/>
    <w:rsid w:val="0015534C"/>
    <w:rsid w:val="00156F3C"/>
    <w:rsid w:val="00162BF7"/>
    <w:rsid w:val="001708F5"/>
    <w:rsid w:val="00190AEA"/>
    <w:rsid w:val="001B06A5"/>
    <w:rsid w:val="001B4B04"/>
    <w:rsid w:val="001B6A12"/>
    <w:rsid w:val="001C17AC"/>
    <w:rsid w:val="001C6663"/>
    <w:rsid w:val="001C7895"/>
    <w:rsid w:val="001D1FC8"/>
    <w:rsid w:val="001D26DF"/>
    <w:rsid w:val="001D6A87"/>
    <w:rsid w:val="001E47FD"/>
    <w:rsid w:val="001E6DEF"/>
    <w:rsid w:val="00211E0B"/>
    <w:rsid w:val="002350C2"/>
    <w:rsid w:val="002405A7"/>
    <w:rsid w:val="0025322D"/>
    <w:rsid w:val="00257E45"/>
    <w:rsid w:val="00262488"/>
    <w:rsid w:val="002877C2"/>
    <w:rsid w:val="00293B3A"/>
    <w:rsid w:val="002A74F6"/>
    <w:rsid w:val="002B3D1C"/>
    <w:rsid w:val="002C3DC1"/>
    <w:rsid w:val="002D1A23"/>
    <w:rsid w:val="002D59D3"/>
    <w:rsid w:val="002D7398"/>
    <w:rsid w:val="002E409A"/>
    <w:rsid w:val="003107FA"/>
    <w:rsid w:val="003127A2"/>
    <w:rsid w:val="003229D8"/>
    <w:rsid w:val="00324BF9"/>
    <w:rsid w:val="0032550E"/>
    <w:rsid w:val="0033745A"/>
    <w:rsid w:val="003507AA"/>
    <w:rsid w:val="00350B58"/>
    <w:rsid w:val="003561CA"/>
    <w:rsid w:val="003642AF"/>
    <w:rsid w:val="00366CA7"/>
    <w:rsid w:val="00372FC3"/>
    <w:rsid w:val="0039277A"/>
    <w:rsid w:val="003972E0"/>
    <w:rsid w:val="003A5488"/>
    <w:rsid w:val="003B3A99"/>
    <w:rsid w:val="003C2CC4"/>
    <w:rsid w:val="003C3936"/>
    <w:rsid w:val="003D0517"/>
    <w:rsid w:val="003D4B23"/>
    <w:rsid w:val="003E6D21"/>
    <w:rsid w:val="003F1ED3"/>
    <w:rsid w:val="00407D5C"/>
    <w:rsid w:val="00421612"/>
    <w:rsid w:val="00422877"/>
    <w:rsid w:val="004325CB"/>
    <w:rsid w:val="00446ADD"/>
    <w:rsid w:val="00446DE4"/>
    <w:rsid w:val="00460DD9"/>
    <w:rsid w:val="00462953"/>
    <w:rsid w:val="004661DF"/>
    <w:rsid w:val="00467F71"/>
    <w:rsid w:val="00476FD6"/>
    <w:rsid w:val="00480EED"/>
    <w:rsid w:val="0048184F"/>
    <w:rsid w:val="004A41CA"/>
    <w:rsid w:val="004C5E51"/>
    <w:rsid w:val="004C6FFA"/>
    <w:rsid w:val="004E7ED6"/>
    <w:rsid w:val="00503228"/>
    <w:rsid w:val="00505384"/>
    <w:rsid w:val="0052224B"/>
    <w:rsid w:val="00532EF8"/>
    <w:rsid w:val="005420F2"/>
    <w:rsid w:val="005629F3"/>
    <w:rsid w:val="0058474C"/>
    <w:rsid w:val="005A4E60"/>
    <w:rsid w:val="005B0E2B"/>
    <w:rsid w:val="005B2C89"/>
    <w:rsid w:val="005B3DB3"/>
    <w:rsid w:val="005B6A20"/>
    <w:rsid w:val="005C355F"/>
    <w:rsid w:val="005E22FE"/>
    <w:rsid w:val="00600E29"/>
    <w:rsid w:val="00611FC4"/>
    <w:rsid w:val="006176FB"/>
    <w:rsid w:val="00627ED0"/>
    <w:rsid w:val="00632C10"/>
    <w:rsid w:val="00640B26"/>
    <w:rsid w:val="00644195"/>
    <w:rsid w:val="00665595"/>
    <w:rsid w:val="00691F20"/>
    <w:rsid w:val="00693543"/>
    <w:rsid w:val="00693556"/>
    <w:rsid w:val="00697716"/>
    <w:rsid w:val="006A7392"/>
    <w:rsid w:val="006A7757"/>
    <w:rsid w:val="006B1F07"/>
    <w:rsid w:val="006C7175"/>
    <w:rsid w:val="006E564B"/>
    <w:rsid w:val="006E5F4D"/>
    <w:rsid w:val="00710985"/>
    <w:rsid w:val="0071349F"/>
    <w:rsid w:val="00720DEB"/>
    <w:rsid w:val="0072632A"/>
    <w:rsid w:val="00733AAE"/>
    <w:rsid w:val="00735041"/>
    <w:rsid w:val="007460D3"/>
    <w:rsid w:val="0074685B"/>
    <w:rsid w:val="00746BA9"/>
    <w:rsid w:val="007523F9"/>
    <w:rsid w:val="00752DAC"/>
    <w:rsid w:val="00762D8C"/>
    <w:rsid w:val="00772240"/>
    <w:rsid w:val="00781A60"/>
    <w:rsid w:val="0078454F"/>
    <w:rsid w:val="007A0B22"/>
    <w:rsid w:val="007B6BA5"/>
    <w:rsid w:val="007C3390"/>
    <w:rsid w:val="007C4F4B"/>
    <w:rsid w:val="007C5AAE"/>
    <w:rsid w:val="007C70FC"/>
    <w:rsid w:val="007D3BE8"/>
    <w:rsid w:val="007F0B83"/>
    <w:rsid w:val="007F216A"/>
    <w:rsid w:val="007F48EF"/>
    <w:rsid w:val="007F4FCD"/>
    <w:rsid w:val="007F6611"/>
    <w:rsid w:val="00816C07"/>
    <w:rsid w:val="0081732C"/>
    <w:rsid w:val="008175E9"/>
    <w:rsid w:val="008242D7"/>
    <w:rsid w:val="00827E05"/>
    <w:rsid w:val="008311A3"/>
    <w:rsid w:val="00836AF7"/>
    <w:rsid w:val="00841379"/>
    <w:rsid w:val="00843CAD"/>
    <w:rsid w:val="00866DF5"/>
    <w:rsid w:val="00871FD5"/>
    <w:rsid w:val="00877952"/>
    <w:rsid w:val="00881D60"/>
    <w:rsid w:val="008979B1"/>
    <w:rsid w:val="008A5E51"/>
    <w:rsid w:val="008A6B25"/>
    <w:rsid w:val="008A6C4F"/>
    <w:rsid w:val="008B317C"/>
    <w:rsid w:val="008B6E26"/>
    <w:rsid w:val="008C7405"/>
    <w:rsid w:val="008D698E"/>
    <w:rsid w:val="008E0E46"/>
    <w:rsid w:val="008E4C4C"/>
    <w:rsid w:val="008F7C57"/>
    <w:rsid w:val="00907AD2"/>
    <w:rsid w:val="00911047"/>
    <w:rsid w:val="00933962"/>
    <w:rsid w:val="00957150"/>
    <w:rsid w:val="00961C03"/>
    <w:rsid w:val="00963CBA"/>
    <w:rsid w:val="009650E6"/>
    <w:rsid w:val="00965932"/>
    <w:rsid w:val="00974A8D"/>
    <w:rsid w:val="0099001C"/>
    <w:rsid w:val="00991261"/>
    <w:rsid w:val="009941EC"/>
    <w:rsid w:val="00997BB5"/>
    <w:rsid w:val="009B4A65"/>
    <w:rsid w:val="009C5FF3"/>
    <w:rsid w:val="009F3A17"/>
    <w:rsid w:val="009F3D53"/>
    <w:rsid w:val="00A02CED"/>
    <w:rsid w:val="00A11CD3"/>
    <w:rsid w:val="00A1427D"/>
    <w:rsid w:val="00A24F83"/>
    <w:rsid w:val="00A3697C"/>
    <w:rsid w:val="00A426FB"/>
    <w:rsid w:val="00A55FB2"/>
    <w:rsid w:val="00A64CE8"/>
    <w:rsid w:val="00A72F22"/>
    <w:rsid w:val="00A732F4"/>
    <w:rsid w:val="00A748A6"/>
    <w:rsid w:val="00A75294"/>
    <w:rsid w:val="00A80459"/>
    <w:rsid w:val="00A805EB"/>
    <w:rsid w:val="00A83A6E"/>
    <w:rsid w:val="00A8760B"/>
    <w:rsid w:val="00A879A4"/>
    <w:rsid w:val="00A90C3D"/>
    <w:rsid w:val="00AA496B"/>
    <w:rsid w:val="00AB3AFB"/>
    <w:rsid w:val="00AC4353"/>
    <w:rsid w:val="00AE71F3"/>
    <w:rsid w:val="00AF3E95"/>
    <w:rsid w:val="00B30179"/>
    <w:rsid w:val="00B30E8F"/>
    <w:rsid w:val="00B3195E"/>
    <w:rsid w:val="00B33EC0"/>
    <w:rsid w:val="00B47AE5"/>
    <w:rsid w:val="00B768D1"/>
    <w:rsid w:val="00B81E12"/>
    <w:rsid w:val="00B8797A"/>
    <w:rsid w:val="00B97D28"/>
    <w:rsid w:val="00BC74E9"/>
    <w:rsid w:val="00BD2146"/>
    <w:rsid w:val="00BE4F74"/>
    <w:rsid w:val="00BE618E"/>
    <w:rsid w:val="00BF44C4"/>
    <w:rsid w:val="00C011F8"/>
    <w:rsid w:val="00C17699"/>
    <w:rsid w:val="00C1778D"/>
    <w:rsid w:val="00C24C7F"/>
    <w:rsid w:val="00C27B45"/>
    <w:rsid w:val="00C41A28"/>
    <w:rsid w:val="00C463DD"/>
    <w:rsid w:val="00C6210B"/>
    <w:rsid w:val="00C745C3"/>
    <w:rsid w:val="00C74618"/>
    <w:rsid w:val="00C80B74"/>
    <w:rsid w:val="00C8584C"/>
    <w:rsid w:val="00C945EB"/>
    <w:rsid w:val="00CA6CCD"/>
    <w:rsid w:val="00CC65B7"/>
    <w:rsid w:val="00CD6B43"/>
    <w:rsid w:val="00CE4A8F"/>
    <w:rsid w:val="00CF5699"/>
    <w:rsid w:val="00D055EB"/>
    <w:rsid w:val="00D15295"/>
    <w:rsid w:val="00D2031B"/>
    <w:rsid w:val="00D25FE2"/>
    <w:rsid w:val="00D317BB"/>
    <w:rsid w:val="00D35D8F"/>
    <w:rsid w:val="00D43252"/>
    <w:rsid w:val="00D560D7"/>
    <w:rsid w:val="00D600F1"/>
    <w:rsid w:val="00D63881"/>
    <w:rsid w:val="00D65590"/>
    <w:rsid w:val="00D70FF7"/>
    <w:rsid w:val="00D7387D"/>
    <w:rsid w:val="00D80F23"/>
    <w:rsid w:val="00D8272E"/>
    <w:rsid w:val="00D83372"/>
    <w:rsid w:val="00D9508B"/>
    <w:rsid w:val="00D978C6"/>
    <w:rsid w:val="00D97CB8"/>
    <w:rsid w:val="00DA4CA3"/>
    <w:rsid w:val="00DA67AD"/>
    <w:rsid w:val="00DB5D0F"/>
    <w:rsid w:val="00DC3242"/>
    <w:rsid w:val="00DD1BDB"/>
    <w:rsid w:val="00DE6563"/>
    <w:rsid w:val="00DE6D0B"/>
    <w:rsid w:val="00DE7F20"/>
    <w:rsid w:val="00DF12F7"/>
    <w:rsid w:val="00DF2C64"/>
    <w:rsid w:val="00E00E46"/>
    <w:rsid w:val="00E02C81"/>
    <w:rsid w:val="00E04A75"/>
    <w:rsid w:val="00E06EAB"/>
    <w:rsid w:val="00E07DA9"/>
    <w:rsid w:val="00E130AB"/>
    <w:rsid w:val="00E31C87"/>
    <w:rsid w:val="00E34BCE"/>
    <w:rsid w:val="00E4192A"/>
    <w:rsid w:val="00E464DA"/>
    <w:rsid w:val="00E52D1E"/>
    <w:rsid w:val="00E677EC"/>
    <w:rsid w:val="00E7008F"/>
    <w:rsid w:val="00E70DF5"/>
    <w:rsid w:val="00E7260F"/>
    <w:rsid w:val="00E80F5F"/>
    <w:rsid w:val="00E8461D"/>
    <w:rsid w:val="00E87921"/>
    <w:rsid w:val="00E96630"/>
    <w:rsid w:val="00EA264E"/>
    <w:rsid w:val="00EA3A41"/>
    <w:rsid w:val="00EB00D7"/>
    <w:rsid w:val="00EC19D3"/>
    <w:rsid w:val="00EC78D9"/>
    <w:rsid w:val="00ED1541"/>
    <w:rsid w:val="00ED279F"/>
    <w:rsid w:val="00ED71D9"/>
    <w:rsid w:val="00ED7A2A"/>
    <w:rsid w:val="00EE06A0"/>
    <w:rsid w:val="00EF0E26"/>
    <w:rsid w:val="00EF146E"/>
    <w:rsid w:val="00EF1D7F"/>
    <w:rsid w:val="00EF358F"/>
    <w:rsid w:val="00F07CF0"/>
    <w:rsid w:val="00F109C5"/>
    <w:rsid w:val="00F124A0"/>
    <w:rsid w:val="00F145C8"/>
    <w:rsid w:val="00F467AB"/>
    <w:rsid w:val="00F53EDA"/>
    <w:rsid w:val="00F73015"/>
    <w:rsid w:val="00F7753D"/>
    <w:rsid w:val="00F85F34"/>
    <w:rsid w:val="00FA06F7"/>
    <w:rsid w:val="00FA0CE1"/>
    <w:rsid w:val="00FB171A"/>
    <w:rsid w:val="00FB2898"/>
    <w:rsid w:val="00FC09B8"/>
    <w:rsid w:val="00FC68B7"/>
    <w:rsid w:val="00FD4F7E"/>
    <w:rsid w:val="00FD7BF6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basedOn w:val="Normal"/>
    <w:qFormat/>
    <w:rsid w:val="00A75294"/>
    <w:pPr>
      <w:suppressAutoHyphens w:val="0"/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Cs w:val="22"/>
      <w:lang w:val="en-US" w:eastAsia="de-DE" w:bidi="en-US"/>
    </w:rPr>
  </w:style>
  <w:style w:type="paragraph" w:styleId="BalloonText">
    <w:name w:val="Balloon Text"/>
    <w:basedOn w:val="Normal"/>
    <w:link w:val="BalloonTextChar"/>
    <w:semiHidden/>
    <w:unhideWhenUsed/>
    <w:rsid w:val="00155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534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F3E9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paragraph" w:customStyle="1" w:styleId="CM32">
    <w:name w:val="CM32"/>
    <w:basedOn w:val="Default"/>
    <w:next w:val="Default"/>
    <w:uiPriority w:val="99"/>
    <w:rsid w:val="000754A8"/>
    <w:rPr>
      <w:color w:val="auto"/>
    </w:rPr>
  </w:style>
  <w:style w:type="character" w:styleId="CommentReference">
    <w:name w:val="annotation reference"/>
    <w:basedOn w:val="DefaultParagraphFont"/>
    <w:semiHidden/>
    <w:unhideWhenUsed/>
    <w:rsid w:val="00746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68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468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85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basedOn w:val="Normal"/>
    <w:qFormat/>
    <w:rsid w:val="00A75294"/>
    <w:pPr>
      <w:suppressAutoHyphens w:val="0"/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Cs w:val="22"/>
      <w:lang w:val="en-US" w:eastAsia="de-DE" w:bidi="en-US"/>
    </w:rPr>
  </w:style>
  <w:style w:type="paragraph" w:styleId="BalloonText">
    <w:name w:val="Balloon Text"/>
    <w:basedOn w:val="Normal"/>
    <w:link w:val="BalloonTextChar"/>
    <w:semiHidden/>
    <w:unhideWhenUsed/>
    <w:rsid w:val="00155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534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F3E9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paragraph" w:customStyle="1" w:styleId="CM32">
    <w:name w:val="CM32"/>
    <w:basedOn w:val="Default"/>
    <w:next w:val="Default"/>
    <w:uiPriority w:val="99"/>
    <w:rsid w:val="000754A8"/>
    <w:rPr>
      <w:color w:val="auto"/>
    </w:rPr>
  </w:style>
  <w:style w:type="character" w:styleId="CommentReference">
    <w:name w:val="annotation reference"/>
    <w:basedOn w:val="DefaultParagraphFont"/>
    <w:semiHidden/>
    <w:unhideWhenUsed/>
    <w:rsid w:val="00746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68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468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8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A297-2AE5-4414-9748-B979AC4A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2017-11-22T13:58:00Z</cp:lastPrinted>
  <dcterms:created xsi:type="dcterms:W3CDTF">2017-11-22T13:50:00Z</dcterms:created>
  <dcterms:modified xsi:type="dcterms:W3CDTF">2017-11-23T08:28:00Z</dcterms:modified>
</cp:coreProperties>
</file>