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777983">
            <w:pPr>
              <w:jc w:val="right"/>
              <w:rPr>
                <w:b/>
                <w:sz w:val="40"/>
                <w:szCs w:val="40"/>
              </w:rPr>
            </w:pPr>
            <w:r w:rsidRPr="0099001C">
              <w:rPr>
                <w:b/>
                <w:sz w:val="40"/>
                <w:szCs w:val="40"/>
              </w:rPr>
              <w:t>UN/SCEGHS/</w:t>
            </w:r>
            <w:r w:rsidR="001B06A5">
              <w:rPr>
                <w:b/>
                <w:sz w:val="40"/>
                <w:szCs w:val="40"/>
              </w:rPr>
              <w:t>33</w:t>
            </w:r>
            <w:r w:rsidRPr="0099001C">
              <w:rPr>
                <w:b/>
                <w:sz w:val="40"/>
                <w:szCs w:val="40"/>
              </w:rPr>
              <w:t>/INF.</w:t>
            </w:r>
            <w:r w:rsidR="00777983">
              <w:rPr>
                <w:b/>
                <w:sz w:val="40"/>
                <w:szCs w:val="40"/>
              </w:rPr>
              <w:t>18</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C06777">
              <w:rPr>
                <w:b/>
                <w:lang w:val="en-US"/>
              </w:rPr>
              <w:t xml:space="preserve"> </w:t>
            </w:r>
            <w:r w:rsidR="00B34142">
              <w:rPr>
                <w:b/>
                <w:lang w:val="en-US"/>
              </w:rPr>
              <w:t>11</w:t>
            </w:r>
            <w:r w:rsidR="00C06777">
              <w:rPr>
                <w:b/>
                <w:lang w:val="en-US"/>
              </w:rPr>
              <w:t xml:space="preserve"> July</w:t>
            </w:r>
            <w:r w:rsidR="00C06777" w:rsidRPr="001B03EA">
              <w:rPr>
                <w:b/>
                <w:lang w:val="en-US"/>
              </w:rPr>
              <w:t xml:space="preserve"> 201</w:t>
            </w:r>
            <w:r w:rsidR="00C06777">
              <w:rPr>
                <w:b/>
                <w:lang w:val="en-US"/>
              </w:rPr>
              <w:t>7</w:t>
            </w:r>
          </w:p>
          <w:p w:rsidR="00965932" w:rsidRPr="001B03EA" w:rsidRDefault="00965932" w:rsidP="00965932">
            <w:pPr>
              <w:jc w:val="both"/>
              <w:rPr>
                <w:b/>
              </w:rPr>
            </w:pPr>
          </w:p>
          <w:p w:rsidR="00965932" w:rsidRPr="004776AD" w:rsidRDefault="00965932" w:rsidP="00965932">
            <w:pPr>
              <w:jc w:val="both"/>
            </w:pPr>
            <w:r w:rsidRPr="004776AD">
              <w:rPr>
                <w:b/>
              </w:rPr>
              <w:t>Thirty-</w:t>
            </w:r>
            <w:r w:rsidR="001B06A5" w:rsidRPr="004776AD">
              <w:rPr>
                <w:b/>
              </w:rPr>
              <w:t>third</w:t>
            </w:r>
            <w:r w:rsidRPr="004776AD">
              <w:rPr>
                <w:b/>
              </w:rPr>
              <w:t xml:space="preserve"> session</w:t>
            </w:r>
            <w:r w:rsidRPr="004776AD">
              <w:t xml:space="preserve"> </w:t>
            </w:r>
          </w:p>
          <w:p w:rsidR="001B06A5" w:rsidRPr="004776AD" w:rsidRDefault="001B06A5" w:rsidP="001B06A5">
            <w:pPr>
              <w:jc w:val="both"/>
            </w:pPr>
            <w:r w:rsidRPr="004776AD">
              <w:t>Geneva, 10-12 July 2017</w:t>
            </w:r>
          </w:p>
          <w:p w:rsidR="001B06A5" w:rsidRPr="004776AD" w:rsidRDefault="001B06A5" w:rsidP="001B06A5">
            <w:pPr>
              <w:spacing w:before="40"/>
            </w:pPr>
            <w:r w:rsidRPr="004776AD">
              <w:t xml:space="preserve">Item </w:t>
            </w:r>
            <w:r w:rsidR="008C7405" w:rsidRPr="004776AD">
              <w:t xml:space="preserve">4 </w:t>
            </w:r>
            <w:r w:rsidR="00762D8C" w:rsidRPr="004776AD">
              <w:t>(</w:t>
            </w:r>
            <w:r w:rsidR="00E6733C" w:rsidRPr="004776AD">
              <w:rPr>
                <w:lang w:val="ru-RU"/>
              </w:rPr>
              <w:t>с</w:t>
            </w:r>
            <w:r w:rsidR="00762D8C" w:rsidRPr="004776AD">
              <w:t xml:space="preserve">) </w:t>
            </w:r>
            <w:r w:rsidRPr="004776AD">
              <w:t>of the provisional agenda</w:t>
            </w:r>
          </w:p>
          <w:p w:rsidR="0099001C" w:rsidRPr="00BB56C8" w:rsidRDefault="008C7405" w:rsidP="00F56973">
            <w:pPr>
              <w:spacing w:line="240" w:lineRule="exact"/>
              <w:rPr>
                <w:color w:val="FF0000"/>
              </w:rPr>
            </w:pPr>
            <w:r w:rsidRPr="004776AD">
              <w:rPr>
                <w:b/>
              </w:rPr>
              <w:t>Implementation of the GHS</w:t>
            </w:r>
            <w:r w:rsidR="00762D8C" w:rsidRPr="004776AD">
              <w:rPr>
                <w:b/>
              </w:rPr>
              <w:t>:</w:t>
            </w:r>
            <w:r w:rsidR="004776AD" w:rsidRPr="004776AD">
              <w:t xml:space="preserve"> </w:t>
            </w:r>
            <w:r w:rsidR="00777983">
              <w:br/>
            </w:r>
            <w:r w:rsidR="004776AD" w:rsidRPr="004776AD">
              <w:rPr>
                <w:b/>
              </w:rPr>
              <w:t>Cooperation with other bodies or international organizations</w:t>
            </w:r>
          </w:p>
        </w:tc>
      </w:tr>
    </w:tbl>
    <w:p w:rsidR="00965932" w:rsidRPr="006F2710" w:rsidRDefault="00965932" w:rsidP="00BA7000">
      <w:pPr>
        <w:pStyle w:val="HChG"/>
        <w:ind w:left="993" w:hanging="993"/>
      </w:pPr>
      <w:r w:rsidRPr="009E7ABD">
        <w:rPr>
          <w:rFonts w:eastAsia="MS Mincho"/>
          <w:lang w:val="en-US" w:eastAsia="ja-JP"/>
        </w:rPr>
        <w:tab/>
      </w:r>
      <w:r>
        <w:rPr>
          <w:rFonts w:eastAsia="MS Mincho"/>
          <w:lang w:val="en-US" w:eastAsia="ja-JP"/>
        </w:rPr>
        <w:tab/>
      </w:r>
      <w:r w:rsidR="001C5025" w:rsidRPr="001C5025">
        <w:t>Asia-Pacific Economic Cooperation (APEC) Chemical Dialogue activities on exchange of data on</w:t>
      </w:r>
      <w:r w:rsidR="001C5025">
        <w:t xml:space="preserve"> GHS implementation</w:t>
      </w:r>
    </w:p>
    <w:p w:rsidR="00C06777" w:rsidRDefault="00965932" w:rsidP="00BA7000">
      <w:pPr>
        <w:pStyle w:val="H1G"/>
        <w:ind w:left="993" w:hanging="993"/>
      </w:pPr>
      <w:r w:rsidRPr="00DC0E36">
        <w:rPr>
          <w:rFonts w:eastAsia="MS Mincho"/>
        </w:rPr>
        <w:tab/>
      </w:r>
      <w:r w:rsidRPr="00DC0E36">
        <w:rPr>
          <w:rFonts w:eastAsia="MS Mincho"/>
        </w:rPr>
        <w:tab/>
      </w:r>
      <w:r>
        <w:rPr>
          <w:rFonts w:eastAsia="MS Mincho"/>
        </w:rPr>
        <w:t xml:space="preserve">Transmitted by </w:t>
      </w:r>
      <w:r w:rsidR="008C7405">
        <w:rPr>
          <w:rFonts w:eastAsia="MS Mincho"/>
        </w:rPr>
        <w:t xml:space="preserve">the expert </w:t>
      </w:r>
      <w:r w:rsidR="00B23BD5">
        <w:rPr>
          <w:rFonts w:eastAsia="MS Mincho"/>
        </w:rPr>
        <w:t>from</w:t>
      </w:r>
      <w:bookmarkStart w:id="0" w:name="_GoBack"/>
      <w:bookmarkEnd w:id="0"/>
      <w:r w:rsidR="008C7405">
        <w:rPr>
          <w:rFonts w:eastAsia="MS Mincho"/>
        </w:rPr>
        <w:t xml:space="preserve"> the </w:t>
      </w:r>
      <w:r w:rsidR="008C7405" w:rsidRPr="004776AD">
        <w:rPr>
          <w:rFonts w:eastAsia="MS Mincho"/>
        </w:rPr>
        <w:t>Russian Federation</w:t>
      </w:r>
      <w:r w:rsidR="00FA7268" w:rsidRPr="004776AD">
        <w:rPr>
          <w:rFonts w:eastAsia="MS Mincho"/>
          <w:lang w:val="en-US"/>
        </w:rPr>
        <w:t xml:space="preserve"> (</w:t>
      </w:r>
      <w:r w:rsidR="00FA7268" w:rsidRPr="004776AD">
        <w:rPr>
          <w:lang w:val="en-US"/>
        </w:rPr>
        <w:t xml:space="preserve">chair of Virtual Working Group on Data Exchange) </w:t>
      </w:r>
      <w:r w:rsidR="00C06777" w:rsidRPr="004776AD">
        <w:t>on behalf of APEC Chemical Dialogue</w:t>
      </w:r>
      <w:r w:rsidR="00C06777" w:rsidRPr="004776AD">
        <w:cr/>
      </w:r>
    </w:p>
    <w:p w:rsidR="00C06777" w:rsidRPr="002F024F" w:rsidRDefault="00B34142" w:rsidP="00B34142">
      <w:pPr>
        <w:pStyle w:val="SingleTxtG"/>
        <w:rPr>
          <w:rFonts w:eastAsia="MS Mincho"/>
          <w:color w:val="FF0000"/>
        </w:rPr>
      </w:pPr>
      <w:r>
        <w:rPr>
          <w:rFonts w:eastAsia="MS Mincho"/>
        </w:rPr>
        <w:t>1.</w:t>
      </w:r>
      <w:r>
        <w:rPr>
          <w:rFonts w:eastAsia="MS Mincho"/>
        </w:rPr>
        <w:tab/>
      </w:r>
      <w:r w:rsidR="00C06777" w:rsidRPr="002F024F">
        <w:rPr>
          <w:rFonts w:eastAsia="MS Mincho"/>
        </w:rPr>
        <w:t>The APEC Chemical Dialogue (CD) serves as a forum for regulatory officials and industry representatives to find solutions to challenges facing the chemical industry in the Asia-Pacific region.</w:t>
      </w:r>
      <w:r w:rsidR="002F024F" w:rsidRPr="002F024F">
        <w:rPr>
          <w:rFonts w:eastAsia="MS Mincho"/>
        </w:rPr>
        <w:t xml:space="preserve"> </w:t>
      </w:r>
      <w:r w:rsidR="00C06777" w:rsidRPr="002F024F">
        <w:rPr>
          <w:rFonts w:eastAsia="MS Mincho"/>
        </w:rPr>
        <w:t xml:space="preserve">Issues addressed include chemical sector liberalisation, chemical trade </w:t>
      </w:r>
      <w:proofErr w:type="gramStart"/>
      <w:r w:rsidR="00C06777" w:rsidRPr="002F024F">
        <w:rPr>
          <w:rFonts w:eastAsia="MS Mincho"/>
        </w:rPr>
        <w:t>facilitation</w:t>
      </w:r>
      <w:proofErr w:type="gramEnd"/>
      <w:r w:rsidR="00C06777" w:rsidRPr="002F024F">
        <w:rPr>
          <w:rFonts w:eastAsia="MS Mincho"/>
        </w:rPr>
        <w:t>, and capacity building. The CD also focuses on improving regulatory policies and practices: it seeks workable regulatory programmes which ensure that regulatory, safety, and environmental goals can be implemented by both governments and businesses.</w:t>
      </w:r>
      <w:r w:rsidR="008734FB" w:rsidRPr="002F024F">
        <w:rPr>
          <w:rFonts w:eastAsia="MS Mincho"/>
          <w:color w:val="FF0000"/>
        </w:rPr>
        <w:t xml:space="preserve"> </w:t>
      </w:r>
    </w:p>
    <w:p w:rsidR="00BA7000" w:rsidRPr="00BA7000" w:rsidRDefault="00B34142" w:rsidP="00B34142">
      <w:pPr>
        <w:pStyle w:val="SingleTxtG"/>
        <w:rPr>
          <w:rFonts w:eastAsia="MS Mincho"/>
        </w:rPr>
      </w:pPr>
      <w:r>
        <w:rPr>
          <w:rFonts w:eastAsia="MS Mincho"/>
        </w:rPr>
        <w:t>2.</w:t>
      </w:r>
      <w:r>
        <w:rPr>
          <w:rFonts w:eastAsia="MS Mincho"/>
        </w:rPr>
        <w:tab/>
      </w:r>
      <w:r w:rsidR="00BA7000">
        <w:rPr>
          <w:rFonts w:eastAsia="MS Mincho"/>
        </w:rPr>
        <w:t xml:space="preserve">The </w:t>
      </w:r>
      <w:r w:rsidR="00BA7000" w:rsidRPr="00BA7000">
        <w:rPr>
          <w:rFonts w:eastAsia="MS Mincho"/>
        </w:rPr>
        <w:t>C</w:t>
      </w:r>
      <w:r w:rsidR="00BA7000" w:rsidRPr="00BA7000">
        <w:rPr>
          <w:rFonts w:eastAsia="MS Mincho"/>
          <w:lang w:val="en-US"/>
        </w:rPr>
        <w:t>D</w:t>
      </w:r>
      <w:r w:rsidR="00BA7000" w:rsidRPr="00BA7000">
        <w:rPr>
          <w:rFonts w:eastAsia="MS Mincho"/>
        </w:rPr>
        <w:t xml:space="preserve"> annually collects information regarding the progress on the GHS implementation in APEC economies. For this purpose Australia within the framework of the Virtual Working Group on GHS developed an Internet platform (GHS </w:t>
      </w:r>
      <w:proofErr w:type="spellStart"/>
      <w:r w:rsidR="00BA7000" w:rsidRPr="00BA7000">
        <w:rPr>
          <w:rFonts w:eastAsia="MS Mincho"/>
        </w:rPr>
        <w:t>SmartForm</w:t>
      </w:r>
      <w:proofErr w:type="spellEnd"/>
      <w:r w:rsidR="00BA7000" w:rsidRPr="00BA7000">
        <w:rPr>
          <w:rFonts w:eastAsia="MS Mincho"/>
        </w:rPr>
        <w:t>) to be used for regular reporting. The general report is generated on the basis of collected data and then is submitted to approval of APEC Ministers. Approved report is published at GHS Reference Exchange and Tool (G.R.E.A.T.) clearinghouse website (http://great.osha.gov.tw/ENG/news-in.aspx?id=12) as well as</w:t>
      </w:r>
      <w:r w:rsidR="00BA7000" w:rsidRPr="001B5640">
        <w:t xml:space="preserve"> via following link: </w:t>
      </w:r>
      <w:hyperlink r:id="rId8" w:history="1">
        <w:r w:rsidR="00BA7000" w:rsidRPr="00BA7000">
          <w:rPr>
            <w:rStyle w:val="Hyperlink"/>
            <w:rFonts w:eastAsia="MS Mincho"/>
          </w:rPr>
          <w:t>https://www.apec.org/Groups/Committee-on-Trade-and-Investment/Chemical-Dialogue.aspx</w:t>
        </w:r>
      </w:hyperlink>
      <w:r w:rsidR="00BA7000" w:rsidRPr="00BA7000">
        <w:rPr>
          <w:rFonts w:eastAsia="MS Mincho"/>
        </w:rPr>
        <w:t xml:space="preserve"> for the purpose of use by APEC economies and all interested parties.</w:t>
      </w:r>
    </w:p>
    <w:p w:rsidR="00BA7000" w:rsidRPr="00BA7000" w:rsidRDefault="00B34142" w:rsidP="00B34142">
      <w:pPr>
        <w:pStyle w:val="SingleTxtG"/>
        <w:rPr>
          <w:rFonts w:eastAsia="MS Mincho"/>
          <w:color w:val="FF0000"/>
        </w:rPr>
      </w:pPr>
      <w:r>
        <w:t>3.</w:t>
      </w:r>
      <w:r>
        <w:tab/>
      </w:r>
      <w:r w:rsidR="00BA7000">
        <w:t xml:space="preserve">The CD is active in promoting </w:t>
      </w:r>
      <w:r w:rsidR="00BA7000" w:rsidRPr="00FA7268">
        <w:t xml:space="preserve">consistent and coherent </w:t>
      </w:r>
      <w:r w:rsidR="00BA7000">
        <w:t>implementation of the GHS by APEC member economies. Over the years the CD has conducted numerous workshops to provide economies with information on the GHS and to build capacity to facilitate its adoption.</w:t>
      </w:r>
      <w:r w:rsidR="00BA7000" w:rsidRPr="005D628A">
        <w:rPr>
          <w:lang w:val="en-US"/>
        </w:rPr>
        <w:t xml:space="preserve"> </w:t>
      </w:r>
      <w:r w:rsidR="00BA7000" w:rsidRPr="00BA7000">
        <w:rPr>
          <w:lang w:val="en-US"/>
        </w:rPr>
        <w:t>In August 2016 the United States implemented a two-day capacity building workshop, “GHS for the Workplace: A Capacity Building Workshop”. The training enabled participants to engage in discussion of progress in harmonizing the classification of chemicals, emphasizing the importance of standardization, as well as lessons learned and tools that can ease the implementation process.</w:t>
      </w:r>
      <w:r w:rsidR="00BA7000">
        <w:rPr>
          <w:lang w:val="en-US"/>
        </w:rPr>
        <w:t xml:space="preserve"> The outcomes of this workshop can be found </w:t>
      </w:r>
      <w:r>
        <w:rPr>
          <w:lang w:val="en-US"/>
        </w:rPr>
        <w:t>at</w:t>
      </w:r>
      <w:r w:rsidR="00BA7000" w:rsidRPr="00F56973">
        <w:rPr>
          <w:lang w:val="en-US"/>
        </w:rPr>
        <w:t xml:space="preserve"> </w:t>
      </w:r>
      <w:hyperlink r:id="rId9" w:tgtFrame="_blank" w:history="1">
        <w:r w:rsidR="00F56973" w:rsidRPr="00F56973">
          <w:rPr>
            <w:rStyle w:val="Hyperlink"/>
          </w:rPr>
          <w:t>http://mddb.apec.org/Documents/2016/MM/AMM/16_amm_008app22.pdf</w:t>
        </w:r>
      </w:hyperlink>
      <w:r w:rsidR="00F56973">
        <w:t xml:space="preserve">. </w:t>
      </w:r>
      <w:r w:rsidR="00F56973">
        <w:rPr>
          <w:lang w:val="en-US"/>
        </w:rPr>
        <w:t xml:space="preserve">  </w:t>
      </w:r>
      <w:r w:rsidR="00BA7000">
        <w:rPr>
          <w:lang w:val="en-US"/>
        </w:rPr>
        <w:t>Understanding the rationale behind competent authority building blocks selection needs further discussion within the CD.</w:t>
      </w:r>
    </w:p>
    <w:p w:rsidR="00BA7000" w:rsidRDefault="00B34142" w:rsidP="00B34142">
      <w:pPr>
        <w:pStyle w:val="SingleTxtG"/>
        <w:rPr>
          <w:rFonts w:eastAsia="MS Mincho"/>
        </w:rPr>
      </w:pPr>
      <w:r>
        <w:rPr>
          <w:rFonts w:eastAsia="MS Mincho"/>
        </w:rPr>
        <w:t>4.</w:t>
      </w:r>
      <w:r>
        <w:rPr>
          <w:rFonts w:eastAsia="MS Mincho"/>
        </w:rPr>
        <w:tab/>
      </w:r>
      <w:r w:rsidR="00BA7000" w:rsidRPr="002F024F">
        <w:rPr>
          <w:rFonts w:eastAsia="MS Mincho"/>
        </w:rPr>
        <w:t xml:space="preserve">Another activity within CD is the project leading by the Russian Federation on compilation of data on chemical regulatory systems in a number of countries worldwide. It </w:t>
      </w:r>
      <w:r w:rsidR="00BA7000" w:rsidRPr="002F024F">
        <w:rPr>
          <w:rFonts w:eastAsia="MS Mincho"/>
        </w:rPr>
        <w:lastRenderedPageBreak/>
        <w:t>provides a base for comparison of regulatory frameworks against a set of common elements one of which is information sharing by means of the GHS elements implementation. The project is performed in the form of informational survey and analysis and includes information on 14 APEC economies along with coverage of the EU, Turkey and Argentina. Currently the compiled information is on the stage of review by countries representatives. After its approval the whole analysis will be available on APEC website for all stakeholders.</w:t>
      </w:r>
      <w:r w:rsidR="00BA7000">
        <w:rPr>
          <w:rFonts w:eastAsia="MS Mincho"/>
        </w:rPr>
        <w:t xml:space="preserve"> </w:t>
      </w:r>
    </w:p>
    <w:p w:rsidR="00B34142" w:rsidRPr="002F024F" w:rsidRDefault="00B34142" w:rsidP="00B34142">
      <w:pPr>
        <w:pStyle w:val="SingleTxtG"/>
        <w:jc w:val="center"/>
        <w:rPr>
          <w:rFonts w:eastAsia="MS Mincho"/>
        </w:rPr>
      </w:pP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t>______________________</w:t>
      </w:r>
    </w:p>
    <w:p w:rsidR="00BA7000" w:rsidRPr="00BA7000" w:rsidRDefault="00BA7000" w:rsidP="00BA7000">
      <w:pPr>
        <w:pStyle w:val="ListParagraph"/>
        <w:spacing w:after="120"/>
        <w:ind w:left="1494" w:right="1134"/>
        <w:jc w:val="both"/>
        <w:rPr>
          <w:rFonts w:eastAsia="MS Mincho"/>
          <w:color w:val="FF0000"/>
        </w:rPr>
      </w:pPr>
    </w:p>
    <w:sectPr w:rsidR="00BA7000" w:rsidRPr="00BA7000" w:rsidSect="0099001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52" w:rsidRDefault="00081A52"/>
  </w:endnote>
  <w:endnote w:type="continuationSeparator" w:id="0">
    <w:p w:rsidR="00081A52" w:rsidRDefault="00081A52"/>
  </w:endnote>
  <w:endnote w:type="continuationNotice" w:id="1">
    <w:p w:rsidR="00081A52" w:rsidRDefault="00081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AD" w:rsidRPr="0099001C" w:rsidRDefault="00E06CE9" w:rsidP="0099001C">
    <w:pPr>
      <w:pStyle w:val="Footer"/>
      <w:tabs>
        <w:tab w:val="right" w:pos="9638"/>
      </w:tabs>
      <w:rPr>
        <w:sz w:val="18"/>
      </w:rPr>
    </w:pPr>
    <w:r w:rsidRPr="0099001C">
      <w:rPr>
        <w:b/>
        <w:sz w:val="18"/>
      </w:rPr>
      <w:fldChar w:fldCharType="begin"/>
    </w:r>
    <w:r w:rsidR="004776AD" w:rsidRPr="0099001C">
      <w:rPr>
        <w:b/>
        <w:sz w:val="18"/>
      </w:rPr>
      <w:instrText xml:space="preserve"> PAGE  \* MERGEFORMAT </w:instrText>
    </w:r>
    <w:r w:rsidRPr="0099001C">
      <w:rPr>
        <w:b/>
        <w:sz w:val="18"/>
      </w:rPr>
      <w:fldChar w:fldCharType="separate"/>
    </w:r>
    <w:r w:rsidR="00B23BD5">
      <w:rPr>
        <w:b/>
        <w:noProof/>
        <w:sz w:val="18"/>
      </w:rPr>
      <w:t>2</w:t>
    </w:r>
    <w:r w:rsidRPr="0099001C">
      <w:rPr>
        <w:b/>
        <w:sz w:val="18"/>
      </w:rPr>
      <w:fldChar w:fldCharType="end"/>
    </w:r>
    <w:r w:rsidR="004776A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AD" w:rsidRPr="0099001C" w:rsidRDefault="004776AD" w:rsidP="0099001C">
    <w:pPr>
      <w:pStyle w:val="Footer"/>
      <w:tabs>
        <w:tab w:val="right" w:pos="9638"/>
      </w:tabs>
      <w:rPr>
        <w:b/>
        <w:sz w:val="18"/>
      </w:rPr>
    </w:pPr>
    <w:r>
      <w:tab/>
    </w:r>
    <w:r w:rsidR="00E06CE9" w:rsidRPr="0099001C">
      <w:rPr>
        <w:b/>
        <w:sz w:val="18"/>
      </w:rPr>
      <w:fldChar w:fldCharType="begin"/>
    </w:r>
    <w:r w:rsidRPr="0099001C">
      <w:rPr>
        <w:b/>
        <w:sz w:val="18"/>
      </w:rPr>
      <w:instrText xml:space="preserve"> PAGE  \* MERGEFORMAT </w:instrText>
    </w:r>
    <w:r w:rsidR="00E06CE9" w:rsidRPr="0099001C">
      <w:rPr>
        <w:b/>
        <w:sz w:val="18"/>
      </w:rPr>
      <w:fldChar w:fldCharType="separate"/>
    </w:r>
    <w:r>
      <w:rPr>
        <w:b/>
        <w:noProof/>
        <w:sz w:val="18"/>
      </w:rPr>
      <w:t>3</w:t>
    </w:r>
    <w:r w:rsidR="00E06CE9"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AD" w:rsidRPr="0099001C" w:rsidRDefault="00B23BD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52" w:rsidRPr="000B175B" w:rsidRDefault="00081A52" w:rsidP="000B175B">
      <w:pPr>
        <w:tabs>
          <w:tab w:val="right" w:pos="2155"/>
        </w:tabs>
        <w:spacing w:after="80"/>
        <w:ind w:left="680"/>
        <w:rPr>
          <w:u w:val="single"/>
        </w:rPr>
      </w:pPr>
      <w:r>
        <w:rPr>
          <w:u w:val="single"/>
        </w:rPr>
        <w:tab/>
      </w:r>
    </w:p>
  </w:footnote>
  <w:footnote w:type="continuationSeparator" w:id="0">
    <w:p w:rsidR="00081A52" w:rsidRPr="00FC68B7" w:rsidRDefault="00081A52" w:rsidP="00FC68B7">
      <w:pPr>
        <w:tabs>
          <w:tab w:val="left" w:pos="2155"/>
        </w:tabs>
        <w:spacing w:after="80"/>
        <w:ind w:left="680"/>
        <w:rPr>
          <w:u w:val="single"/>
        </w:rPr>
      </w:pPr>
      <w:r>
        <w:rPr>
          <w:u w:val="single"/>
        </w:rPr>
        <w:tab/>
      </w:r>
    </w:p>
  </w:footnote>
  <w:footnote w:type="continuationNotice" w:id="1">
    <w:p w:rsidR="00081A52" w:rsidRDefault="00081A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AD" w:rsidRPr="00F56973" w:rsidRDefault="004776AD" w:rsidP="00366CA7">
    <w:pPr>
      <w:pStyle w:val="Header"/>
      <w:rPr>
        <w:lang w:val="en-US"/>
      </w:rPr>
    </w:pPr>
    <w:r w:rsidRPr="00CC65B7">
      <w:t>UN/SCEGHS/3</w:t>
    </w:r>
    <w:r w:rsidR="00F56973">
      <w:t>3</w:t>
    </w:r>
    <w:r w:rsidRPr="00CC65B7">
      <w:t>/INF.</w:t>
    </w:r>
    <w:r w:rsidR="00B34142">
      <w:rPr>
        <w:lang w:val="en-US"/>
      </w:rPr>
      <w:t>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AD" w:rsidRPr="0099001C" w:rsidRDefault="004776AD" w:rsidP="0099001C">
    <w:pPr>
      <w:pStyle w:val="Header"/>
      <w:jc w:val="right"/>
    </w:pPr>
    <w:r>
      <w:t>UN/SCEGHS/32/INF.13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34EB6C90"/>
    <w:multiLevelType w:val="hybridMultilevel"/>
    <w:tmpl w:val="2EA60990"/>
    <w:lvl w:ilvl="0" w:tplc="52F04432">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50F6B"/>
    <w:rsid w:val="00072C8C"/>
    <w:rsid w:val="00081647"/>
    <w:rsid w:val="00081A52"/>
    <w:rsid w:val="000931C0"/>
    <w:rsid w:val="000B175B"/>
    <w:rsid w:val="000B3A0F"/>
    <w:rsid w:val="000C6544"/>
    <w:rsid w:val="000D10AA"/>
    <w:rsid w:val="000E0415"/>
    <w:rsid w:val="001220B8"/>
    <w:rsid w:val="00156F3C"/>
    <w:rsid w:val="00162BF7"/>
    <w:rsid w:val="00190AEA"/>
    <w:rsid w:val="001B06A5"/>
    <w:rsid w:val="001B4B04"/>
    <w:rsid w:val="001B5640"/>
    <w:rsid w:val="001C5025"/>
    <w:rsid w:val="001C6663"/>
    <w:rsid w:val="001C7895"/>
    <w:rsid w:val="001D26DF"/>
    <w:rsid w:val="001E47FD"/>
    <w:rsid w:val="00211E0B"/>
    <w:rsid w:val="002405A7"/>
    <w:rsid w:val="0025322D"/>
    <w:rsid w:val="00257E45"/>
    <w:rsid w:val="00262488"/>
    <w:rsid w:val="00271531"/>
    <w:rsid w:val="002D59D3"/>
    <w:rsid w:val="002F024F"/>
    <w:rsid w:val="003107FA"/>
    <w:rsid w:val="003127A2"/>
    <w:rsid w:val="003229D8"/>
    <w:rsid w:val="0032550E"/>
    <w:rsid w:val="0033745A"/>
    <w:rsid w:val="003642AF"/>
    <w:rsid w:val="00366CA7"/>
    <w:rsid w:val="0039277A"/>
    <w:rsid w:val="003972E0"/>
    <w:rsid w:val="003B3A99"/>
    <w:rsid w:val="003C2CC4"/>
    <w:rsid w:val="003C3936"/>
    <w:rsid w:val="003D4B23"/>
    <w:rsid w:val="003D7244"/>
    <w:rsid w:val="003F1ED3"/>
    <w:rsid w:val="00421612"/>
    <w:rsid w:val="004325CB"/>
    <w:rsid w:val="00446DE4"/>
    <w:rsid w:val="00460DD9"/>
    <w:rsid w:val="00467F71"/>
    <w:rsid w:val="004776AD"/>
    <w:rsid w:val="004A41CA"/>
    <w:rsid w:val="004B5839"/>
    <w:rsid w:val="004E7ED6"/>
    <w:rsid w:val="00503228"/>
    <w:rsid w:val="00505384"/>
    <w:rsid w:val="00532EF8"/>
    <w:rsid w:val="005420F2"/>
    <w:rsid w:val="005B2C89"/>
    <w:rsid w:val="005B3DB3"/>
    <w:rsid w:val="005D628A"/>
    <w:rsid w:val="005E22FE"/>
    <w:rsid w:val="00611FC4"/>
    <w:rsid w:val="006176FB"/>
    <w:rsid w:val="00627ED0"/>
    <w:rsid w:val="00640311"/>
    <w:rsid w:val="00640B26"/>
    <w:rsid w:val="00665595"/>
    <w:rsid w:val="00671D4E"/>
    <w:rsid w:val="00680DE1"/>
    <w:rsid w:val="00691F20"/>
    <w:rsid w:val="00693543"/>
    <w:rsid w:val="006A7392"/>
    <w:rsid w:val="006A7757"/>
    <w:rsid w:val="006C61D9"/>
    <w:rsid w:val="006D3FFC"/>
    <w:rsid w:val="006E564B"/>
    <w:rsid w:val="0071349F"/>
    <w:rsid w:val="00720DEB"/>
    <w:rsid w:val="0072632A"/>
    <w:rsid w:val="00733AAE"/>
    <w:rsid w:val="00752DAC"/>
    <w:rsid w:val="00762D8C"/>
    <w:rsid w:val="00777983"/>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734FB"/>
    <w:rsid w:val="00885C98"/>
    <w:rsid w:val="008979B1"/>
    <w:rsid w:val="008A6B25"/>
    <w:rsid w:val="008A6C4F"/>
    <w:rsid w:val="008B6E26"/>
    <w:rsid w:val="008C7405"/>
    <w:rsid w:val="008E0E46"/>
    <w:rsid w:val="008E4C4C"/>
    <w:rsid w:val="0090433B"/>
    <w:rsid w:val="00907AD2"/>
    <w:rsid w:val="00911047"/>
    <w:rsid w:val="00963CBA"/>
    <w:rsid w:val="009650E6"/>
    <w:rsid w:val="00965932"/>
    <w:rsid w:val="00974A8D"/>
    <w:rsid w:val="0099001C"/>
    <w:rsid w:val="00991261"/>
    <w:rsid w:val="009933CA"/>
    <w:rsid w:val="009F3A17"/>
    <w:rsid w:val="009F3D53"/>
    <w:rsid w:val="00A1427D"/>
    <w:rsid w:val="00A426FB"/>
    <w:rsid w:val="00A55FB2"/>
    <w:rsid w:val="00A72F22"/>
    <w:rsid w:val="00A748A6"/>
    <w:rsid w:val="00A80459"/>
    <w:rsid w:val="00A805EB"/>
    <w:rsid w:val="00A8760B"/>
    <w:rsid w:val="00A879A4"/>
    <w:rsid w:val="00AA496B"/>
    <w:rsid w:val="00AE71F3"/>
    <w:rsid w:val="00B23BD5"/>
    <w:rsid w:val="00B30179"/>
    <w:rsid w:val="00B30E8F"/>
    <w:rsid w:val="00B33EC0"/>
    <w:rsid w:val="00B34142"/>
    <w:rsid w:val="00B81E12"/>
    <w:rsid w:val="00B97D28"/>
    <w:rsid w:val="00BA7000"/>
    <w:rsid w:val="00BB56C8"/>
    <w:rsid w:val="00BC74E9"/>
    <w:rsid w:val="00BD2146"/>
    <w:rsid w:val="00BE4F74"/>
    <w:rsid w:val="00BE618E"/>
    <w:rsid w:val="00C06777"/>
    <w:rsid w:val="00C17699"/>
    <w:rsid w:val="00C1778D"/>
    <w:rsid w:val="00C41A28"/>
    <w:rsid w:val="00C463DD"/>
    <w:rsid w:val="00C6210B"/>
    <w:rsid w:val="00C745C3"/>
    <w:rsid w:val="00C945EB"/>
    <w:rsid w:val="00CC65B7"/>
    <w:rsid w:val="00CE4A8F"/>
    <w:rsid w:val="00D00C50"/>
    <w:rsid w:val="00D055EB"/>
    <w:rsid w:val="00D2031B"/>
    <w:rsid w:val="00D25FE2"/>
    <w:rsid w:val="00D317BB"/>
    <w:rsid w:val="00D35D8F"/>
    <w:rsid w:val="00D43252"/>
    <w:rsid w:val="00D63881"/>
    <w:rsid w:val="00D7387D"/>
    <w:rsid w:val="00D978C6"/>
    <w:rsid w:val="00DA67AD"/>
    <w:rsid w:val="00DB5D0F"/>
    <w:rsid w:val="00DC3242"/>
    <w:rsid w:val="00DC6689"/>
    <w:rsid w:val="00DE7F20"/>
    <w:rsid w:val="00DF12F7"/>
    <w:rsid w:val="00DF2C64"/>
    <w:rsid w:val="00E02C81"/>
    <w:rsid w:val="00E04543"/>
    <w:rsid w:val="00E04A75"/>
    <w:rsid w:val="00E06CE9"/>
    <w:rsid w:val="00E06EAB"/>
    <w:rsid w:val="00E130AB"/>
    <w:rsid w:val="00E31C87"/>
    <w:rsid w:val="00E337E1"/>
    <w:rsid w:val="00E464DA"/>
    <w:rsid w:val="00E6733C"/>
    <w:rsid w:val="00E677EC"/>
    <w:rsid w:val="00E70DF5"/>
    <w:rsid w:val="00E7260F"/>
    <w:rsid w:val="00E80F5F"/>
    <w:rsid w:val="00E87921"/>
    <w:rsid w:val="00E96630"/>
    <w:rsid w:val="00EA03AC"/>
    <w:rsid w:val="00EA264E"/>
    <w:rsid w:val="00EA3A41"/>
    <w:rsid w:val="00ED1541"/>
    <w:rsid w:val="00ED71D9"/>
    <w:rsid w:val="00ED7A2A"/>
    <w:rsid w:val="00EF1D7F"/>
    <w:rsid w:val="00EF358F"/>
    <w:rsid w:val="00F124A0"/>
    <w:rsid w:val="00F53EDA"/>
    <w:rsid w:val="00F56973"/>
    <w:rsid w:val="00F73015"/>
    <w:rsid w:val="00F7753D"/>
    <w:rsid w:val="00F85F34"/>
    <w:rsid w:val="00FA06F7"/>
    <w:rsid w:val="00FA7268"/>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62AA57"/>
  <w15:docId w15:val="{F19961CC-E3CD-448A-BCEA-6CEED961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777"/>
    <w:pPr>
      <w:ind w:left="720"/>
      <w:contextualSpacing/>
    </w:pPr>
  </w:style>
  <w:style w:type="paragraph" w:customStyle="1" w:styleId="Default">
    <w:name w:val="Default"/>
    <w:rsid w:val="00EA03A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ec.org/Groups/Committee-on-Trade-and-Investment/Chemical-Dialogue.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ddb.apec.org/Documents/2016/MM/AMM/16_amm_008app22.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AB58-214D-4743-BFDF-03A1650E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2</Pages>
  <Words>563</Words>
  <Characters>3213</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UN/SCEGHS/19/INF</vt:lpstr>
      <vt:lpstr>UN/SCEGHS/19/INF</vt:lpstr>
    </vt:vector>
  </TitlesOfParts>
  <Company>CSD</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4</cp:revision>
  <cp:lastPrinted>2008-09-29T11:49:00Z</cp:lastPrinted>
  <dcterms:created xsi:type="dcterms:W3CDTF">2017-07-11T06:11:00Z</dcterms:created>
  <dcterms:modified xsi:type="dcterms:W3CDTF">2017-07-11T06:16:00Z</dcterms:modified>
</cp:coreProperties>
</file>