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62" w:rsidRDefault="00712162" w:rsidP="00712162">
      <w:pPr>
        <w:pStyle w:val="HChG"/>
        <w:ind w:left="0" w:right="0" w:firstLine="0"/>
        <w:jc w:val="center"/>
      </w:pPr>
      <w:r>
        <w:t xml:space="preserve">Questionnaire on </w:t>
      </w:r>
      <w:r w:rsidRPr="00D56A5F">
        <w:t xml:space="preserve">Transport Trends and Economics 2013–2015: </w:t>
      </w:r>
      <w:r>
        <w:t xml:space="preserve">                    </w:t>
      </w:r>
      <w:r w:rsidRPr="00D56A5F">
        <w:t>Financing Transport Infrastructure</w:t>
      </w:r>
      <w:r w:rsidRPr="008F1907">
        <w:rPr>
          <w:rStyle w:val="FootnoteReference"/>
          <w:sz w:val="20"/>
        </w:rPr>
        <w:footnoteReference w:customMarkFollows="1" w:id="1"/>
        <w:t>*</w:t>
      </w:r>
    </w:p>
    <w:p w:rsidR="00712162" w:rsidRDefault="00712162" w:rsidP="00712162">
      <w:pPr>
        <w:pStyle w:val="H1G"/>
      </w:pPr>
      <w:r>
        <w:tab/>
        <w:t>I.</w:t>
      </w:r>
      <w:r>
        <w:tab/>
        <w:t>Clarifications</w:t>
      </w:r>
    </w:p>
    <w:p w:rsidR="00712162" w:rsidRDefault="00712162" w:rsidP="00712162">
      <w:pPr>
        <w:pStyle w:val="SingleTxtG"/>
      </w:pPr>
      <w:r>
        <w:t>2.</w:t>
      </w:r>
      <w:r w:rsidRPr="0052736A">
        <w:tab/>
      </w:r>
      <w:r>
        <w:t>O</w:t>
      </w:r>
      <w:r w:rsidRPr="00B005B6">
        <w:t xml:space="preserve">ne of the major obstacles for obtaining comparable data on spending on </w:t>
      </w:r>
      <w:r>
        <w:t xml:space="preserve">transport </w:t>
      </w:r>
      <w:r w:rsidRPr="00B005B6">
        <w:t>infrastructure is</w:t>
      </w:r>
      <w:r>
        <w:t xml:space="preserve"> that the term “transport infrastructure” by asset type differs significantly from one country to another, depending on national definitions and data availability. According to the European Commission (EC) definition, “transport infrastructure” means “all routes and fixed installations of the three modes of transport being routes and installations necessary for the circulation and safety of traffic” (EC Regulation No. 851/2006). Therefore, wherever in our questionnaire is being mentioned road, rail and inland waterway infrastructure the following definitions by each mode are applying.</w:t>
      </w:r>
    </w:p>
    <w:p w:rsidR="00712162" w:rsidRDefault="00712162" w:rsidP="00712162">
      <w:pPr>
        <w:pStyle w:val="SingleTxtG"/>
        <w:keepNext/>
        <w:keepLines/>
      </w:pPr>
      <w:r>
        <w:t>3.</w:t>
      </w:r>
      <w:r>
        <w:tab/>
        <w:t xml:space="preserve">Road Infrastructure: </w:t>
      </w:r>
    </w:p>
    <w:p w:rsidR="00712162" w:rsidRDefault="00712162" w:rsidP="00712162">
      <w:pPr>
        <w:pStyle w:val="SingleTxtG"/>
        <w:keepNext/>
        <w:keepLines/>
        <w:ind w:firstLine="567"/>
      </w:pPr>
      <w:r>
        <w:t>(a)</w:t>
      </w:r>
      <w:r>
        <w:tab/>
        <w:t>Land;</w:t>
      </w:r>
    </w:p>
    <w:p w:rsidR="00712162" w:rsidRDefault="00712162" w:rsidP="00712162">
      <w:pPr>
        <w:pStyle w:val="SingleTxtG"/>
        <w:keepNext/>
        <w:keepLines/>
        <w:ind w:firstLine="567"/>
      </w:pPr>
      <w:r>
        <w:t>(b)</w:t>
      </w:r>
      <w:r>
        <w:tab/>
        <w:t>Road works prior to paving:</w:t>
      </w:r>
    </w:p>
    <w:p w:rsidR="00712162" w:rsidRDefault="00712162" w:rsidP="00712162">
      <w:pPr>
        <w:pStyle w:val="Bullet2G"/>
      </w:pPr>
      <w:r>
        <w:tab/>
        <w:t>cuttings, embankments, drainage works, etc.;</w:t>
      </w:r>
    </w:p>
    <w:p w:rsidR="00712162" w:rsidRDefault="00712162" w:rsidP="00712162">
      <w:pPr>
        <w:pStyle w:val="Bullet2G"/>
      </w:pPr>
      <w:r>
        <w:tab/>
        <w:t>support and back filling;</w:t>
      </w:r>
    </w:p>
    <w:p w:rsidR="00712162" w:rsidRDefault="00712162" w:rsidP="00712162">
      <w:pPr>
        <w:pStyle w:val="SingleTxtG"/>
        <w:ind w:firstLine="567"/>
      </w:pPr>
      <w:r>
        <w:t>(c)</w:t>
      </w:r>
      <w:r>
        <w:tab/>
        <w:t>Pavement and ancillary works:</w:t>
      </w:r>
    </w:p>
    <w:p w:rsidR="00712162" w:rsidRDefault="00712162" w:rsidP="00712162">
      <w:pPr>
        <w:pStyle w:val="Bullet2G"/>
      </w:pPr>
      <w:r>
        <w:tab/>
        <w:t>pavement courses, including waterproofing, verges, central reserve, gullies and other drainage facilities, hard shoulders and other emergency stopping areas, laybys and parking places on the open road (roads for access and parking and traffic signs), car parks in built-up areas on publicly owned land, planting and landscaping, safety installations, etc.;</w:t>
      </w:r>
    </w:p>
    <w:p w:rsidR="00712162" w:rsidRDefault="00712162" w:rsidP="00712162">
      <w:pPr>
        <w:pStyle w:val="SingleTxtG"/>
        <w:ind w:firstLine="567"/>
      </w:pPr>
      <w:r>
        <w:t>(d)</w:t>
      </w:r>
      <w:r>
        <w:tab/>
        <w:t>Engineering structures:</w:t>
      </w:r>
    </w:p>
    <w:p w:rsidR="00712162" w:rsidRDefault="00712162" w:rsidP="00712162">
      <w:pPr>
        <w:pStyle w:val="Bullet2G"/>
      </w:pPr>
      <w:r>
        <w:tab/>
        <w:t xml:space="preserve">bridges, culverts, overpasses, tunnels, structures for protection against avalanches and falling stones, </w:t>
      </w:r>
      <w:proofErr w:type="spellStart"/>
      <w:r>
        <w:t>snowscreens</w:t>
      </w:r>
      <w:proofErr w:type="spellEnd"/>
      <w:r>
        <w:t>, etc.;</w:t>
      </w:r>
    </w:p>
    <w:p w:rsidR="00712162" w:rsidRDefault="00712162" w:rsidP="00712162">
      <w:pPr>
        <w:pStyle w:val="Bullet2G"/>
      </w:pPr>
      <w:r>
        <w:tab/>
        <w:t>Level crossings;</w:t>
      </w:r>
    </w:p>
    <w:p w:rsidR="00712162" w:rsidRDefault="00712162" w:rsidP="00712162">
      <w:pPr>
        <w:pStyle w:val="Bullet2G"/>
      </w:pPr>
      <w:r>
        <w:tab/>
        <w:t>Traffic signs and signalling and telecommunications installations;</w:t>
      </w:r>
    </w:p>
    <w:p w:rsidR="00712162" w:rsidRDefault="00712162" w:rsidP="00712162">
      <w:pPr>
        <w:pStyle w:val="Bullet2G"/>
      </w:pPr>
      <w:r>
        <w:tab/>
        <w:t>Lighting installations;</w:t>
      </w:r>
    </w:p>
    <w:p w:rsidR="00712162" w:rsidRDefault="00712162" w:rsidP="00712162">
      <w:pPr>
        <w:pStyle w:val="Bullet2G"/>
      </w:pPr>
      <w:r>
        <w:tab/>
        <w:t>Toll collection installations, parking meters;</w:t>
      </w:r>
    </w:p>
    <w:p w:rsidR="00712162" w:rsidRDefault="00712162" w:rsidP="00712162">
      <w:pPr>
        <w:pStyle w:val="Bullet2G"/>
      </w:pPr>
      <w:r>
        <w:tab/>
        <w:t>Buildings used by the infrastructure department.</w:t>
      </w:r>
    </w:p>
    <w:p w:rsidR="00712162" w:rsidRDefault="00712162" w:rsidP="00712162">
      <w:pPr>
        <w:pStyle w:val="SingleTxtG"/>
      </w:pPr>
      <w:r>
        <w:t>4.</w:t>
      </w:r>
      <w:r>
        <w:tab/>
        <w:t xml:space="preserve">Rail Infrastructure: </w:t>
      </w:r>
    </w:p>
    <w:p w:rsidR="00712162" w:rsidRDefault="00712162" w:rsidP="00712162">
      <w:pPr>
        <w:pStyle w:val="SingleTxtG"/>
        <w:ind w:firstLine="567"/>
      </w:pPr>
      <w:r>
        <w:t>(a)</w:t>
      </w:r>
      <w:r>
        <w:tab/>
        <w:t>Ground area;</w:t>
      </w:r>
    </w:p>
    <w:p w:rsidR="00712162" w:rsidRDefault="00712162" w:rsidP="00712162">
      <w:pPr>
        <w:pStyle w:val="SingleTxtG"/>
        <w:ind w:firstLine="567"/>
      </w:pPr>
      <w:r>
        <w:t>(b)</w:t>
      </w:r>
      <w:r>
        <w:tab/>
        <w:t>Track and track bed, in particular embankments, cuttings, drainage channels and trenches, masonry trenches, culverts, lining walls, planting for protecting side slopes etc.:</w:t>
      </w:r>
    </w:p>
    <w:p w:rsidR="00712162" w:rsidRDefault="00712162" w:rsidP="00712162">
      <w:pPr>
        <w:pStyle w:val="Bullet2G"/>
      </w:pPr>
      <w:r>
        <w:tab/>
        <w:t>passenger and goods platforms;</w:t>
      </w:r>
    </w:p>
    <w:p w:rsidR="00712162" w:rsidRDefault="00712162" w:rsidP="00712162">
      <w:pPr>
        <w:pStyle w:val="Bullet2G"/>
      </w:pPr>
      <w:r>
        <w:tab/>
        <w:t>four-foot way and walkways;</w:t>
      </w:r>
    </w:p>
    <w:p w:rsidR="00712162" w:rsidRDefault="00712162" w:rsidP="00712162">
      <w:pPr>
        <w:pStyle w:val="Bullet2G"/>
      </w:pPr>
      <w:r>
        <w:lastRenderedPageBreak/>
        <w:tab/>
        <w:t>enclosure walls, hedges, fencing;</w:t>
      </w:r>
    </w:p>
    <w:p w:rsidR="00712162" w:rsidRDefault="00712162" w:rsidP="00712162">
      <w:pPr>
        <w:pStyle w:val="Bullet2G"/>
      </w:pPr>
      <w:r>
        <w:tab/>
        <w:t>fire-protection strips;</w:t>
      </w:r>
    </w:p>
    <w:p w:rsidR="00712162" w:rsidRDefault="00712162" w:rsidP="00712162">
      <w:pPr>
        <w:pStyle w:val="Bullet2G"/>
      </w:pPr>
      <w:r>
        <w:tab/>
        <w:t>apparatus for heating points, crossings, etc.;</w:t>
      </w:r>
    </w:p>
    <w:p w:rsidR="00712162" w:rsidRDefault="00712162" w:rsidP="00712162">
      <w:pPr>
        <w:pStyle w:val="Bullet2G"/>
      </w:pPr>
      <w:r>
        <w:tab/>
        <w:t>snow protection screens;</w:t>
      </w:r>
    </w:p>
    <w:p w:rsidR="00712162" w:rsidRDefault="00712162" w:rsidP="00712162">
      <w:pPr>
        <w:pStyle w:val="SingleTxtG"/>
        <w:ind w:firstLine="567"/>
      </w:pPr>
      <w:r>
        <w:t>(c)</w:t>
      </w:r>
      <w:r>
        <w:tab/>
        <w:t>Engineering structures:</w:t>
      </w:r>
    </w:p>
    <w:p w:rsidR="00712162" w:rsidRDefault="00712162" w:rsidP="00712162">
      <w:pPr>
        <w:pStyle w:val="Bullet2G"/>
      </w:pPr>
      <w:r>
        <w:tab/>
        <w:t>bridges, culverts and other overpasses, tunnels, covered cuttings and other underpasses;</w:t>
      </w:r>
    </w:p>
    <w:p w:rsidR="00712162" w:rsidRDefault="00712162" w:rsidP="00712162">
      <w:pPr>
        <w:pStyle w:val="Bullet2G"/>
      </w:pPr>
      <w:r>
        <w:tab/>
        <w:t>retaining walls, and structures for protection against avalanches, falling stones, etc.;</w:t>
      </w:r>
    </w:p>
    <w:p w:rsidR="00712162" w:rsidRDefault="00712162" w:rsidP="00712162">
      <w:pPr>
        <w:pStyle w:val="SingleTxtG"/>
        <w:ind w:left="1701"/>
      </w:pPr>
      <w:r>
        <w:t>(d)</w:t>
      </w:r>
      <w:r>
        <w:tab/>
        <w:t>Level crossings, including appliances to ensure the safety of road traffic;</w:t>
      </w:r>
    </w:p>
    <w:p w:rsidR="00712162" w:rsidRDefault="00712162" w:rsidP="00712162">
      <w:pPr>
        <w:pStyle w:val="SingleTxtG"/>
        <w:ind w:firstLine="567"/>
      </w:pPr>
      <w:r>
        <w:t>(e)</w:t>
      </w:r>
      <w:r>
        <w:tab/>
        <w:t>Superstructure, in particular:</w:t>
      </w:r>
    </w:p>
    <w:p w:rsidR="00712162" w:rsidRDefault="00712162" w:rsidP="00712162">
      <w:pPr>
        <w:pStyle w:val="Bullet2G"/>
      </w:pPr>
      <w:r>
        <w:tab/>
        <w:t>rails, grooved rails and check rails;</w:t>
      </w:r>
    </w:p>
    <w:p w:rsidR="00712162" w:rsidRDefault="00712162" w:rsidP="00712162">
      <w:pPr>
        <w:pStyle w:val="Bullet2G"/>
      </w:pPr>
      <w:r>
        <w:tab/>
        <w:t>sleepers and longitudinal ties, small fittings for the permanent way, ballast including stone chippings and sand;</w:t>
      </w:r>
    </w:p>
    <w:p w:rsidR="00712162" w:rsidRDefault="00712162" w:rsidP="00712162">
      <w:pPr>
        <w:pStyle w:val="Bullet2G"/>
      </w:pPr>
      <w:r>
        <w:tab/>
        <w:t>points, crossings, etc.;</w:t>
      </w:r>
    </w:p>
    <w:p w:rsidR="00712162" w:rsidRDefault="00712162" w:rsidP="00712162">
      <w:pPr>
        <w:pStyle w:val="SingleTxtG"/>
        <w:ind w:firstLine="567"/>
      </w:pPr>
      <w:r>
        <w:t>(f)</w:t>
      </w:r>
      <w:r>
        <w:tab/>
        <w:t>Turntables and traversers (except those reserved exclusively for locomotives);</w:t>
      </w:r>
    </w:p>
    <w:p w:rsidR="00712162" w:rsidRDefault="00712162" w:rsidP="00712162">
      <w:pPr>
        <w:pStyle w:val="SingleTxtG"/>
        <w:ind w:firstLine="567"/>
      </w:pPr>
      <w:r>
        <w:t>(g)</w:t>
      </w:r>
      <w:r>
        <w:tab/>
        <w:t>Access way for passengers and goods, including access by road;</w:t>
      </w:r>
    </w:p>
    <w:p w:rsidR="00712162" w:rsidRDefault="00712162" w:rsidP="00712162">
      <w:pPr>
        <w:pStyle w:val="SingleTxtG"/>
        <w:ind w:firstLine="567"/>
      </w:pPr>
      <w:r>
        <w:t>(h)</w:t>
      </w:r>
      <w:r>
        <w:tab/>
        <w:t>Safety, signalling and telecommunications installations on the open track, in stations and in marshalling yards:</w:t>
      </w:r>
    </w:p>
    <w:p w:rsidR="00712162" w:rsidRDefault="00712162" w:rsidP="00712162">
      <w:pPr>
        <w:pStyle w:val="Bullet2G"/>
      </w:pPr>
      <w:r>
        <w:tab/>
        <w:t>including plants for generating, transforming and distributing electric current for signalling and telecommunications;</w:t>
      </w:r>
    </w:p>
    <w:p w:rsidR="00712162" w:rsidRDefault="00712162" w:rsidP="00712162">
      <w:pPr>
        <w:pStyle w:val="Bullet2G"/>
      </w:pPr>
      <w:r>
        <w:tab/>
        <w:t>buildings for such installations or plants;</w:t>
      </w:r>
    </w:p>
    <w:p w:rsidR="00712162" w:rsidRDefault="00712162" w:rsidP="00712162">
      <w:pPr>
        <w:pStyle w:val="Bullet2G"/>
      </w:pPr>
      <w:r>
        <w:tab/>
        <w:t>track brakes;</w:t>
      </w:r>
    </w:p>
    <w:p w:rsidR="00712162" w:rsidRDefault="00712162" w:rsidP="00712162">
      <w:pPr>
        <w:pStyle w:val="SingleTxtG"/>
        <w:ind w:firstLine="567"/>
      </w:pPr>
      <w:r>
        <w:t>(</w:t>
      </w:r>
      <w:proofErr w:type="spellStart"/>
      <w:r>
        <w:t>i</w:t>
      </w:r>
      <w:proofErr w:type="spellEnd"/>
      <w:r>
        <w:t>)</w:t>
      </w:r>
      <w:r>
        <w:tab/>
        <w:t>Lighting installations for traffic and safety purposes;</w:t>
      </w:r>
    </w:p>
    <w:p w:rsidR="00712162" w:rsidRDefault="00712162" w:rsidP="00712162">
      <w:pPr>
        <w:pStyle w:val="SingleTxtG"/>
        <w:ind w:firstLine="567"/>
      </w:pPr>
      <w:r>
        <w:t>(j)</w:t>
      </w:r>
      <w:r>
        <w:tab/>
        <w:t xml:space="preserve">Plants for transforming and carrying electric power for train haulage: </w:t>
      </w:r>
    </w:p>
    <w:p w:rsidR="00712162" w:rsidRDefault="00712162" w:rsidP="00712162">
      <w:pPr>
        <w:pStyle w:val="Bullet2G"/>
      </w:pPr>
      <w:r>
        <w:tab/>
        <w:t>sub-stations, supply cables between substations and contact wires, catenaries and supports;</w:t>
      </w:r>
    </w:p>
    <w:p w:rsidR="00712162" w:rsidRDefault="00712162" w:rsidP="00712162">
      <w:pPr>
        <w:pStyle w:val="Bullet2G"/>
      </w:pPr>
      <w:r>
        <w:tab/>
        <w:t>third rail with supports;</w:t>
      </w:r>
    </w:p>
    <w:p w:rsidR="00712162" w:rsidRDefault="00712162" w:rsidP="00712162">
      <w:pPr>
        <w:pStyle w:val="SingleTxtG"/>
        <w:ind w:firstLine="567"/>
      </w:pPr>
      <w:r>
        <w:t>(k)</w:t>
      </w:r>
      <w:r>
        <w:tab/>
        <w:t>Buildings used by the infrastructure department, including a proportion in respect of installations for the collection of transport charges.</w:t>
      </w:r>
    </w:p>
    <w:p w:rsidR="00712162" w:rsidRDefault="00712162" w:rsidP="00712162">
      <w:pPr>
        <w:pStyle w:val="SingleTxtG"/>
      </w:pPr>
      <w:r>
        <w:t>5.</w:t>
      </w:r>
      <w:r>
        <w:tab/>
        <w:t xml:space="preserve">Inland Waterways infrastructure: </w:t>
      </w:r>
    </w:p>
    <w:p w:rsidR="00712162" w:rsidRDefault="00712162" w:rsidP="00712162">
      <w:pPr>
        <w:pStyle w:val="SingleTxtG"/>
        <w:ind w:firstLine="567"/>
      </w:pPr>
      <w:r>
        <w:t>(a)</w:t>
      </w:r>
      <w:r>
        <w:tab/>
        <w:t>Land;</w:t>
      </w:r>
    </w:p>
    <w:p w:rsidR="00712162" w:rsidRDefault="00712162" w:rsidP="00712162">
      <w:pPr>
        <w:pStyle w:val="SingleTxtG"/>
        <w:ind w:firstLine="567"/>
      </w:pPr>
      <w:r>
        <w:t>(b)</w:t>
      </w:r>
      <w:r>
        <w:tab/>
        <w:t xml:space="preserve">Channel (earthworks, canal basins and linings, sills, </w:t>
      </w:r>
      <w:proofErr w:type="spellStart"/>
      <w:r>
        <w:t>groynes</w:t>
      </w:r>
      <w:proofErr w:type="spellEnd"/>
      <w:r>
        <w:t>, berms, tow-paths and service roads), bank protection, canal-carrying aqueducts, siphons and conduits, canal tunnels, service basins used exclusively for sheltering vessels;</w:t>
      </w:r>
    </w:p>
    <w:p w:rsidR="00712162" w:rsidRDefault="00712162" w:rsidP="00712162">
      <w:pPr>
        <w:pStyle w:val="SingleTxtG"/>
        <w:ind w:firstLine="567"/>
      </w:pPr>
      <w:r>
        <w:t>(c)</w:t>
      </w:r>
      <w:r>
        <w:tab/>
        <w:t>Works for waterway shut-off and safety, spillways for the discharge by gravity of impounded water, basins and reservoirs for storing water for feeding and regulating water level, water control structures, flow gauges, level recorders and warning devices;</w:t>
      </w:r>
    </w:p>
    <w:p w:rsidR="00712162" w:rsidRDefault="00712162" w:rsidP="00712162">
      <w:pPr>
        <w:pStyle w:val="SingleTxtG"/>
        <w:ind w:firstLine="567"/>
      </w:pPr>
      <w:r>
        <w:lastRenderedPageBreak/>
        <w:t>(d)</w:t>
      </w:r>
      <w:r>
        <w:tab/>
        <w:t>Barrages or weirs (works constructed across the bed of a river to maintain sufficient depth of water for navigation and to reduce the speed of flow by creating pounds or reaches), associated structures (fish ladders, relief channels);</w:t>
      </w:r>
    </w:p>
    <w:p w:rsidR="00712162" w:rsidRDefault="00712162" w:rsidP="00712162">
      <w:pPr>
        <w:pStyle w:val="SingleTxtG"/>
        <w:ind w:firstLine="567"/>
      </w:pPr>
      <w:r>
        <w:t>(e)</w:t>
      </w:r>
      <w:r>
        <w:tab/>
        <w:t>Navigation locks, lifts and inclined planes, including waiting basins and basins for water economy;</w:t>
      </w:r>
    </w:p>
    <w:p w:rsidR="00712162" w:rsidRDefault="00712162" w:rsidP="00712162">
      <w:pPr>
        <w:pStyle w:val="SingleTxtG"/>
        <w:ind w:firstLine="567"/>
      </w:pPr>
      <w:r>
        <w:t>(f)</w:t>
      </w:r>
      <w:r>
        <w:tab/>
        <w:t>Mooring equipment and guide jetties (mooring buoys, dolphins, mooring bitts, bollards, rails and fenders);</w:t>
      </w:r>
    </w:p>
    <w:p w:rsidR="00712162" w:rsidRDefault="00712162" w:rsidP="00712162">
      <w:pPr>
        <w:pStyle w:val="SingleTxtG"/>
        <w:ind w:firstLine="567"/>
      </w:pPr>
      <w:r>
        <w:t>(g)</w:t>
      </w:r>
      <w:r>
        <w:tab/>
        <w:t>Movable bridges;</w:t>
      </w:r>
    </w:p>
    <w:p w:rsidR="00712162" w:rsidRDefault="00712162" w:rsidP="00712162">
      <w:pPr>
        <w:pStyle w:val="SingleTxtG"/>
        <w:ind w:firstLine="567"/>
      </w:pPr>
      <w:r>
        <w:t>(h)</w:t>
      </w:r>
      <w:r>
        <w:tab/>
        <w:t>Installations for channel buoying, signalling, safety, telecommunications and lighting;</w:t>
      </w:r>
    </w:p>
    <w:p w:rsidR="00712162" w:rsidRDefault="00712162" w:rsidP="00712162">
      <w:pPr>
        <w:pStyle w:val="SingleTxtG"/>
        <w:ind w:firstLine="567"/>
      </w:pPr>
      <w:r>
        <w:t>(</w:t>
      </w:r>
      <w:proofErr w:type="spellStart"/>
      <w:r>
        <w:t>i</w:t>
      </w:r>
      <w:proofErr w:type="spellEnd"/>
      <w:r>
        <w:t>)</w:t>
      </w:r>
      <w:r>
        <w:tab/>
        <w:t>Installations for controlling traffic;</w:t>
      </w:r>
    </w:p>
    <w:p w:rsidR="00712162" w:rsidRDefault="00712162" w:rsidP="00712162">
      <w:pPr>
        <w:pStyle w:val="SingleTxtG"/>
        <w:ind w:firstLine="567"/>
      </w:pPr>
      <w:r>
        <w:t>(j)</w:t>
      </w:r>
      <w:r>
        <w:tab/>
        <w:t>Toll collection installations;</w:t>
      </w:r>
    </w:p>
    <w:p w:rsidR="00712162" w:rsidRDefault="00712162" w:rsidP="00712162">
      <w:pPr>
        <w:pStyle w:val="SingleTxtG"/>
        <w:ind w:firstLine="567"/>
      </w:pPr>
      <w:r>
        <w:t>(k)</w:t>
      </w:r>
      <w:r>
        <w:tab/>
        <w:t>Buildings used by the infrastructure department.</w:t>
      </w:r>
    </w:p>
    <w:p w:rsidR="00712162" w:rsidRDefault="00712162" w:rsidP="00712162">
      <w:pPr>
        <w:pStyle w:val="SingleTxtG"/>
      </w:pPr>
      <w:r>
        <w:t>6.</w:t>
      </w:r>
      <w:r>
        <w:tab/>
        <w:t>Regarding maintenance, ordinary maintenance and repairs should be recorded as intermediate consumption, whereas major renovations, reconstructions and enlargements are to be recorded as investments. They are activities that owners or users of fixed assets are obliged to undertake periodically in order to be able to utilize such assets over their expected service lives. They are current costs that cannot be avoided if the fixed assets are to continue to be used. Maintenance and repairs do not change the fixed asset or its performance, but simply maintain it in good working order or restore it to its previous condition in the event of a breakdown.</w:t>
      </w:r>
    </w:p>
    <w:p w:rsidR="00712162" w:rsidRPr="00CB2AF1" w:rsidRDefault="00712162" w:rsidP="00712162">
      <w:pPr>
        <w:pStyle w:val="SingleTxtG"/>
      </w:pPr>
      <w:r w:rsidRPr="00CB2AF1">
        <w:t>7.</w:t>
      </w:r>
      <w:r w:rsidRPr="00CB2AF1">
        <w:tab/>
        <w:t>The decision to renovate, reconstruct or enlarge a fixed asset is a deliberate investment decision that may be undertaken at any time and is not dictated by the condition of the asset. Major renovations of equipment, buildings or other structures are frequently undertaken well before the end of their normal service lives.</w:t>
      </w:r>
    </w:p>
    <w:p w:rsidR="00712162" w:rsidRDefault="00712162" w:rsidP="00712162">
      <w:pPr>
        <w:pStyle w:val="SingleTxtG"/>
      </w:pPr>
      <w:r w:rsidRPr="00CB2AF1">
        <w:t>8.</w:t>
      </w:r>
      <w:r w:rsidRPr="00CB2AF1">
        <w:tab/>
        <w:t>As transport infrastructure typically takes more than a year to complete, the issues regarding the time of recording is quite relevant for this type of investment. The general principle for the time of recording of acquisitions of fixed assets is when the ownersh</w:t>
      </w:r>
      <w:r>
        <w:t>ip of the fixed assets is transferred to the institutional unit that intends to use them in production (</w:t>
      </w:r>
      <w:r w:rsidRPr="00CB2AF1">
        <w:t xml:space="preserve">System of National Accounts </w:t>
      </w:r>
      <w:r>
        <w:t>(SNA), para. 10.53). This is also true for fixed assets that take more than a year to produce. However, when stage payments are made, these are regarded as purchase of (part of) a fixed asset or as a trade advance if the value of the stage payment exceeds the value of the work put in place. In the latter case, work is recorded as fixed capital delivered to the final owner as work proceeds until the trade credit is exhausted</w:t>
      </w:r>
      <w:r>
        <w:rPr>
          <w:rStyle w:val="FootnoteReference"/>
        </w:rPr>
        <w:footnoteReference w:id="2"/>
      </w:r>
      <w:r>
        <w:t xml:space="preserve">. </w:t>
      </w:r>
    </w:p>
    <w:p w:rsidR="00712162" w:rsidRDefault="00712162" w:rsidP="00712162">
      <w:pPr>
        <w:pStyle w:val="SingleTxtG"/>
      </w:pPr>
      <w:r>
        <w:t>9.</w:t>
      </w:r>
      <w:r>
        <w:tab/>
        <w:t xml:space="preserve">In relation to the valuation of the purchases of assets, the costs incurred on the acquisition of an asset are treated as an integral part of the value of that unit’s gross fixed capital formation (SNA, para. 10.49). More specifically, these so-called costs of ownership transfer consist of the following cost categories: </w:t>
      </w:r>
    </w:p>
    <w:p w:rsidR="00712162" w:rsidRDefault="00712162" w:rsidP="00712162">
      <w:pPr>
        <w:pStyle w:val="SingleTxtG"/>
        <w:ind w:firstLine="567"/>
      </w:pPr>
      <w:r>
        <w:t>(a)</w:t>
      </w:r>
      <w:r>
        <w:tab/>
        <w:t>All professional charges or commissions incurred by both units acquiring or disposing of an asset, such as fees paid to lawyers, architects, surveyors, engineers and values, and commissions paid to estate agents and auctioneers;</w:t>
      </w:r>
    </w:p>
    <w:p w:rsidR="00712162" w:rsidRDefault="00712162" w:rsidP="00712162">
      <w:pPr>
        <w:pStyle w:val="SingleTxtG"/>
        <w:ind w:firstLine="567"/>
      </w:pPr>
      <w:r>
        <w:t>(b)</w:t>
      </w:r>
      <w:r>
        <w:tab/>
        <w:t>Any trade and transport costs separately invoiced to the purchaser;</w:t>
      </w:r>
    </w:p>
    <w:p w:rsidR="00712162" w:rsidRDefault="00712162" w:rsidP="00712162">
      <w:pPr>
        <w:pStyle w:val="SingleTxtG"/>
        <w:ind w:firstLine="567"/>
      </w:pPr>
      <w:r>
        <w:lastRenderedPageBreak/>
        <w:t>(c)</w:t>
      </w:r>
      <w:r>
        <w:tab/>
        <w:t>All taxes payable by the unit acquiring the asset on the transfer of ownership of the asset;</w:t>
      </w:r>
    </w:p>
    <w:p w:rsidR="00712162" w:rsidRDefault="00712162" w:rsidP="00712162">
      <w:pPr>
        <w:pStyle w:val="SingleTxtG"/>
        <w:ind w:firstLine="567"/>
      </w:pPr>
      <w:r>
        <w:t>(d)</w:t>
      </w:r>
      <w:r>
        <w:tab/>
        <w:t>Any tax payable on the disposal of an asset;</w:t>
      </w:r>
    </w:p>
    <w:p w:rsidR="00712162" w:rsidRDefault="00712162" w:rsidP="00712162">
      <w:pPr>
        <w:pStyle w:val="SingleTxtG"/>
        <w:ind w:firstLine="567"/>
      </w:pPr>
      <w:r>
        <w:t>(e)</w:t>
      </w:r>
      <w:r>
        <w:tab/>
        <w:t>Any delivery and installation or de-installation costs not included in the price of the asset being acquired or disposed of; and</w:t>
      </w:r>
    </w:p>
    <w:p w:rsidR="00712162" w:rsidRDefault="00712162" w:rsidP="00712162">
      <w:pPr>
        <w:pStyle w:val="SingleTxtG"/>
        <w:ind w:firstLine="567"/>
      </w:pPr>
      <w:r>
        <w:t>(f)</w:t>
      </w:r>
      <w:r>
        <w:tab/>
        <w:t>Any terminal costs incurred at the end of an asset’s life such as those required to render the structure safe or to restore the environment in which it is situated.</w:t>
      </w:r>
    </w:p>
    <w:p w:rsidR="00712162" w:rsidRPr="00A531C1" w:rsidRDefault="00712162" w:rsidP="00712162">
      <w:pPr>
        <w:pStyle w:val="HChG"/>
      </w:pPr>
      <w:r w:rsidRPr="00A531C1">
        <w:tab/>
      </w:r>
      <w:bookmarkStart w:id="0" w:name="_GoBack"/>
      <w:bookmarkEnd w:id="0"/>
      <w:r w:rsidRPr="00A531C1">
        <w:t>II.</w:t>
      </w:r>
      <w:r w:rsidRPr="00A531C1">
        <w:tab/>
        <w:t xml:space="preserve">Questionnaire </w:t>
      </w:r>
    </w:p>
    <w:p w:rsidR="00712162" w:rsidRDefault="00712162" w:rsidP="00712162">
      <w:pPr>
        <w:pStyle w:val="SingleTxtG"/>
        <w:keepNext/>
        <w:keepLines/>
      </w:pPr>
      <w:r>
        <w:t>10.</w:t>
      </w:r>
      <w:r>
        <w:tab/>
        <w:t>Question 1. Please fill in the following table for each mode of transport.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712162" w:rsidRPr="00360CAF" w:rsidTr="00B97F5F">
        <w:trPr>
          <w:tblHeader/>
        </w:trPr>
        <w:tc>
          <w:tcPr>
            <w:tcW w:w="7370" w:type="dxa"/>
            <w:gridSpan w:val="5"/>
            <w:tcBorders>
              <w:top w:val="single" w:sz="4" w:space="0" w:color="auto"/>
              <w:bottom w:val="single" w:sz="4" w:space="0" w:color="auto"/>
            </w:tcBorders>
            <w:shd w:val="clear" w:color="auto" w:fill="auto"/>
            <w:vAlign w:val="bottom"/>
          </w:tcPr>
          <w:p w:rsidR="00712162" w:rsidRPr="00360CAF" w:rsidRDefault="00712162" w:rsidP="00B97F5F">
            <w:pPr>
              <w:keepNext/>
              <w:keepLines/>
              <w:suppressAutoHyphens w:val="0"/>
              <w:spacing w:before="80" w:after="80" w:line="200" w:lineRule="exact"/>
              <w:ind w:right="113"/>
              <w:jc w:val="center"/>
              <w:rPr>
                <w:i/>
                <w:sz w:val="16"/>
              </w:rPr>
            </w:pPr>
            <w:r w:rsidRPr="00360CAF">
              <w:rPr>
                <w:i/>
                <w:sz w:val="16"/>
              </w:rPr>
              <w:t>Road Infrastructure</w:t>
            </w:r>
          </w:p>
        </w:tc>
      </w:tr>
      <w:tr w:rsidR="00712162" w:rsidRPr="00360CAF" w:rsidTr="00B97F5F">
        <w:tc>
          <w:tcPr>
            <w:tcW w:w="1474" w:type="dxa"/>
            <w:tcBorders>
              <w:top w:val="single" w:sz="4" w:space="0" w:color="auto"/>
              <w:bottom w:val="single" w:sz="12" w:space="0" w:color="auto"/>
            </w:tcBorders>
            <w:shd w:val="clear" w:color="auto" w:fill="auto"/>
          </w:tcPr>
          <w:p w:rsidR="00712162" w:rsidRPr="00A14F99" w:rsidRDefault="00712162" w:rsidP="00B97F5F">
            <w:pPr>
              <w:keepNext/>
              <w:keepLines/>
              <w:suppressAutoHyphens w:val="0"/>
              <w:spacing w:before="80" w:after="80" w:line="200" w:lineRule="exact"/>
              <w:ind w:right="113"/>
              <w:rPr>
                <w:i/>
                <w:sz w:val="16"/>
              </w:rPr>
            </w:pPr>
            <w:r w:rsidRPr="00A14F99">
              <w:rPr>
                <w:i/>
                <w:sz w:val="16"/>
              </w:rPr>
              <w:t>Road network length (in Km)</w:t>
            </w:r>
          </w:p>
        </w:tc>
        <w:tc>
          <w:tcPr>
            <w:tcW w:w="1474" w:type="dxa"/>
            <w:tcBorders>
              <w:top w:val="single" w:sz="4" w:space="0" w:color="auto"/>
              <w:bottom w:val="single" w:sz="12" w:space="0" w:color="auto"/>
            </w:tcBorders>
            <w:shd w:val="clear" w:color="auto" w:fill="auto"/>
          </w:tcPr>
          <w:p w:rsidR="00712162" w:rsidRPr="00A14F99" w:rsidRDefault="00712162" w:rsidP="00B97F5F">
            <w:pPr>
              <w:keepNext/>
              <w:keepLines/>
              <w:suppressAutoHyphens w:val="0"/>
              <w:spacing w:before="80" w:after="80" w:line="200" w:lineRule="exact"/>
              <w:ind w:right="113"/>
              <w:rPr>
                <w:i/>
                <w:sz w:val="16"/>
              </w:rPr>
            </w:pPr>
            <w:r w:rsidRPr="00A14F99">
              <w:rPr>
                <w:i/>
                <w:sz w:val="16"/>
              </w:rPr>
              <w:t>of which paved (in Km)</w:t>
            </w:r>
          </w:p>
        </w:tc>
        <w:tc>
          <w:tcPr>
            <w:tcW w:w="1474" w:type="dxa"/>
            <w:tcBorders>
              <w:top w:val="single" w:sz="4" w:space="0" w:color="auto"/>
              <w:bottom w:val="single" w:sz="12" w:space="0" w:color="auto"/>
            </w:tcBorders>
            <w:shd w:val="clear" w:color="auto" w:fill="auto"/>
          </w:tcPr>
          <w:p w:rsidR="00712162" w:rsidRPr="00A14F99" w:rsidRDefault="00712162" w:rsidP="00B97F5F">
            <w:pPr>
              <w:keepNext/>
              <w:keepLines/>
              <w:suppressAutoHyphens w:val="0"/>
              <w:spacing w:before="80" w:after="80" w:line="200" w:lineRule="exact"/>
              <w:ind w:right="113"/>
              <w:rPr>
                <w:i/>
                <w:sz w:val="16"/>
              </w:rPr>
            </w:pPr>
            <w:r w:rsidRPr="00A14F99">
              <w:rPr>
                <w:i/>
                <w:sz w:val="16"/>
              </w:rPr>
              <w:t>of which unpaved (in Km)</w:t>
            </w:r>
          </w:p>
        </w:tc>
        <w:tc>
          <w:tcPr>
            <w:tcW w:w="1474" w:type="dxa"/>
            <w:tcBorders>
              <w:top w:val="single" w:sz="4" w:space="0" w:color="auto"/>
              <w:bottom w:val="single" w:sz="12" w:space="0" w:color="auto"/>
            </w:tcBorders>
            <w:shd w:val="clear" w:color="auto" w:fill="auto"/>
          </w:tcPr>
          <w:p w:rsidR="00712162" w:rsidRPr="00A14F99" w:rsidRDefault="00712162" w:rsidP="00B97F5F">
            <w:pPr>
              <w:keepNext/>
              <w:keepLines/>
              <w:suppressAutoHyphens w:val="0"/>
              <w:spacing w:before="80" w:after="80" w:line="200" w:lineRule="exact"/>
              <w:ind w:right="113"/>
              <w:rPr>
                <w:i/>
                <w:sz w:val="16"/>
              </w:rPr>
            </w:pPr>
            <w:r w:rsidRPr="00A14F99">
              <w:rPr>
                <w:i/>
                <w:sz w:val="16"/>
              </w:rPr>
              <w:t>of which highways – four or more lanes - (in Km)</w:t>
            </w:r>
          </w:p>
        </w:tc>
        <w:tc>
          <w:tcPr>
            <w:tcW w:w="1474" w:type="dxa"/>
            <w:tcBorders>
              <w:top w:val="single" w:sz="4" w:space="0" w:color="auto"/>
              <w:bottom w:val="single" w:sz="12" w:space="0" w:color="auto"/>
            </w:tcBorders>
            <w:shd w:val="clear" w:color="auto" w:fill="auto"/>
          </w:tcPr>
          <w:p w:rsidR="00712162" w:rsidRPr="00A14F99" w:rsidRDefault="00712162" w:rsidP="00B97F5F">
            <w:pPr>
              <w:keepNext/>
              <w:keepLines/>
              <w:suppressAutoHyphens w:val="0"/>
              <w:spacing w:before="80" w:after="80" w:line="200" w:lineRule="exact"/>
              <w:ind w:right="113"/>
              <w:rPr>
                <w:i/>
                <w:sz w:val="16"/>
              </w:rPr>
            </w:pPr>
            <w:r w:rsidRPr="00A14F99">
              <w:rPr>
                <w:i/>
                <w:sz w:val="16"/>
              </w:rPr>
              <w:t>of which rural roads (in Km)</w:t>
            </w:r>
          </w:p>
        </w:tc>
      </w:tr>
      <w:tr w:rsidR="00712162" w:rsidRPr="00360CAF" w:rsidTr="00B97F5F">
        <w:tc>
          <w:tcPr>
            <w:tcW w:w="1474" w:type="dxa"/>
            <w:tcBorders>
              <w:top w:val="single" w:sz="12" w:space="0" w:color="auto"/>
            </w:tcBorders>
            <w:shd w:val="clear" w:color="auto" w:fill="auto"/>
          </w:tcPr>
          <w:p w:rsidR="00712162" w:rsidRPr="00360CAF" w:rsidRDefault="00712162" w:rsidP="00B97F5F">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keepNext/>
              <w:keepLines/>
              <w:suppressAutoHyphens w:val="0"/>
              <w:spacing w:before="40" w:after="120" w:line="220" w:lineRule="exact"/>
              <w:ind w:right="113"/>
            </w:pPr>
          </w:p>
        </w:tc>
      </w:tr>
    </w:tbl>
    <w:p w:rsidR="00712162" w:rsidRDefault="00712162" w:rsidP="00712162">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712162" w:rsidRPr="00360CAF" w:rsidTr="00B97F5F">
        <w:trPr>
          <w:tblHeader/>
        </w:trPr>
        <w:tc>
          <w:tcPr>
            <w:tcW w:w="7370" w:type="dxa"/>
            <w:gridSpan w:val="5"/>
            <w:tcBorders>
              <w:top w:val="single" w:sz="4" w:space="0" w:color="auto"/>
              <w:bottom w:val="single" w:sz="4" w:space="0" w:color="auto"/>
            </w:tcBorders>
            <w:shd w:val="clear" w:color="auto" w:fill="auto"/>
            <w:vAlign w:val="bottom"/>
          </w:tcPr>
          <w:p w:rsidR="00712162" w:rsidRPr="00360CAF" w:rsidRDefault="00712162" w:rsidP="00B97F5F">
            <w:pPr>
              <w:suppressAutoHyphens w:val="0"/>
              <w:spacing w:before="80" w:after="80" w:line="200" w:lineRule="exact"/>
              <w:ind w:right="113"/>
              <w:jc w:val="center"/>
              <w:rPr>
                <w:i/>
                <w:sz w:val="16"/>
              </w:rPr>
            </w:pPr>
            <w:r>
              <w:rPr>
                <w:i/>
                <w:sz w:val="16"/>
              </w:rPr>
              <w:t>Rail Infrastructure</w:t>
            </w:r>
          </w:p>
        </w:tc>
      </w:tr>
      <w:tr w:rsidR="00712162" w:rsidRPr="00360CAF" w:rsidTr="00B97F5F">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A14F99">
              <w:rPr>
                <w:i/>
                <w:sz w:val="16"/>
              </w:rPr>
              <w:t>Rail network length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A14F99">
              <w:rPr>
                <w:i/>
                <w:sz w:val="16"/>
              </w:rPr>
              <w:t>of which electrified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A14F99">
              <w:rPr>
                <w:i/>
                <w:sz w:val="16"/>
              </w:rPr>
              <w:t>of which conventional lines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A14F99">
              <w:rPr>
                <w:i/>
                <w:sz w:val="16"/>
              </w:rPr>
              <w:t>of which high speed lines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A14F99">
              <w:rPr>
                <w:i/>
                <w:sz w:val="16"/>
              </w:rPr>
              <w:t>Meter gauge (1,435 / 1,512 etc.)</w:t>
            </w:r>
          </w:p>
        </w:tc>
      </w:tr>
      <w:tr w:rsidR="00712162" w:rsidRPr="00360CAF" w:rsidTr="00B97F5F">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r>
    </w:tbl>
    <w:p w:rsidR="00712162" w:rsidRDefault="00712162" w:rsidP="00712162">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712162" w:rsidRPr="00360CAF" w:rsidTr="00B97F5F">
        <w:trPr>
          <w:tblHeader/>
        </w:trPr>
        <w:tc>
          <w:tcPr>
            <w:tcW w:w="7370" w:type="dxa"/>
            <w:gridSpan w:val="5"/>
            <w:tcBorders>
              <w:top w:val="single" w:sz="4" w:space="0" w:color="auto"/>
              <w:bottom w:val="single" w:sz="4" w:space="0" w:color="auto"/>
            </w:tcBorders>
            <w:shd w:val="clear" w:color="auto" w:fill="auto"/>
            <w:vAlign w:val="bottom"/>
          </w:tcPr>
          <w:p w:rsidR="00712162" w:rsidRPr="00360CAF" w:rsidRDefault="00712162" w:rsidP="00B97F5F">
            <w:pPr>
              <w:suppressAutoHyphens w:val="0"/>
              <w:spacing w:before="80" w:after="80" w:line="200" w:lineRule="exact"/>
              <w:ind w:right="113"/>
              <w:jc w:val="center"/>
              <w:rPr>
                <w:i/>
                <w:sz w:val="16"/>
              </w:rPr>
            </w:pPr>
            <w:r w:rsidRPr="000A2B10">
              <w:rPr>
                <w:i/>
                <w:sz w:val="16"/>
              </w:rPr>
              <w:t>Inland Water Transport</w:t>
            </w:r>
          </w:p>
        </w:tc>
      </w:tr>
      <w:tr w:rsidR="00712162" w:rsidRPr="00360CAF" w:rsidTr="00B97F5F">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0A2B10">
              <w:rPr>
                <w:i/>
                <w:sz w:val="16"/>
              </w:rPr>
              <w:t>Inland Waterway network length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0A2B10">
              <w:rPr>
                <w:i/>
                <w:sz w:val="16"/>
              </w:rPr>
              <w:t>Of which free flowing rivers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0A2B10">
              <w:rPr>
                <w:i/>
                <w:sz w:val="16"/>
              </w:rPr>
              <w:t>Of which flood controlled rivers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0A2B10">
              <w:rPr>
                <w:i/>
                <w:sz w:val="16"/>
              </w:rPr>
              <w:t>Of which canals (in Km)</w:t>
            </w:r>
          </w:p>
        </w:tc>
        <w:tc>
          <w:tcPr>
            <w:tcW w:w="1474" w:type="dxa"/>
            <w:tcBorders>
              <w:top w:val="single" w:sz="4" w:space="0" w:color="auto"/>
              <w:bottom w:val="single" w:sz="12" w:space="0" w:color="auto"/>
            </w:tcBorders>
            <w:shd w:val="clear" w:color="auto" w:fill="auto"/>
          </w:tcPr>
          <w:p w:rsidR="00712162" w:rsidRPr="00A14F99" w:rsidRDefault="00712162" w:rsidP="00B97F5F">
            <w:pPr>
              <w:suppressAutoHyphens w:val="0"/>
              <w:spacing w:before="80" w:after="80" w:line="200" w:lineRule="exact"/>
              <w:ind w:right="113"/>
              <w:rPr>
                <w:i/>
                <w:sz w:val="16"/>
              </w:rPr>
            </w:pPr>
            <w:r w:rsidRPr="000A2B10">
              <w:rPr>
                <w:i/>
                <w:sz w:val="16"/>
              </w:rPr>
              <w:t>Number of Inland Waterways ports</w:t>
            </w:r>
          </w:p>
        </w:tc>
      </w:tr>
      <w:tr w:rsidR="00712162" w:rsidRPr="00360CAF" w:rsidTr="00B97F5F">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c>
          <w:tcPr>
            <w:tcW w:w="1474" w:type="dxa"/>
            <w:tcBorders>
              <w:top w:val="single" w:sz="12" w:space="0" w:color="auto"/>
            </w:tcBorders>
            <w:shd w:val="clear" w:color="auto" w:fill="auto"/>
          </w:tcPr>
          <w:p w:rsidR="00712162" w:rsidRPr="00360CAF" w:rsidRDefault="00712162" w:rsidP="00B97F5F">
            <w:pPr>
              <w:suppressAutoHyphens w:val="0"/>
              <w:spacing w:before="40" w:after="120" w:line="220" w:lineRule="exact"/>
              <w:ind w:right="113"/>
            </w:pPr>
          </w:p>
        </w:tc>
      </w:tr>
    </w:tbl>
    <w:p w:rsidR="00712162" w:rsidRPr="000A2B10" w:rsidRDefault="00712162" w:rsidP="00712162">
      <w:pPr>
        <w:pStyle w:val="SingleTxtG"/>
        <w:spacing w:before="120"/>
      </w:pPr>
      <w:r w:rsidRPr="000A2B10">
        <w:t>11.</w:t>
      </w:r>
      <w:r w:rsidRPr="000A2B10">
        <w:tab/>
        <w:t xml:space="preserve">Question 2. </w:t>
      </w:r>
      <w:proofErr w:type="gramStart"/>
      <w:r w:rsidRPr="000A2B10">
        <w:t>Inland Transport Infrastructure projects that are currently being undertaken in your country.</w:t>
      </w:r>
      <w:proofErr w:type="gramEnd"/>
      <w:r w:rsidRPr="000A2B10">
        <w:t xml:space="preserve"> Please fill in the following table. </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712162" w:rsidRPr="00EA2275" w:rsidTr="00B97F5F">
        <w:trPr>
          <w:jc w:val="center"/>
        </w:trPr>
        <w:tc>
          <w:tcPr>
            <w:tcW w:w="9639" w:type="dxa"/>
            <w:gridSpan w:val="10"/>
            <w:tcBorders>
              <w:top w:val="single" w:sz="4" w:space="0" w:color="auto"/>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Road Infrastructure</w:t>
            </w:r>
          </w:p>
        </w:tc>
      </w:tr>
      <w:tr w:rsidR="00712162" w:rsidRPr="00EA2275" w:rsidTr="00B97F5F">
        <w:trPr>
          <w:jc w:val="center"/>
        </w:trPr>
        <w:tc>
          <w:tcPr>
            <w:tcW w:w="156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Innovative financing</w:t>
            </w:r>
          </w:p>
        </w:tc>
      </w:tr>
      <w:tr w:rsidR="00712162" w:rsidRPr="00EA2275" w:rsidTr="00B97F5F">
        <w:trPr>
          <w:jc w:val="center"/>
        </w:trPr>
        <w:tc>
          <w:tcPr>
            <w:tcW w:w="156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Other (please explain)</w:t>
            </w:r>
          </w:p>
        </w:tc>
      </w:tr>
      <w:tr w:rsidR="00712162" w:rsidRPr="00EA2275" w:rsidTr="00B97F5F">
        <w:trPr>
          <w:jc w:val="center"/>
        </w:trPr>
        <w:tc>
          <w:tcPr>
            <w:tcW w:w="1560" w:type="dxa"/>
            <w:tcBorders>
              <w:top w:val="single" w:sz="12" w:space="0" w:color="auto"/>
            </w:tcBorders>
            <w:shd w:val="clear" w:color="auto" w:fill="auto"/>
          </w:tcPr>
          <w:p w:rsidR="00712162" w:rsidRPr="00EA2275" w:rsidRDefault="00712162" w:rsidP="00B97F5F">
            <w:pPr>
              <w:spacing w:before="40" w:after="120"/>
              <w:ind w:right="113"/>
            </w:pPr>
            <w:r w:rsidRPr="00EA2275">
              <w:t>Project 1….</w:t>
            </w: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851"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1276" w:type="dxa"/>
            <w:tcBorders>
              <w:top w:val="single" w:sz="12" w:space="0" w:color="auto"/>
            </w:tcBorders>
            <w:shd w:val="clear" w:color="auto" w:fill="auto"/>
          </w:tcPr>
          <w:p w:rsidR="00712162" w:rsidRPr="00EA2275" w:rsidRDefault="00712162" w:rsidP="00B97F5F">
            <w:pPr>
              <w:spacing w:before="40" w:after="120"/>
              <w:ind w:right="113"/>
            </w:pPr>
          </w:p>
        </w:tc>
        <w:tc>
          <w:tcPr>
            <w:tcW w:w="709" w:type="dxa"/>
            <w:tcBorders>
              <w:top w:val="single" w:sz="12" w:space="0" w:color="auto"/>
            </w:tcBorders>
            <w:shd w:val="clear" w:color="auto" w:fill="auto"/>
          </w:tcPr>
          <w:p w:rsidR="00712162" w:rsidRPr="00EA2275" w:rsidRDefault="00712162" w:rsidP="00B97F5F">
            <w:pPr>
              <w:spacing w:before="40" w:after="120"/>
              <w:ind w:right="113"/>
            </w:pPr>
          </w:p>
        </w:tc>
        <w:tc>
          <w:tcPr>
            <w:tcW w:w="992"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737" w:type="dxa"/>
            <w:tcBorders>
              <w:top w:val="single" w:sz="12" w:space="0" w:color="auto"/>
            </w:tcBorders>
            <w:shd w:val="clear" w:color="auto" w:fill="auto"/>
          </w:tcPr>
          <w:p w:rsidR="00712162" w:rsidRPr="00EA2275" w:rsidRDefault="00712162" w:rsidP="00B97F5F">
            <w:pPr>
              <w:spacing w:before="40" w:after="120"/>
              <w:ind w:right="113"/>
            </w:pPr>
          </w:p>
        </w:tc>
        <w:tc>
          <w:tcPr>
            <w:tcW w:w="964" w:type="dxa"/>
            <w:tcBorders>
              <w:top w:val="single" w:sz="12" w:space="0" w:color="auto"/>
            </w:tcBorders>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shd w:val="clear" w:color="auto" w:fill="auto"/>
          </w:tcPr>
          <w:p w:rsidR="00712162" w:rsidRPr="00EA2275" w:rsidRDefault="00712162" w:rsidP="00B97F5F">
            <w:pPr>
              <w:spacing w:before="40" w:after="120"/>
              <w:ind w:right="113"/>
            </w:pPr>
            <w:r w:rsidRPr="00EA2275">
              <w:t>Project 2…</w:t>
            </w:r>
          </w:p>
        </w:tc>
        <w:tc>
          <w:tcPr>
            <w:tcW w:w="850" w:type="dxa"/>
            <w:shd w:val="clear" w:color="auto" w:fill="auto"/>
          </w:tcPr>
          <w:p w:rsidR="00712162" w:rsidRPr="00EA2275" w:rsidRDefault="00712162" w:rsidP="00B97F5F">
            <w:pPr>
              <w:spacing w:before="40" w:after="120"/>
              <w:ind w:right="113"/>
            </w:pPr>
          </w:p>
        </w:tc>
        <w:tc>
          <w:tcPr>
            <w:tcW w:w="851"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1276" w:type="dxa"/>
            <w:shd w:val="clear" w:color="auto" w:fill="auto"/>
          </w:tcPr>
          <w:p w:rsidR="00712162" w:rsidRPr="00EA2275" w:rsidRDefault="00712162" w:rsidP="00B97F5F">
            <w:pPr>
              <w:spacing w:before="40" w:after="120"/>
              <w:ind w:right="113"/>
            </w:pPr>
          </w:p>
        </w:tc>
        <w:tc>
          <w:tcPr>
            <w:tcW w:w="709" w:type="dxa"/>
            <w:shd w:val="clear" w:color="auto" w:fill="auto"/>
          </w:tcPr>
          <w:p w:rsidR="00712162" w:rsidRPr="00EA2275" w:rsidRDefault="00712162" w:rsidP="00B97F5F">
            <w:pPr>
              <w:spacing w:before="40" w:after="120"/>
              <w:ind w:right="113"/>
            </w:pPr>
          </w:p>
        </w:tc>
        <w:tc>
          <w:tcPr>
            <w:tcW w:w="992"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737" w:type="dxa"/>
            <w:shd w:val="clear" w:color="auto" w:fill="auto"/>
          </w:tcPr>
          <w:p w:rsidR="00712162" w:rsidRPr="00EA2275" w:rsidRDefault="00712162" w:rsidP="00B97F5F">
            <w:pPr>
              <w:spacing w:before="40" w:after="120"/>
              <w:ind w:right="113"/>
            </w:pPr>
          </w:p>
        </w:tc>
        <w:tc>
          <w:tcPr>
            <w:tcW w:w="964" w:type="dxa"/>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tcBorders>
              <w:bottom w:val="single" w:sz="12" w:space="0" w:color="auto"/>
            </w:tcBorders>
            <w:shd w:val="clear" w:color="auto" w:fill="auto"/>
          </w:tcPr>
          <w:p w:rsidR="00712162" w:rsidRPr="00EA2275" w:rsidRDefault="00712162" w:rsidP="00B97F5F">
            <w:pPr>
              <w:spacing w:before="40" w:after="120"/>
              <w:ind w:right="113"/>
            </w:pPr>
            <w:r w:rsidRPr="00EA2275">
              <w:t>Project…etc</w:t>
            </w:r>
            <w:r>
              <w:t>.</w:t>
            </w: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851"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1276" w:type="dxa"/>
            <w:tcBorders>
              <w:bottom w:val="single" w:sz="12" w:space="0" w:color="auto"/>
            </w:tcBorders>
            <w:shd w:val="clear" w:color="auto" w:fill="auto"/>
          </w:tcPr>
          <w:p w:rsidR="00712162" w:rsidRPr="00EA2275" w:rsidRDefault="00712162" w:rsidP="00B97F5F">
            <w:pPr>
              <w:spacing w:before="40" w:after="120"/>
              <w:ind w:right="113"/>
            </w:pPr>
          </w:p>
        </w:tc>
        <w:tc>
          <w:tcPr>
            <w:tcW w:w="709" w:type="dxa"/>
            <w:tcBorders>
              <w:bottom w:val="single" w:sz="12" w:space="0" w:color="auto"/>
            </w:tcBorders>
            <w:shd w:val="clear" w:color="auto" w:fill="auto"/>
          </w:tcPr>
          <w:p w:rsidR="00712162" w:rsidRPr="00EA2275" w:rsidRDefault="00712162" w:rsidP="00B97F5F">
            <w:pPr>
              <w:spacing w:before="40" w:after="120"/>
              <w:ind w:right="113"/>
            </w:pPr>
          </w:p>
        </w:tc>
        <w:tc>
          <w:tcPr>
            <w:tcW w:w="992"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737" w:type="dxa"/>
            <w:tcBorders>
              <w:bottom w:val="single" w:sz="12" w:space="0" w:color="auto"/>
            </w:tcBorders>
            <w:shd w:val="clear" w:color="auto" w:fill="auto"/>
          </w:tcPr>
          <w:p w:rsidR="00712162" w:rsidRPr="00EA2275" w:rsidRDefault="00712162" w:rsidP="00B97F5F">
            <w:pPr>
              <w:spacing w:before="40" w:after="120"/>
              <w:ind w:right="113"/>
            </w:pPr>
          </w:p>
        </w:tc>
        <w:tc>
          <w:tcPr>
            <w:tcW w:w="964" w:type="dxa"/>
            <w:tcBorders>
              <w:bottom w:val="single" w:sz="12" w:space="0" w:color="auto"/>
            </w:tcBorders>
            <w:shd w:val="clear" w:color="auto" w:fill="auto"/>
          </w:tcPr>
          <w:p w:rsidR="00712162" w:rsidRPr="00EA2275" w:rsidRDefault="00712162" w:rsidP="00B97F5F">
            <w:pPr>
              <w:spacing w:before="40" w:after="120"/>
              <w:ind w:right="113"/>
            </w:pPr>
          </w:p>
        </w:tc>
      </w:tr>
    </w:tbl>
    <w:p w:rsidR="00712162" w:rsidRDefault="00712162" w:rsidP="00712162">
      <w:pPr>
        <w:pStyle w:val="SingleTxtG"/>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712162" w:rsidRPr="00EA2275" w:rsidTr="00B97F5F">
        <w:trPr>
          <w:tblHeader/>
          <w:jc w:val="center"/>
        </w:trPr>
        <w:tc>
          <w:tcPr>
            <w:tcW w:w="9639" w:type="dxa"/>
            <w:gridSpan w:val="10"/>
            <w:tcBorders>
              <w:top w:val="single" w:sz="4" w:space="0" w:color="auto"/>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A14F99">
              <w:rPr>
                <w:i/>
                <w:sz w:val="16"/>
              </w:rPr>
              <w:lastRenderedPageBreak/>
              <w:t>Rail Infrastructure</w:t>
            </w:r>
          </w:p>
        </w:tc>
      </w:tr>
      <w:tr w:rsidR="00712162" w:rsidRPr="00EA2275" w:rsidTr="00B97F5F">
        <w:trPr>
          <w:tblHeader/>
          <w:jc w:val="center"/>
        </w:trPr>
        <w:tc>
          <w:tcPr>
            <w:tcW w:w="156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Innovative financing</w:t>
            </w:r>
          </w:p>
        </w:tc>
      </w:tr>
      <w:tr w:rsidR="00712162" w:rsidRPr="00EA2275" w:rsidTr="00B97F5F">
        <w:trPr>
          <w:tblHeader/>
          <w:jc w:val="center"/>
        </w:trPr>
        <w:tc>
          <w:tcPr>
            <w:tcW w:w="156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Other (please explain)</w:t>
            </w:r>
          </w:p>
        </w:tc>
      </w:tr>
      <w:tr w:rsidR="00712162" w:rsidRPr="00EA2275" w:rsidTr="00B97F5F">
        <w:trPr>
          <w:jc w:val="center"/>
        </w:trPr>
        <w:tc>
          <w:tcPr>
            <w:tcW w:w="1560" w:type="dxa"/>
            <w:tcBorders>
              <w:top w:val="single" w:sz="12" w:space="0" w:color="auto"/>
            </w:tcBorders>
            <w:shd w:val="clear" w:color="auto" w:fill="auto"/>
          </w:tcPr>
          <w:p w:rsidR="00712162" w:rsidRPr="00EA2275" w:rsidRDefault="00712162" w:rsidP="00B97F5F">
            <w:pPr>
              <w:spacing w:before="40" w:after="120"/>
              <w:ind w:right="113"/>
            </w:pPr>
            <w:r w:rsidRPr="00EA2275">
              <w:t>Project 1….</w:t>
            </w: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851"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1276" w:type="dxa"/>
            <w:tcBorders>
              <w:top w:val="single" w:sz="12" w:space="0" w:color="auto"/>
            </w:tcBorders>
            <w:shd w:val="clear" w:color="auto" w:fill="auto"/>
          </w:tcPr>
          <w:p w:rsidR="00712162" w:rsidRPr="00EA2275" w:rsidRDefault="00712162" w:rsidP="00B97F5F">
            <w:pPr>
              <w:spacing w:before="40" w:after="120"/>
              <w:ind w:right="113"/>
            </w:pPr>
          </w:p>
        </w:tc>
        <w:tc>
          <w:tcPr>
            <w:tcW w:w="709" w:type="dxa"/>
            <w:tcBorders>
              <w:top w:val="single" w:sz="12" w:space="0" w:color="auto"/>
            </w:tcBorders>
            <w:shd w:val="clear" w:color="auto" w:fill="auto"/>
          </w:tcPr>
          <w:p w:rsidR="00712162" w:rsidRPr="00EA2275" w:rsidRDefault="00712162" w:rsidP="00B97F5F">
            <w:pPr>
              <w:spacing w:before="40" w:after="120"/>
              <w:ind w:right="113"/>
            </w:pPr>
          </w:p>
        </w:tc>
        <w:tc>
          <w:tcPr>
            <w:tcW w:w="992"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737" w:type="dxa"/>
            <w:tcBorders>
              <w:top w:val="single" w:sz="12" w:space="0" w:color="auto"/>
            </w:tcBorders>
            <w:shd w:val="clear" w:color="auto" w:fill="auto"/>
          </w:tcPr>
          <w:p w:rsidR="00712162" w:rsidRPr="00EA2275" w:rsidRDefault="00712162" w:rsidP="00B97F5F">
            <w:pPr>
              <w:spacing w:before="40" w:after="120"/>
              <w:ind w:right="113"/>
            </w:pPr>
          </w:p>
        </w:tc>
        <w:tc>
          <w:tcPr>
            <w:tcW w:w="964" w:type="dxa"/>
            <w:tcBorders>
              <w:top w:val="single" w:sz="12" w:space="0" w:color="auto"/>
            </w:tcBorders>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shd w:val="clear" w:color="auto" w:fill="auto"/>
          </w:tcPr>
          <w:p w:rsidR="00712162" w:rsidRPr="00EA2275" w:rsidRDefault="00712162" w:rsidP="00B97F5F">
            <w:pPr>
              <w:spacing w:before="40" w:after="120"/>
              <w:ind w:right="113"/>
            </w:pPr>
            <w:r w:rsidRPr="00EA2275">
              <w:t>Project 2…</w:t>
            </w:r>
          </w:p>
        </w:tc>
        <w:tc>
          <w:tcPr>
            <w:tcW w:w="850" w:type="dxa"/>
            <w:shd w:val="clear" w:color="auto" w:fill="auto"/>
          </w:tcPr>
          <w:p w:rsidR="00712162" w:rsidRPr="00EA2275" w:rsidRDefault="00712162" w:rsidP="00B97F5F">
            <w:pPr>
              <w:spacing w:before="40" w:after="120"/>
              <w:ind w:right="113"/>
            </w:pPr>
          </w:p>
        </w:tc>
        <w:tc>
          <w:tcPr>
            <w:tcW w:w="851"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1276" w:type="dxa"/>
            <w:shd w:val="clear" w:color="auto" w:fill="auto"/>
          </w:tcPr>
          <w:p w:rsidR="00712162" w:rsidRPr="00EA2275" w:rsidRDefault="00712162" w:rsidP="00B97F5F">
            <w:pPr>
              <w:spacing w:before="40" w:after="120"/>
              <w:ind w:right="113"/>
            </w:pPr>
          </w:p>
        </w:tc>
        <w:tc>
          <w:tcPr>
            <w:tcW w:w="709" w:type="dxa"/>
            <w:shd w:val="clear" w:color="auto" w:fill="auto"/>
          </w:tcPr>
          <w:p w:rsidR="00712162" w:rsidRPr="00EA2275" w:rsidRDefault="00712162" w:rsidP="00B97F5F">
            <w:pPr>
              <w:spacing w:before="40" w:after="120"/>
              <w:ind w:right="113"/>
            </w:pPr>
          </w:p>
        </w:tc>
        <w:tc>
          <w:tcPr>
            <w:tcW w:w="992"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737" w:type="dxa"/>
            <w:shd w:val="clear" w:color="auto" w:fill="auto"/>
          </w:tcPr>
          <w:p w:rsidR="00712162" w:rsidRPr="00EA2275" w:rsidRDefault="00712162" w:rsidP="00B97F5F">
            <w:pPr>
              <w:spacing w:before="40" w:after="120"/>
              <w:ind w:right="113"/>
            </w:pPr>
          </w:p>
        </w:tc>
        <w:tc>
          <w:tcPr>
            <w:tcW w:w="964" w:type="dxa"/>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tcBorders>
              <w:bottom w:val="single" w:sz="12" w:space="0" w:color="auto"/>
            </w:tcBorders>
            <w:shd w:val="clear" w:color="auto" w:fill="auto"/>
          </w:tcPr>
          <w:p w:rsidR="00712162" w:rsidRPr="00EA2275" w:rsidRDefault="00712162" w:rsidP="00B97F5F">
            <w:pPr>
              <w:spacing w:before="40" w:after="120"/>
              <w:ind w:right="113"/>
            </w:pPr>
            <w:r w:rsidRPr="00EA2275">
              <w:t>Project…etc</w:t>
            </w:r>
            <w:r>
              <w:t>.</w:t>
            </w: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851"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1276" w:type="dxa"/>
            <w:tcBorders>
              <w:bottom w:val="single" w:sz="12" w:space="0" w:color="auto"/>
            </w:tcBorders>
            <w:shd w:val="clear" w:color="auto" w:fill="auto"/>
          </w:tcPr>
          <w:p w:rsidR="00712162" w:rsidRPr="00EA2275" w:rsidRDefault="00712162" w:rsidP="00B97F5F">
            <w:pPr>
              <w:spacing w:before="40" w:after="120"/>
              <w:ind w:right="113"/>
            </w:pPr>
          </w:p>
        </w:tc>
        <w:tc>
          <w:tcPr>
            <w:tcW w:w="709" w:type="dxa"/>
            <w:tcBorders>
              <w:bottom w:val="single" w:sz="12" w:space="0" w:color="auto"/>
            </w:tcBorders>
            <w:shd w:val="clear" w:color="auto" w:fill="auto"/>
          </w:tcPr>
          <w:p w:rsidR="00712162" w:rsidRPr="00EA2275" w:rsidRDefault="00712162" w:rsidP="00B97F5F">
            <w:pPr>
              <w:spacing w:before="40" w:after="120"/>
              <w:ind w:right="113"/>
            </w:pPr>
          </w:p>
        </w:tc>
        <w:tc>
          <w:tcPr>
            <w:tcW w:w="992"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737" w:type="dxa"/>
            <w:tcBorders>
              <w:bottom w:val="single" w:sz="12" w:space="0" w:color="auto"/>
            </w:tcBorders>
            <w:shd w:val="clear" w:color="auto" w:fill="auto"/>
          </w:tcPr>
          <w:p w:rsidR="00712162" w:rsidRPr="00EA2275" w:rsidRDefault="00712162" w:rsidP="00B97F5F">
            <w:pPr>
              <w:spacing w:before="40" w:after="120"/>
              <w:ind w:right="113"/>
            </w:pPr>
          </w:p>
        </w:tc>
        <w:tc>
          <w:tcPr>
            <w:tcW w:w="964" w:type="dxa"/>
            <w:tcBorders>
              <w:bottom w:val="single" w:sz="12" w:space="0" w:color="auto"/>
            </w:tcBorders>
            <w:shd w:val="clear" w:color="auto" w:fill="auto"/>
          </w:tcPr>
          <w:p w:rsidR="00712162" w:rsidRPr="00EA2275" w:rsidRDefault="00712162" w:rsidP="00B97F5F">
            <w:pPr>
              <w:spacing w:before="40" w:after="120"/>
              <w:ind w:right="113"/>
            </w:pPr>
          </w:p>
        </w:tc>
      </w:tr>
    </w:tbl>
    <w:p w:rsidR="00712162" w:rsidRDefault="00712162" w:rsidP="00712162"/>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712162" w:rsidRPr="00EA2275" w:rsidTr="00B97F5F">
        <w:trPr>
          <w:jc w:val="center"/>
        </w:trPr>
        <w:tc>
          <w:tcPr>
            <w:tcW w:w="9639" w:type="dxa"/>
            <w:gridSpan w:val="10"/>
            <w:tcBorders>
              <w:top w:val="single" w:sz="4" w:space="0" w:color="auto"/>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A14F99">
              <w:rPr>
                <w:i/>
                <w:sz w:val="16"/>
              </w:rPr>
              <w:t>Inland Waterways Infrastructure</w:t>
            </w:r>
          </w:p>
        </w:tc>
      </w:tr>
      <w:tr w:rsidR="00712162" w:rsidRPr="00EA2275" w:rsidTr="00B97F5F">
        <w:trPr>
          <w:jc w:val="center"/>
        </w:trPr>
        <w:tc>
          <w:tcPr>
            <w:tcW w:w="156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712162" w:rsidRPr="00EA2275" w:rsidRDefault="00712162" w:rsidP="00B97F5F">
            <w:pPr>
              <w:spacing w:before="80" w:after="80" w:line="200" w:lineRule="exact"/>
              <w:ind w:right="113"/>
              <w:jc w:val="center"/>
              <w:rPr>
                <w:i/>
                <w:sz w:val="16"/>
              </w:rPr>
            </w:pPr>
            <w:r w:rsidRPr="00EA2275">
              <w:rPr>
                <w:i/>
                <w:sz w:val="16"/>
              </w:rPr>
              <w:t>Innovative financing</w:t>
            </w:r>
          </w:p>
        </w:tc>
      </w:tr>
      <w:tr w:rsidR="00712162" w:rsidRPr="00EA2275" w:rsidTr="00B97F5F">
        <w:trPr>
          <w:jc w:val="center"/>
        </w:trPr>
        <w:tc>
          <w:tcPr>
            <w:tcW w:w="156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712162" w:rsidRPr="00EA2275" w:rsidRDefault="00712162" w:rsidP="00B97F5F">
            <w:pPr>
              <w:spacing w:before="80" w:after="80" w:line="200" w:lineRule="exact"/>
              <w:ind w:right="113"/>
              <w:rPr>
                <w:i/>
                <w:sz w:val="16"/>
              </w:rPr>
            </w:pPr>
            <w:r w:rsidRPr="00EA2275">
              <w:rPr>
                <w:i/>
                <w:sz w:val="16"/>
              </w:rPr>
              <w:t>Other (please explain)</w:t>
            </w:r>
          </w:p>
        </w:tc>
      </w:tr>
      <w:tr w:rsidR="00712162" w:rsidRPr="00EA2275" w:rsidTr="00B97F5F">
        <w:trPr>
          <w:jc w:val="center"/>
        </w:trPr>
        <w:tc>
          <w:tcPr>
            <w:tcW w:w="1560" w:type="dxa"/>
            <w:tcBorders>
              <w:top w:val="single" w:sz="12" w:space="0" w:color="auto"/>
            </w:tcBorders>
            <w:shd w:val="clear" w:color="auto" w:fill="auto"/>
          </w:tcPr>
          <w:p w:rsidR="00712162" w:rsidRPr="00EA2275" w:rsidRDefault="00712162" w:rsidP="00B97F5F">
            <w:pPr>
              <w:spacing w:before="40" w:after="120"/>
              <w:ind w:right="113"/>
            </w:pPr>
            <w:r w:rsidRPr="00EA2275">
              <w:t>Project 1….</w:t>
            </w: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851"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1276" w:type="dxa"/>
            <w:tcBorders>
              <w:top w:val="single" w:sz="12" w:space="0" w:color="auto"/>
            </w:tcBorders>
            <w:shd w:val="clear" w:color="auto" w:fill="auto"/>
          </w:tcPr>
          <w:p w:rsidR="00712162" w:rsidRPr="00EA2275" w:rsidRDefault="00712162" w:rsidP="00B97F5F">
            <w:pPr>
              <w:spacing w:before="40" w:after="120"/>
              <w:ind w:right="113"/>
            </w:pPr>
          </w:p>
        </w:tc>
        <w:tc>
          <w:tcPr>
            <w:tcW w:w="709" w:type="dxa"/>
            <w:tcBorders>
              <w:top w:val="single" w:sz="12" w:space="0" w:color="auto"/>
            </w:tcBorders>
            <w:shd w:val="clear" w:color="auto" w:fill="auto"/>
          </w:tcPr>
          <w:p w:rsidR="00712162" w:rsidRPr="00EA2275" w:rsidRDefault="00712162" w:rsidP="00B97F5F">
            <w:pPr>
              <w:spacing w:before="40" w:after="120"/>
              <w:ind w:right="113"/>
            </w:pPr>
          </w:p>
        </w:tc>
        <w:tc>
          <w:tcPr>
            <w:tcW w:w="992" w:type="dxa"/>
            <w:tcBorders>
              <w:top w:val="single" w:sz="12" w:space="0" w:color="auto"/>
            </w:tcBorders>
            <w:shd w:val="clear" w:color="auto" w:fill="auto"/>
          </w:tcPr>
          <w:p w:rsidR="00712162" w:rsidRPr="00EA2275" w:rsidRDefault="00712162" w:rsidP="00B97F5F">
            <w:pPr>
              <w:spacing w:before="40" w:after="120"/>
              <w:ind w:right="113"/>
            </w:pPr>
          </w:p>
        </w:tc>
        <w:tc>
          <w:tcPr>
            <w:tcW w:w="850" w:type="dxa"/>
            <w:tcBorders>
              <w:top w:val="single" w:sz="12" w:space="0" w:color="auto"/>
            </w:tcBorders>
            <w:shd w:val="clear" w:color="auto" w:fill="auto"/>
          </w:tcPr>
          <w:p w:rsidR="00712162" w:rsidRPr="00EA2275" w:rsidRDefault="00712162" w:rsidP="00B97F5F">
            <w:pPr>
              <w:spacing w:before="40" w:after="120"/>
              <w:ind w:right="113"/>
            </w:pPr>
          </w:p>
        </w:tc>
        <w:tc>
          <w:tcPr>
            <w:tcW w:w="737" w:type="dxa"/>
            <w:tcBorders>
              <w:top w:val="single" w:sz="12" w:space="0" w:color="auto"/>
            </w:tcBorders>
            <w:shd w:val="clear" w:color="auto" w:fill="auto"/>
          </w:tcPr>
          <w:p w:rsidR="00712162" w:rsidRPr="00EA2275" w:rsidRDefault="00712162" w:rsidP="00B97F5F">
            <w:pPr>
              <w:spacing w:before="40" w:after="120"/>
              <w:ind w:right="113"/>
            </w:pPr>
          </w:p>
        </w:tc>
        <w:tc>
          <w:tcPr>
            <w:tcW w:w="964" w:type="dxa"/>
            <w:tcBorders>
              <w:top w:val="single" w:sz="12" w:space="0" w:color="auto"/>
            </w:tcBorders>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shd w:val="clear" w:color="auto" w:fill="auto"/>
          </w:tcPr>
          <w:p w:rsidR="00712162" w:rsidRPr="00EA2275" w:rsidRDefault="00712162" w:rsidP="00B97F5F">
            <w:pPr>
              <w:spacing w:before="40" w:after="120"/>
              <w:ind w:right="113"/>
            </w:pPr>
            <w:r w:rsidRPr="00EA2275">
              <w:t>Project 2…</w:t>
            </w:r>
          </w:p>
        </w:tc>
        <w:tc>
          <w:tcPr>
            <w:tcW w:w="850" w:type="dxa"/>
            <w:shd w:val="clear" w:color="auto" w:fill="auto"/>
          </w:tcPr>
          <w:p w:rsidR="00712162" w:rsidRPr="00EA2275" w:rsidRDefault="00712162" w:rsidP="00B97F5F">
            <w:pPr>
              <w:spacing w:before="40" w:after="120"/>
              <w:ind w:right="113"/>
            </w:pPr>
          </w:p>
        </w:tc>
        <w:tc>
          <w:tcPr>
            <w:tcW w:w="851"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1276" w:type="dxa"/>
            <w:shd w:val="clear" w:color="auto" w:fill="auto"/>
          </w:tcPr>
          <w:p w:rsidR="00712162" w:rsidRPr="00EA2275" w:rsidRDefault="00712162" w:rsidP="00B97F5F">
            <w:pPr>
              <w:spacing w:before="40" w:after="120"/>
              <w:ind w:right="113"/>
            </w:pPr>
          </w:p>
        </w:tc>
        <w:tc>
          <w:tcPr>
            <w:tcW w:w="709" w:type="dxa"/>
            <w:shd w:val="clear" w:color="auto" w:fill="auto"/>
          </w:tcPr>
          <w:p w:rsidR="00712162" w:rsidRPr="00EA2275" w:rsidRDefault="00712162" w:rsidP="00B97F5F">
            <w:pPr>
              <w:spacing w:before="40" w:after="120"/>
              <w:ind w:right="113"/>
            </w:pPr>
          </w:p>
        </w:tc>
        <w:tc>
          <w:tcPr>
            <w:tcW w:w="992" w:type="dxa"/>
            <w:shd w:val="clear" w:color="auto" w:fill="auto"/>
          </w:tcPr>
          <w:p w:rsidR="00712162" w:rsidRPr="00EA2275" w:rsidRDefault="00712162" w:rsidP="00B97F5F">
            <w:pPr>
              <w:spacing w:before="40" w:after="120"/>
              <w:ind w:right="113"/>
            </w:pPr>
          </w:p>
        </w:tc>
        <w:tc>
          <w:tcPr>
            <w:tcW w:w="850" w:type="dxa"/>
            <w:shd w:val="clear" w:color="auto" w:fill="auto"/>
          </w:tcPr>
          <w:p w:rsidR="00712162" w:rsidRPr="00EA2275" w:rsidRDefault="00712162" w:rsidP="00B97F5F">
            <w:pPr>
              <w:spacing w:before="40" w:after="120"/>
              <w:ind w:right="113"/>
            </w:pPr>
          </w:p>
        </w:tc>
        <w:tc>
          <w:tcPr>
            <w:tcW w:w="737" w:type="dxa"/>
            <w:shd w:val="clear" w:color="auto" w:fill="auto"/>
          </w:tcPr>
          <w:p w:rsidR="00712162" w:rsidRPr="00EA2275" w:rsidRDefault="00712162" w:rsidP="00B97F5F">
            <w:pPr>
              <w:spacing w:before="40" w:after="120"/>
              <w:ind w:right="113"/>
            </w:pPr>
          </w:p>
        </w:tc>
        <w:tc>
          <w:tcPr>
            <w:tcW w:w="964" w:type="dxa"/>
            <w:shd w:val="clear" w:color="auto" w:fill="auto"/>
          </w:tcPr>
          <w:p w:rsidR="00712162" w:rsidRPr="00EA2275" w:rsidRDefault="00712162" w:rsidP="00B97F5F">
            <w:pPr>
              <w:spacing w:before="40" w:after="120"/>
              <w:ind w:right="113"/>
            </w:pPr>
          </w:p>
        </w:tc>
      </w:tr>
      <w:tr w:rsidR="00712162" w:rsidRPr="00EA2275" w:rsidTr="00B97F5F">
        <w:trPr>
          <w:jc w:val="center"/>
        </w:trPr>
        <w:tc>
          <w:tcPr>
            <w:tcW w:w="1560" w:type="dxa"/>
            <w:tcBorders>
              <w:bottom w:val="single" w:sz="12" w:space="0" w:color="auto"/>
            </w:tcBorders>
            <w:shd w:val="clear" w:color="auto" w:fill="auto"/>
          </w:tcPr>
          <w:p w:rsidR="00712162" w:rsidRPr="00EA2275" w:rsidRDefault="00712162" w:rsidP="00B97F5F">
            <w:pPr>
              <w:spacing w:before="40" w:after="120"/>
              <w:ind w:right="113"/>
            </w:pPr>
            <w:r w:rsidRPr="00EA2275">
              <w:t>Project…etc</w:t>
            </w:r>
            <w:r>
              <w:t>.</w:t>
            </w: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851"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1276" w:type="dxa"/>
            <w:tcBorders>
              <w:bottom w:val="single" w:sz="12" w:space="0" w:color="auto"/>
            </w:tcBorders>
            <w:shd w:val="clear" w:color="auto" w:fill="auto"/>
          </w:tcPr>
          <w:p w:rsidR="00712162" w:rsidRPr="00EA2275" w:rsidRDefault="00712162" w:rsidP="00B97F5F">
            <w:pPr>
              <w:spacing w:before="40" w:after="120"/>
              <w:ind w:right="113"/>
            </w:pPr>
          </w:p>
        </w:tc>
        <w:tc>
          <w:tcPr>
            <w:tcW w:w="709" w:type="dxa"/>
            <w:tcBorders>
              <w:bottom w:val="single" w:sz="12" w:space="0" w:color="auto"/>
            </w:tcBorders>
            <w:shd w:val="clear" w:color="auto" w:fill="auto"/>
          </w:tcPr>
          <w:p w:rsidR="00712162" w:rsidRPr="00EA2275" w:rsidRDefault="00712162" w:rsidP="00B97F5F">
            <w:pPr>
              <w:spacing w:before="40" w:after="120"/>
              <w:ind w:right="113"/>
            </w:pPr>
          </w:p>
        </w:tc>
        <w:tc>
          <w:tcPr>
            <w:tcW w:w="992" w:type="dxa"/>
            <w:tcBorders>
              <w:bottom w:val="single" w:sz="12" w:space="0" w:color="auto"/>
            </w:tcBorders>
            <w:shd w:val="clear" w:color="auto" w:fill="auto"/>
          </w:tcPr>
          <w:p w:rsidR="00712162" w:rsidRPr="00EA2275" w:rsidRDefault="00712162" w:rsidP="00B97F5F">
            <w:pPr>
              <w:spacing w:before="40" w:after="120"/>
              <w:ind w:right="113"/>
            </w:pPr>
          </w:p>
        </w:tc>
        <w:tc>
          <w:tcPr>
            <w:tcW w:w="850" w:type="dxa"/>
            <w:tcBorders>
              <w:bottom w:val="single" w:sz="12" w:space="0" w:color="auto"/>
            </w:tcBorders>
            <w:shd w:val="clear" w:color="auto" w:fill="auto"/>
          </w:tcPr>
          <w:p w:rsidR="00712162" w:rsidRPr="00EA2275" w:rsidRDefault="00712162" w:rsidP="00B97F5F">
            <w:pPr>
              <w:spacing w:before="40" w:after="120"/>
              <w:ind w:right="113"/>
            </w:pPr>
          </w:p>
        </w:tc>
        <w:tc>
          <w:tcPr>
            <w:tcW w:w="737" w:type="dxa"/>
            <w:tcBorders>
              <w:bottom w:val="single" w:sz="12" w:space="0" w:color="auto"/>
            </w:tcBorders>
            <w:shd w:val="clear" w:color="auto" w:fill="auto"/>
          </w:tcPr>
          <w:p w:rsidR="00712162" w:rsidRPr="00EA2275" w:rsidRDefault="00712162" w:rsidP="00B97F5F">
            <w:pPr>
              <w:spacing w:before="40" w:after="120"/>
              <w:ind w:right="113"/>
            </w:pPr>
          </w:p>
        </w:tc>
        <w:tc>
          <w:tcPr>
            <w:tcW w:w="964" w:type="dxa"/>
            <w:tcBorders>
              <w:bottom w:val="single" w:sz="12" w:space="0" w:color="auto"/>
            </w:tcBorders>
            <w:shd w:val="clear" w:color="auto" w:fill="auto"/>
          </w:tcPr>
          <w:p w:rsidR="00712162" w:rsidRPr="00EA2275" w:rsidRDefault="00712162" w:rsidP="00B97F5F">
            <w:pPr>
              <w:spacing w:before="40" w:after="120"/>
              <w:ind w:right="113"/>
            </w:pPr>
          </w:p>
        </w:tc>
      </w:tr>
    </w:tbl>
    <w:p w:rsidR="00712162" w:rsidRPr="000A2B10" w:rsidRDefault="00712162" w:rsidP="00712162">
      <w:pPr>
        <w:pStyle w:val="SingleTxtG"/>
        <w:spacing w:before="120"/>
      </w:pPr>
      <w:r w:rsidRPr="000A2B10">
        <w:t>12.</w:t>
      </w:r>
      <w:r w:rsidRPr="000A2B10">
        <w:tab/>
        <w:t>Question 3. Please describe your country’s long term (for the next five to ten years) investment plans for each inland transport mode. Please provide short description of each future project, its budget and source of funding including the secured and non-secured ones.</w:t>
      </w:r>
    </w:p>
    <w:p w:rsidR="00712162" w:rsidRDefault="00712162" w:rsidP="00712162">
      <w:pPr>
        <w:pStyle w:val="SingleTxtG"/>
      </w:pPr>
      <w:r>
        <w:t>13.</w:t>
      </w:r>
      <w:r>
        <w:tab/>
        <w:t xml:space="preserve">Question 4. Please provide information regarding spending on transport infrastructure investments and maintenance in your country for the period 2000–2013. Please follow the tables below. </w:t>
      </w:r>
    </w:p>
    <w:p w:rsidR="00712162" w:rsidRDefault="00712162" w:rsidP="00712162">
      <w:pPr>
        <w:pStyle w:val="H23G"/>
      </w:pPr>
      <w:r>
        <w:tab/>
      </w:r>
      <w:r>
        <w:tab/>
      </w:r>
      <w:r w:rsidRPr="00173F71">
        <w:t xml:space="preserve">New Investments </w:t>
      </w:r>
      <w:r>
        <w:t xml:space="preserve">in transport infrastructure </w:t>
      </w:r>
      <w:r w:rsidRPr="00173F71">
        <w:t>(total</w:t>
      </w:r>
      <w:r>
        <w:t xml:space="preserve"> in million euros)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Road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Pr="000A2B10" w:rsidRDefault="00712162" w:rsidP="00712162">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Rail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Default="00712162" w:rsidP="00712162">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Inland Waterways</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Pr="000A2B10" w:rsidRDefault="00712162" w:rsidP="00712162">
      <w:pPr>
        <w:pStyle w:val="H23G"/>
      </w:pPr>
      <w:r>
        <w:lastRenderedPageBreak/>
        <w:tab/>
      </w:r>
      <w:r>
        <w:tab/>
      </w:r>
      <w:r w:rsidRPr="000A2B10">
        <w:t xml:space="preserve">Upgrading transport infrastructure </w:t>
      </w:r>
      <w:r>
        <w:t>(total in million euros)</w:t>
      </w:r>
      <w:r w:rsidRPr="000A2B10">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Road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Pr="000A2B10" w:rsidRDefault="00712162" w:rsidP="00712162">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Rail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Default="00712162" w:rsidP="00712162">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Inland Waterways</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Default="00712162" w:rsidP="00712162">
      <w:pPr>
        <w:pStyle w:val="H23G"/>
      </w:pPr>
      <w:r>
        <w:tab/>
      </w:r>
      <w:r>
        <w:tab/>
        <w:t>Maintaining</w:t>
      </w:r>
      <w:r w:rsidRPr="00173F71">
        <w:t xml:space="preserve"> </w:t>
      </w:r>
      <w:r>
        <w:t xml:space="preserve">transport infrastructure </w:t>
      </w:r>
      <w:r w:rsidRPr="00173F71">
        <w:t>(total in million euro</w:t>
      </w:r>
      <w:r>
        <w: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Road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Pr="000A2B10" w:rsidRDefault="00712162" w:rsidP="00712162">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Rail Transport</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Default="00712162" w:rsidP="00712162">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712162" w:rsidRPr="000A2B10" w:rsidTr="00B97F5F">
        <w:tc>
          <w:tcPr>
            <w:tcW w:w="7370" w:type="dxa"/>
            <w:gridSpan w:val="14"/>
            <w:tcBorders>
              <w:top w:val="single" w:sz="4" w:space="0" w:color="auto"/>
              <w:bottom w:val="single" w:sz="4" w:space="0" w:color="auto"/>
            </w:tcBorders>
            <w:shd w:val="clear" w:color="auto" w:fill="auto"/>
            <w:vAlign w:val="bottom"/>
          </w:tcPr>
          <w:p w:rsidR="00712162" w:rsidRPr="000A2B10" w:rsidRDefault="00712162" w:rsidP="00B97F5F">
            <w:pPr>
              <w:spacing w:before="80" w:after="80" w:line="200" w:lineRule="exact"/>
              <w:jc w:val="center"/>
              <w:rPr>
                <w:i/>
                <w:sz w:val="16"/>
              </w:rPr>
            </w:pPr>
            <w:r w:rsidRPr="000A2B10">
              <w:rPr>
                <w:i/>
                <w:sz w:val="16"/>
              </w:rPr>
              <w:t>Inland Waterways</w:t>
            </w:r>
          </w:p>
        </w:tc>
      </w:tr>
      <w:tr w:rsidR="00712162" w:rsidRPr="000A2B10" w:rsidTr="00B97F5F">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712162" w:rsidRPr="000A2B10" w:rsidRDefault="00712162" w:rsidP="00B97F5F">
            <w:pPr>
              <w:spacing w:before="80" w:after="80" w:line="200" w:lineRule="exact"/>
              <w:rPr>
                <w:i/>
                <w:sz w:val="16"/>
              </w:rPr>
            </w:pPr>
            <w:r w:rsidRPr="000A2B10">
              <w:rPr>
                <w:i/>
                <w:sz w:val="16"/>
              </w:rPr>
              <w:t>2013</w:t>
            </w:r>
          </w:p>
        </w:tc>
      </w:tr>
      <w:tr w:rsidR="00712162" w:rsidRPr="000A2B10" w:rsidTr="00B97F5F">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7"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c>
          <w:tcPr>
            <w:tcW w:w="526" w:type="dxa"/>
            <w:tcBorders>
              <w:bottom w:val="single" w:sz="12" w:space="0" w:color="auto"/>
            </w:tcBorders>
            <w:shd w:val="clear" w:color="auto" w:fill="auto"/>
            <w:vAlign w:val="bottom"/>
          </w:tcPr>
          <w:p w:rsidR="00712162" w:rsidRPr="000A2B10" w:rsidRDefault="00712162" w:rsidP="00B97F5F">
            <w:pPr>
              <w:spacing w:before="40" w:after="40" w:line="220" w:lineRule="exact"/>
              <w:jc w:val="right"/>
              <w:rPr>
                <w:sz w:val="18"/>
              </w:rPr>
            </w:pPr>
          </w:p>
        </w:tc>
      </w:tr>
    </w:tbl>
    <w:p w:rsidR="00712162" w:rsidRPr="00E925E2" w:rsidRDefault="00712162" w:rsidP="00712162">
      <w:pPr>
        <w:spacing w:before="120"/>
        <w:ind w:left="1134" w:right="1134"/>
        <w:jc w:val="center"/>
        <w:rPr>
          <w:u w:val="single"/>
        </w:rPr>
      </w:pPr>
      <w:r>
        <w:rPr>
          <w:u w:val="single"/>
        </w:rPr>
        <w:tab/>
      </w:r>
      <w:r>
        <w:rPr>
          <w:u w:val="single"/>
        </w:rPr>
        <w:tab/>
      </w:r>
      <w:r>
        <w:rPr>
          <w:u w:val="single"/>
        </w:rPr>
        <w:tab/>
      </w:r>
    </w:p>
    <w:p w:rsidR="00DD22AF" w:rsidRDefault="00712162"/>
    <w:sectPr w:rsidR="00DD22AF" w:rsidSect="00685B3C">
      <w:headerReference w:type="even"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62" w:rsidRDefault="00712162" w:rsidP="00712162">
      <w:pPr>
        <w:spacing w:line="240" w:lineRule="auto"/>
      </w:pPr>
      <w:r>
        <w:separator/>
      </w:r>
    </w:p>
  </w:endnote>
  <w:endnote w:type="continuationSeparator" w:id="0">
    <w:p w:rsidR="00712162" w:rsidRDefault="00712162" w:rsidP="00712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12162"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Pr>
        <w:b/>
        <w:noProof/>
        <w:sz w:val="18"/>
      </w:rPr>
      <w:t>6</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12162"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Pr>
        <w:b/>
        <w:noProof/>
        <w:sz w:val="18"/>
      </w:rPr>
      <w:t>2</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12162">
    <w:pPr>
      <w:pStyle w:val="Footer"/>
      <w:rPr>
        <w:sz w:val="20"/>
      </w:rPr>
    </w:pPr>
    <w:r>
      <w:rPr>
        <w:noProof/>
        <w:lang w:eastAsia="en-GB"/>
      </w:rPr>
      <w:drawing>
        <wp:anchor distT="0" distB="0" distL="114300" distR="114300" simplePos="0" relativeHeight="251659264" behindDoc="0" locked="1" layoutInCell="1" allowOverlap="1" wp14:anchorId="221562AE" wp14:editId="29776AB1">
          <wp:simplePos x="0" y="0"/>
          <wp:positionH relativeFrom="column">
            <wp:posOffset>5148580</wp:posOffset>
          </wp:positionH>
          <wp:positionV relativeFrom="paragraph">
            <wp:posOffset>-114935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62" w:rsidRDefault="00712162" w:rsidP="00712162">
      <w:pPr>
        <w:spacing w:line="240" w:lineRule="auto"/>
      </w:pPr>
      <w:r>
        <w:separator/>
      </w:r>
    </w:p>
  </w:footnote>
  <w:footnote w:type="continuationSeparator" w:id="0">
    <w:p w:rsidR="00712162" w:rsidRDefault="00712162" w:rsidP="00712162">
      <w:pPr>
        <w:spacing w:line="240" w:lineRule="auto"/>
      </w:pPr>
      <w:r>
        <w:continuationSeparator/>
      </w:r>
    </w:p>
  </w:footnote>
  <w:footnote w:id="1">
    <w:p w:rsidR="00712162" w:rsidRPr="008F1907" w:rsidRDefault="00712162" w:rsidP="00712162">
      <w:pPr>
        <w:pStyle w:val="FootnoteText"/>
        <w:rPr>
          <w:lang w:val="en-US"/>
        </w:rPr>
      </w:pPr>
      <w:r>
        <w:rPr>
          <w:rStyle w:val="FootnoteReference"/>
        </w:rPr>
        <w:tab/>
      </w:r>
      <w:r w:rsidRPr="008F1907">
        <w:rPr>
          <w:rStyle w:val="FootnoteReference"/>
          <w:sz w:val="20"/>
        </w:rPr>
        <w:t>*</w:t>
      </w:r>
      <w:r>
        <w:rPr>
          <w:rStyle w:val="FootnoteReference"/>
          <w:sz w:val="20"/>
        </w:rPr>
        <w:tab/>
      </w:r>
      <w:r>
        <w:rPr>
          <w:lang w:val="en-US"/>
        </w:rPr>
        <w:t>The present document was not edited before being sent to the United Nations translation services.</w:t>
      </w:r>
    </w:p>
  </w:footnote>
  <w:footnote w:id="2">
    <w:p w:rsidR="00712162" w:rsidRPr="001E57FE" w:rsidRDefault="00712162" w:rsidP="00712162">
      <w:pPr>
        <w:pStyle w:val="FootnoteText"/>
        <w:widowControl w:val="0"/>
        <w:tabs>
          <w:tab w:val="clear" w:pos="1021"/>
          <w:tab w:val="right" w:pos="1020"/>
        </w:tabs>
        <w:rPr>
          <w:lang w:val="en-US"/>
        </w:rPr>
      </w:pPr>
      <w:r>
        <w:tab/>
      </w:r>
      <w:r>
        <w:rPr>
          <w:rStyle w:val="FootnoteReference"/>
        </w:rPr>
        <w:footnoteRef/>
      </w:r>
      <w:r>
        <w:tab/>
      </w:r>
      <w:r w:rsidRPr="001E57FE">
        <w:t xml:space="preserve">Adapted by </w:t>
      </w:r>
      <w:r>
        <w:t>t</w:t>
      </w:r>
      <w:r w:rsidRPr="001E57FE">
        <w:t>he System of National Accounts 2008 (SNA 2008)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12162">
    <w:pPr>
      <w:pStyle w:val="Header"/>
    </w:pPr>
    <w:r>
      <w:t>ECE/TRANS/WP.5/201</w:t>
    </w:r>
    <w:r>
      <w:t>5</w:t>
    </w:r>
    <w:r>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62"/>
    <w:rsid w:val="003640CC"/>
    <w:rsid w:val="005F022B"/>
    <w:rsid w:val="00712162"/>
    <w:rsid w:val="00742530"/>
    <w:rsid w:val="00D82320"/>
    <w:rsid w:val="00E4698A"/>
    <w:rsid w:val="00EC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62"/>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12162"/>
    <w:pPr>
      <w:spacing w:after="120"/>
      <w:ind w:left="1134" w:right="1134"/>
      <w:jc w:val="both"/>
    </w:pPr>
  </w:style>
  <w:style w:type="paragraph" w:customStyle="1" w:styleId="HChG">
    <w:name w:val="_ H _Ch_G"/>
    <w:basedOn w:val="Normal"/>
    <w:next w:val="Normal"/>
    <w:rsid w:val="00712162"/>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712162"/>
    <w:rPr>
      <w:rFonts w:ascii="Times New Roman" w:hAnsi="Times New Roman"/>
      <w:sz w:val="18"/>
      <w:vertAlign w:val="superscript"/>
    </w:rPr>
  </w:style>
  <w:style w:type="paragraph" w:styleId="FootnoteText">
    <w:name w:val="footnote text"/>
    <w:aliases w:val="5_G"/>
    <w:basedOn w:val="Normal"/>
    <w:link w:val="FootnoteTextChar"/>
    <w:rsid w:val="00712162"/>
    <w:pPr>
      <w:tabs>
        <w:tab w:val="right" w:pos="1021"/>
      </w:tabs>
      <w:spacing w:line="220" w:lineRule="exact"/>
      <w:ind w:left="1134" w:right="1134" w:hanging="1134"/>
    </w:pPr>
    <w:rPr>
      <w:sz w:val="18"/>
    </w:rPr>
  </w:style>
  <w:style w:type="character" w:customStyle="1" w:styleId="FootnoteTextChar">
    <w:name w:val="Footnote Text Char"/>
    <w:basedOn w:val="DefaultParagraphFont"/>
    <w:link w:val="FootnoteText"/>
    <w:rsid w:val="00712162"/>
    <w:rPr>
      <w:rFonts w:ascii="Times New Roman" w:eastAsia="Times New Roman" w:hAnsi="Times New Roman" w:cs="Times New Roman"/>
      <w:sz w:val="18"/>
      <w:szCs w:val="20"/>
    </w:rPr>
  </w:style>
  <w:style w:type="paragraph" w:customStyle="1" w:styleId="Bullet2G">
    <w:name w:val="_Bullet 2_G"/>
    <w:basedOn w:val="Normal"/>
    <w:rsid w:val="00712162"/>
    <w:pPr>
      <w:numPr>
        <w:numId w:val="1"/>
      </w:numPr>
      <w:spacing w:after="120"/>
      <w:ind w:right="1134"/>
      <w:jc w:val="both"/>
    </w:pPr>
  </w:style>
  <w:style w:type="paragraph" w:customStyle="1" w:styleId="H1G">
    <w:name w:val="_ H_1_G"/>
    <w:basedOn w:val="Normal"/>
    <w:next w:val="Normal"/>
    <w:rsid w:val="007121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2162"/>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712162"/>
    <w:pPr>
      <w:spacing w:line="240" w:lineRule="auto"/>
    </w:pPr>
    <w:rPr>
      <w:sz w:val="16"/>
    </w:rPr>
  </w:style>
  <w:style w:type="character" w:customStyle="1" w:styleId="FooterChar">
    <w:name w:val="Footer Char"/>
    <w:basedOn w:val="DefaultParagraphFont"/>
    <w:link w:val="Footer"/>
    <w:rsid w:val="00712162"/>
    <w:rPr>
      <w:rFonts w:ascii="Times New Roman" w:eastAsia="Times New Roman" w:hAnsi="Times New Roman" w:cs="Times New Roman"/>
      <w:sz w:val="16"/>
      <w:szCs w:val="20"/>
    </w:rPr>
  </w:style>
  <w:style w:type="paragraph" w:styleId="Header">
    <w:name w:val="header"/>
    <w:aliases w:val="6_G"/>
    <w:basedOn w:val="Normal"/>
    <w:link w:val="HeaderChar"/>
    <w:rsid w:val="00712162"/>
    <w:pPr>
      <w:pBdr>
        <w:bottom w:val="single" w:sz="4" w:space="4" w:color="auto"/>
      </w:pBdr>
      <w:spacing w:line="240" w:lineRule="auto"/>
    </w:pPr>
    <w:rPr>
      <w:b/>
      <w:sz w:val="18"/>
    </w:rPr>
  </w:style>
  <w:style w:type="character" w:customStyle="1" w:styleId="HeaderChar">
    <w:name w:val="Header Char"/>
    <w:basedOn w:val="DefaultParagraphFont"/>
    <w:link w:val="Header"/>
    <w:rsid w:val="00712162"/>
    <w:rPr>
      <w:rFonts w:ascii="Times New Roman" w:eastAsia="Times New Roman" w:hAnsi="Times New Roman" w:cs="Times New Roman"/>
      <w:b/>
      <w:sz w:val="18"/>
      <w:szCs w:val="20"/>
    </w:rPr>
  </w:style>
  <w:style w:type="table" w:styleId="TableGrid">
    <w:name w:val="Table Grid"/>
    <w:basedOn w:val="TableNormal"/>
    <w:rsid w:val="0071216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1216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62"/>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12162"/>
    <w:pPr>
      <w:spacing w:after="120"/>
      <w:ind w:left="1134" w:right="1134"/>
      <w:jc w:val="both"/>
    </w:pPr>
  </w:style>
  <w:style w:type="paragraph" w:customStyle="1" w:styleId="HChG">
    <w:name w:val="_ H _Ch_G"/>
    <w:basedOn w:val="Normal"/>
    <w:next w:val="Normal"/>
    <w:rsid w:val="00712162"/>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712162"/>
    <w:rPr>
      <w:rFonts w:ascii="Times New Roman" w:hAnsi="Times New Roman"/>
      <w:sz w:val="18"/>
      <w:vertAlign w:val="superscript"/>
    </w:rPr>
  </w:style>
  <w:style w:type="paragraph" w:styleId="FootnoteText">
    <w:name w:val="footnote text"/>
    <w:aliases w:val="5_G"/>
    <w:basedOn w:val="Normal"/>
    <w:link w:val="FootnoteTextChar"/>
    <w:rsid w:val="00712162"/>
    <w:pPr>
      <w:tabs>
        <w:tab w:val="right" w:pos="1021"/>
      </w:tabs>
      <w:spacing w:line="220" w:lineRule="exact"/>
      <w:ind w:left="1134" w:right="1134" w:hanging="1134"/>
    </w:pPr>
    <w:rPr>
      <w:sz w:val="18"/>
    </w:rPr>
  </w:style>
  <w:style w:type="character" w:customStyle="1" w:styleId="FootnoteTextChar">
    <w:name w:val="Footnote Text Char"/>
    <w:basedOn w:val="DefaultParagraphFont"/>
    <w:link w:val="FootnoteText"/>
    <w:rsid w:val="00712162"/>
    <w:rPr>
      <w:rFonts w:ascii="Times New Roman" w:eastAsia="Times New Roman" w:hAnsi="Times New Roman" w:cs="Times New Roman"/>
      <w:sz w:val="18"/>
      <w:szCs w:val="20"/>
    </w:rPr>
  </w:style>
  <w:style w:type="paragraph" w:customStyle="1" w:styleId="Bullet2G">
    <w:name w:val="_Bullet 2_G"/>
    <w:basedOn w:val="Normal"/>
    <w:rsid w:val="00712162"/>
    <w:pPr>
      <w:numPr>
        <w:numId w:val="1"/>
      </w:numPr>
      <w:spacing w:after="120"/>
      <w:ind w:right="1134"/>
      <w:jc w:val="both"/>
    </w:pPr>
  </w:style>
  <w:style w:type="paragraph" w:customStyle="1" w:styleId="H1G">
    <w:name w:val="_ H_1_G"/>
    <w:basedOn w:val="Normal"/>
    <w:next w:val="Normal"/>
    <w:rsid w:val="007121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2162"/>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712162"/>
    <w:pPr>
      <w:spacing w:line="240" w:lineRule="auto"/>
    </w:pPr>
    <w:rPr>
      <w:sz w:val="16"/>
    </w:rPr>
  </w:style>
  <w:style w:type="character" w:customStyle="1" w:styleId="FooterChar">
    <w:name w:val="Footer Char"/>
    <w:basedOn w:val="DefaultParagraphFont"/>
    <w:link w:val="Footer"/>
    <w:rsid w:val="00712162"/>
    <w:rPr>
      <w:rFonts w:ascii="Times New Roman" w:eastAsia="Times New Roman" w:hAnsi="Times New Roman" w:cs="Times New Roman"/>
      <w:sz w:val="16"/>
      <w:szCs w:val="20"/>
    </w:rPr>
  </w:style>
  <w:style w:type="paragraph" w:styleId="Header">
    <w:name w:val="header"/>
    <w:aliases w:val="6_G"/>
    <w:basedOn w:val="Normal"/>
    <w:link w:val="HeaderChar"/>
    <w:rsid w:val="00712162"/>
    <w:pPr>
      <w:pBdr>
        <w:bottom w:val="single" w:sz="4" w:space="4" w:color="auto"/>
      </w:pBdr>
      <w:spacing w:line="240" w:lineRule="auto"/>
    </w:pPr>
    <w:rPr>
      <w:b/>
      <w:sz w:val="18"/>
    </w:rPr>
  </w:style>
  <w:style w:type="character" w:customStyle="1" w:styleId="HeaderChar">
    <w:name w:val="Header Char"/>
    <w:basedOn w:val="DefaultParagraphFont"/>
    <w:link w:val="Header"/>
    <w:rsid w:val="00712162"/>
    <w:rPr>
      <w:rFonts w:ascii="Times New Roman" w:eastAsia="Times New Roman" w:hAnsi="Times New Roman" w:cs="Times New Roman"/>
      <w:b/>
      <w:sz w:val="18"/>
      <w:szCs w:val="20"/>
    </w:rPr>
  </w:style>
  <w:style w:type="table" w:styleId="TableGrid">
    <w:name w:val="Table Grid"/>
    <w:basedOn w:val="TableNormal"/>
    <w:rsid w:val="0071216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121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Alexopoulos</dc:creator>
  <cp:lastModifiedBy>Konstantinos Alexopoulos</cp:lastModifiedBy>
  <cp:revision>1</cp:revision>
  <dcterms:created xsi:type="dcterms:W3CDTF">2016-03-29T11:29:00Z</dcterms:created>
  <dcterms:modified xsi:type="dcterms:W3CDTF">2016-03-29T11:31:00Z</dcterms:modified>
</cp:coreProperties>
</file>