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33" w:rsidRDefault="008A4A67">
      <w:pPr>
        <w:spacing w:before="360" w:after="240"/>
        <w:ind w:left="1134" w:right="1134" w:hanging="567"/>
        <w:jc w:val="center"/>
        <w:rPr>
          <w:b/>
          <w:sz w:val="28"/>
        </w:rPr>
      </w:pPr>
      <w:r>
        <w:rPr>
          <w:b/>
          <w:sz w:val="28"/>
        </w:rPr>
        <w:t>A.</w:t>
      </w:r>
      <w:r>
        <w:rPr>
          <w:b/>
          <w:sz w:val="28"/>
        </w:rPr>
        <w:tab/>
      </w:r>
      <w:r w:rsidR="001B4674">
        <w:rPr>
          <w:b/>
          <w:sz w:val="28"/>
        </w:rPr>
        <w:t>Proposal for amendments to UN Regulation No. 107</w:t>
      </w:r>
    </w:p>
    <w:p w:rsidR="00266BFD" w:rsidRPr="00266BFD" w:rsidRDefault="00266BFD" w:rsidP="00266BFD">
      <w:pPr>
        <w:spacing w:before="360" w:after="240"/>
        <w:ind w:left="1134" w:right="1134"/>
        <w:rPr>
          <w:b/>
        </w:rPr>
      </w:pPr>
    </w:p>
    <w:p w:rsidR="00952333" w:rsidRDefault="005313BA">
      <w:pPr>
        <w:tabs>
          <w:tab w:val="left" w:pos="2835"/>
          <w:tab w:val="left" w:pos="8505"/>
        </w:tabs>
        <w:spacing w:before="120" w:after="120" w:line="240" w:lineRule="auto"/>
        <w:ind w:left="2268" w:right="1134" w:hanging="1134"/>
        <w:jc w:val="both"/>
        <w:rPr>
          <w:lang w:eastAsia="ar-SA"/>
        </w:rPr>
      </w:pPr>
      <w:r>
        <w:rPr>
          <w:i/>
          <w:lang w:eastAsia="ar-SA"/>
        </w:rPr>
        <w:t xml:space="preserve">Annex </w:t>
      </w:r>
      <w:proofErr w:type="gramStart"/>
      <w:r>
        <w:rPr>
          <w:i/>
          <w:lang w:eastAsia="ar-SA"/>
        </w:rPr>
        <w:t>3</w:t>
      </w:r>
      <w:proofErr w:type="gramEnd"/>
    </w:p>
    <w:p w:rsidR="00952333" w:rsidRPr="00FC36B2" w:rsidRDefault="001B4674">
      <w:pPr>
        <w:tabs>
          <w:tab w:val="left" w:pos="2835"/>
          <w:tab w:val="left" w:pos="8505"/>
        </w:tabs>
        <w:spacing w:before="120" w:after="120" w:line="240" w:lineRule="auto"/>
        <w:ind w:left="2268" w:right="1134" w:hanging="1134"/>
        <w:jc w:val="both"/>
        <w:rPr>
          <w:lang w:eastAsia="ar-SA"/>
        </w:rPr>
      </w:pPr>
      <w:r w:rsidRPr="00FC36B2">
        <w:rPr>
          <w:i/>
          <w:lang w:eastAsia="ar-SA"/>
        </w:rPr>
        <w:t xml:space="preserve">Insert new paragraphs 7.7.15. </w:t>
      </w:r>
      <w:proofErr w:type="gramStart"/>
      <w:r w:rsidRPr="00FC36B2">
        <w:rPr>
          <w:i/>
          <w:lang w:eastAsia="ar-SA"/>
        </w:rPr>
        <w:t>and</w:t>
      </w:r>
      <w:proofErr w:type="gramEnd"/>
      <w:r w:rsidRPr="00FC36B2">
        <w:rPr>
          <w:i/>
          <w:lang w:eastAsia="ar-SA"/>
        </w:rPr>
        <w:t xml:space="preserve"> 7.7.15.1.</w:t>
      </w:r>
      <w:r w:rsidRPr="00FC36B2">
        <w:rPr>
          <w:lang w:eastAsia="ar-SA"/>
        </w:rPr>
        <w:t>, to read:</w:t>
      </w:r>
    </w:p>
    <w:p w:rsidR="00952333" w:rsidRPr="00FC36B2" w:rsidRDefault="001B4674">
      <w:pPr>
        <w:tabs>
          <w:tab w:val="left" w:pos="2835"/>
          <w:tab w:val="left" w:pos="8505"/>
        </w:tabs>
        <w:spacing w:before="120" w:after="120" w:line="240" w:lineRule="auto"/>
        <w:ind w:left="2268" w:right="1134" w:hanging="1134"/>
        <w:jc w:val="both"/>
        <w:rPr>
          <w:b/>
          <w:lang w:eastAsia="ar-SA"/>
        </w:rPr>
      </w:pPr>
      <w:r w:rsidRPr="00FC36B2">
        <w:rPr>
          <w:b/>
          <w:lang w:eastAsia="ar-SA"/>
        </w:rPr>
        <w:t>"7.7.15.</w:t>
      </w:r>
      <w:r w:rsidRPr="00FC36B2">
        <w:rPr>
          <w:b/>
          <w:lang w:eastAsia="ar-SA"/>
        </w:rPr>
        <w:tab/>
        <w:t>Aud</w:t>
      </w:r>
      <w:bookmarkStart w:id="0" w:name="_GoBack"/>
      <w:bookmarkEnd w:id="0"/>
      <w:r w:rsidRPr="00FC36B2">
        <w:rPr>
          <w:b/>
          <w:lang w:eastAsia="ar-SA"/>
        </w:rPr>
        <w:t>ible information</w:t>
      </w:r>
    </w:p>
    <w:p w:rsidR="00952333" w:rsidRPr="00FC36B2" w:rsidRDefault="001B4674">
      <w:pPr>
        <w:tabs>
          <w:tab w:val="left" w:pos="2835"/>
          <w:tab w:val="left" w:pos="8505"/>
        </w:tabs>
        <w:spacing w:before="120" w:after="120" w:line="240" w:lineRule="auto"/>
        <w:ind w:left="2268" w:right="1134" w:hanging="1134"/>
        <w:jc w:val="both"/>
        <w:rPr>
          <w:b/>
        </w:rPr>
      </w:pPr>
      <w:r w:rsidRPr="00FC36B2">
        <w:rPr>
          <w:b/>
        </w:rPr>
        <w:t>7.7.15.1.</w:t>
      </w:r>
      <w:r w:rsidRPr="00FC36B2">
        <w:rPr>
          <w:b/>
        </w:rPr>
        <w:tab/>
        <w:t xml:space="preserve">A sufficient number of loud speakers </w:t>
      </w:r>
      <w:proofErr w:type="gramStart"/>
      <w:r w:rsidRPr="00FC36B2">
        <w:rPr>
          <w:b/>
        </w:rPr>
        <w:t>shall be distributed</w:t>
      </w:r>
      <w:proofErr w:type="gramEnd"/>
      <w:r w:rsidRPr="00FC36B2">
        <w:rPr>
          <w:b/>
        </w:rPr>
        <w:t xml:space="preserve"> evenly throughout the passenger compartment and in the toilet compartment, if fitted, to enable the announcement of necessary information.</w:t>
      </w:r>
    </w:p>
    <w:p w:rsidR="00952333" w:rsidRPr="00FC36B2" w:rsidRDefault="001B4674">
      <w:pPr>
        <w:tabs>
          <w:tab w:val="left" w:pos="2835"/>
          <w:tab w:val="left" w:pos="8505"/>
        </w:tabs>
        <w:spacing w:before="120" w:after="120" w:line="240" w:lineRule="auto"/>
        <w:ind w:left="2268" w:right="1134" w:hanging="1134"/>
        <w:jc w:val="both"/>
        <w:rPr>
          <w:b/>
        </w:rPr>
      </w:pPr>
      <w:r w:rsidRPr="00FC36B2">
        <w:rPr>
          <w:b/>
        </w:rPr>
        <w:tab/>
      </w:r>
      <w:r w:rsidRPr="00E01A98">
        <w:rPr>
          <w:b/>
          <w:highlight w:val="yellow"/>
        </w:rPr>
        <w:t>The spoken information shall have a minimum Speech Transmission Index for Public Address s</w:t>
      </w:r>
      <w:r w:rsidR="005313BA">
        <w:rPr>
          <w:b/>
          <w:highlight w:val="yellow"/>
        </w:rPr>
        <w:t>ystems (STIPA) at a level of 0.</w:t>
      </w:r>
      <w:r w:rsidRPr="00E01A98">
        <w:rPr>
          <w:b/>
          <w:highlight w:val="yellow"/>
        </w:rPr>
        <w:t xml:space="preserve">45, in accordance with </w:t>
      </w:r>
      <w:proofErr w:type="spellStart"/>
      <w:r w:rsidR="001F4CCA">
        <w:rPr>
          <w:b/>
          <w:highlight w:val="yellow"/>
        </w:rPr>
        <w:t>FprEN</w:t>
      </w:r>
      <w:proofErr w:type="spellEnd"/>
      <w:r w:rsidR="001F4CCA">
        <w:rPr>
          <w:b/>
          <w:highlight w:val="yellow"/>
        </w:rPr>
        <w:t xml:space="preserve"> 16584-2:2015</w:t>
      </w:r>
      <w:r w:rsidR="001F4CCA">
        <w:rPr>
          <w:rStyle w:val="FootnoteReference"/>
          <w:b/>
          <w:highlight w:val="yellow"/>
        </w:rPr>
        <w:footnoteReference w:id="2"/>
      </w:r>
      <w:r w:rsidR="001F4CCA">
        <w:rPr>
          <w:b/>
          <w:highlight w:val="yellow"/>
        </w:rPr>
        <w:t xml:space="preserve">, </w:t>
      </w:r>
      <w:r w:rsidR="00266BFD">
        <w:rPr>
          <w:b/>
          <w:highlight w:val="yellow"/>
        </w:rPr>
        <w:t>paragraph</w:t>
      </w:r>
      <w:r w:rsidR="001F4CCA">
        <w:rPr>
          <w:b/>
          <w:highlight w:val="yellow"/>
        </w:rPr>
        <w:t xml:space="preserve"> </w:t>
      </w:r>
      <w:r w:rsidR="001F4CCA" w:rsidRPr="004A4A07">
        <w:rPr>
          <w:b/>
          <w:highlight w:val="yellow"/>
        </w:rPr>
        <w:t>5.3.5.4</w:t>
      </w:r>
      <w:r w:rsidR="001F4CCA">
        <w:rPr>
          <w:b/>
          <w:highlight w:val="yellow"/>
        </w:rPr>
        <w:t xml:space="preserve"> (</w:t>
      </w:r>
      <w:r w:rsidR="001F4CCA" w:rsidRPr="00601963">
        <w:rPr>
          <w:b/>
          <w:highlight w:val="yellow"/>
        </w:rPr>
        <w:t>Dynamic audible information)</w:t>
      </w:r>
      <w:r w:rsidRPr="00E01A98">
        <w:rPr>
          <w:b/>
          <w:highlight w:val="yellow"/>
        </w:rPr>
        <w:t>.</w:t>
      </w:r>
      <w:r w:rsidR="005313BA" w:rsidRPr="00FC36B2">
        <w:rPr>
          <w:b/>
        </w:rPr>
        <w:t>"</w:t>
      </w:r>
    </w:p>
    <w:p w:rsidR="00952333" w:rsidRDefault="00952333">
      <w:pPr>
        <w:tabs>
          <w:tab w:val="left" w:pos="2835"/>
          <w:tab w:val="left" w:pos="8505"/>
        </w:tabs>
        <w:spacing w:before="120" w:after="120" w:line="240" w:lineRule="auto"/>
        <w:ind w:left="2268" w:right="1134" w:hanging="1134"/>
        <w:jc w:val="both"/>
        <w:rPr>
          <w:lang w:eastAsia="ar-SA"/>
        </w:rPr>
      </w:pPr>
    </w:p>
    <w:p w:rsidR="00952333" w:rsidRPr="00FC36B2" w:rsidRDefault="001B4674">
      <w:pPr>
        <w:tabs>
          <w:tab w:val="left" w:pos="2835"/>
          <w:tab w:val="left" w:pos="8505"/>
        </w:tabs>
        <w:spacing w:before="120" w:after="120" w:line="240" w:lineRule="auto"/>
        <w:ind w:left="2268" w:right="1134" w:hanging="1134"/>
        <w:jc w:val="both"/>
        <w:rPr>
          <w:lang w:eastAsia="ar-SA"/>
        </w:rPr>
      </w:pPr>
      <w:proofErr w:type="gramStart"/>
      <w:r w:rsidRPr="00FC36B2">
        <w:rPr>
          <w:i/>
          <w:lang w:eastAsia="ar-SA"/>
        </w:rPr>
        <w:t>Paragraph 7.11.4.</w:t>
      </w:r>
      <w:proofErr w:type="gramEnd"/>
      <w:r w:rsidRPr="00FC36B2">
        <w:rPr>
          <w:i/>
          <w:lang w:eastAsia="ar-SA"/>
        </w:rPr>
        <w:t>,</w:t>
      </w:r>
      <w:r w:rsidRPr="00FC36B2">
        <w:rPr>
          <w:lang w:eastAsia="ar-SA"/>
        </w:rPr>
        <w:t xml:space="preserve"> </w:t>
      </w:r>
      <w:proofErr w:type="gramStart"/>
      <w:r w:rsidRPr="00FC36B2">
        <w:rPr>
          <w:lang w:eastAsia="ar-SA"/>
        </w:rPr>
        <w:t>amend to read</w:t>
      </w:r>
      <w:proofErr w:type="gramEnd"/>
      <w:r w:rsidRPr="00FC36B2">
        <w:rPr>
          <w:lang w:eastAsia="ar-SA"/>
        </w:rPr>
        <w:t>:</w:t>
      </w:r>
    </w:p>
    <w:p w:rsidR="00952333" w:rsidRPr="00FC36B2" w:rsidRDefault="001B4674">
      <w:pPr>
        <w:tabs>
          <w:tab w:val="left" w:pos="2835"/>
          <w:tab w:val="left" w:pos="8505"/>
        </w:tabs>
        <w:spacing w:before="120" w:after="120" w:line="240" w:lineRule="auto"/>
        <w:ind w:left="2268" w:right="1134" w:hanging="1134"/>
        <w:jc w:val="both"/>
        <w:rPr>
          <w:b/>
          <w:lang w:eastAsia="ar-SA"/>
        </w:rPr>
      </w:pPr>
      <w:r w:rsidRPr="00FC36B2">
        <w:rPr>
          <w:lang w:eastAsia="ar-SA"/>
        </w:rPr>
        <w:t>"7.11.4.</w:t>
      </w:r>
      <w:r w:rsidRPr="00FC36B2">
        <w:rPr>
          <w:lang w:eastAsia="ar-SA"/>
        </w:rPr>
        <w:tab/>
      </w:r>
      <w:r w:rsidRPr="00FC36B2">
        <w:rPr>
          <w:strike/>
          <w:lang w:eastAsia="ar-SA"/>
        </w:rPr>
        <w:t>(Reserved)</w:t>
      </w:r>
      <w:r w:rsidRPr="00FC36B2">
        <w:rPr>
          <w:lang w:eastAsia="ar-SA"/>
        </w:rPr>
        <w:t xml:space="preserve"> </w:t>
      </w:r>
      <w:r w:rsidRPr="00FC36B2">
        <w:rPr>
          <w:b/>
          <w:lang w:eastAsia="ar-SA"/>
        </w:rPr>
        <w:t>Handrails and handholds in toilets."</w:t>
      </w:r>
    </w:p>
    <w:p w:rsidR="00952333" w:rsidRPr="00FC36B2" w:rsidRDefault="001B4674">
      <w:pPr>
        <w:tabs>
          <w:tab w:val="left" w:pos="2835"/>
          <w:tab w:val="left" w:pos="8505"/>
        </w:tabs>
        <w:spacing w:before="120" w:after="120" w:line="240" w:lineRule="auto"/>
        <w:ind w:left="2268" w:right="1134" w:hanging="1134"/>
        <w:jc w:val="both"/>
        <w:rPr>
          <w:lang w:eastAsia="ar-SA"/>
        </w:rPr>
      </w:pPr>
      <w:r w:rsidRPr="00FC36B2">
        <w:rPr>
          <w:i/>
          <w:lang w:eastAsia="ar-SA"/>
        </w:rPr>
        <w:t xml:space="preserve">Insert </w:t>
      </w:r>
      <w:r w:rsidR="005313BA">
        <w:rPr>
          <w:i/>
          <w:lang w:eastAsia="ar-SA"/>
        </w:rPr>
        <w:t xml:space="preserve">a </w:t>
      </w:r>
      <w:r w:rsidRPr="00FC36B2">
        <w:rPr>
          <w:i/>
          <w:lang w:eastAsia="ar-SA"/>
        </w:rPr>
        <w:t>new paragraph 7.11.4.1.</w:t>
      </w:r>
      <w:r w:rsidRPr="00FC36B2">
        <w:rPr>
          <w:lang w:eastAsia="ar-SA"/>
        </w:rPr>
        <w:t>, to read:</w:t>
      </w:r>
    </w:p>
    <w:p w:rsidR="00952333" w:rsidRPr="00FC36B2" w:rsidRDefault="001B4674">
      <w:pPr>
        <w:tabs>
          <w:tab w:val="left" w:pos="2835"/>
          <w:tab w:val="left" w:pos="8505"/>
        </w:tabs>
        <w:spacing w:before="120" w:after="120" w:line="240" w:lineRule="auto"/>
        <w:ind w:left="2268" w:right="1134" w:hanging="1134"/>
        <w:jc w:val="both"/>
        <w:rPr>
          <w:b/>
          <w:lang w:eastAsia="ar-SA"/>
        </w:rPr>
      </w:pPr>
      <w:r w:rsidRPr="00FC36B2">
        <w:rPr>
          <w:b/>
          <w:lang w:eastAsia="ar-SA"/>
        </w:rPr>
        <w:t>"7.11.4.1.</w:t>
      </w:r>
      <w:r w:rsidRPr="00FC36B2">
        <w:rPr>
          <w:b/>
          <w:lang w:eastAsia="ar-SA"/>
        </w:rPr>
        <w:tab/>
        <w:t>If a toilet is fitted, a suitable handrail or handhold shall be provided in the interior."</w:t>
      </w:r>
    </w:p>
    <w:p w:rsidR="00952333" w:rsidRDefault="00952333">
      <w:pPr>
        <w:tabs>
          <w:tab w:val="left" w:pos="2835"/>
          <w:tab w:val="left" w:pos="8505"/>
        </w:tabs>
        <w:spacing w:before="120" w:after="120" w:line="240" w:lineRule="auto"/>
        <w:ind w:left="2268" w:right="1134" w:hanging="1134"/>
        <w:jc w:val="both"/>
        <w:rPr>
          <w:lang w:eastAsia="ar-SA"/>
        </w:rPr>
      </w:pPr>
    </w:p>
    <w:p w:rsidR="00952333" w:rsidRPr="003441A4" w:rsidRDefault="005313BA">
      <w:pPr>
        <w:tabs>
          <w:tab w:val="left" w:pos="2835"/>
          <w:tab w:val="left" w:pos="8505"/>
        </w:tabs>
        <w:spacing w:before="120" w:after="120" w:line="240" w:lineRule="auto"/>
        <w:ind w:left="2268" w:right="1134" w:hanging="1134"/>
        <w:jc w:val="both"/>
        <w:rPr>
          <w:lang w:eastAsia="ar-SA"/>
        </w:rPr>
      </w:pPr>
      <w:r>
        <w:rPr>
          <w:i/>
          <w:lang w:eastAsia="ar-SA"/>
        </w:rPr>
        <w:t xml:space="preserve">Annex </w:t>
      </w:r>
      <w:proofErr w:type="gramStart"/>
      <w:r>
        <w:rPr>
          <w:i/>
          <w:lang w:eastAsia="ar-SA"/>
        </w:rPr>
        <w:t>8</w:t>
      </w:r>
      <w:proofErr w:type="gramEnd"/>
      <w:r>
        <w:rPr>
          <w:i/>
          <w:lang w:eastAsia="ar-SA"/>
        </w:rPr>
        <w:t>, i</w:t>
      </w:r>
      <w:r w:rsidR="001B4674" w:rsidRPr="003441A4">
        <w:rPr>
          <w:i/>
          <w:lang w:eastAsia="ar-SA"/>
        </w:rPr>
        <w:t xml:space="preserve">nsert </w:t>
      </w:r>
      <w:r>
        <w:rPr>
          <w:i/>
          <w:lang w:eastAsia="ar-SA"/>
        </w:rPr>
        <w:t xml:space="preserve">a </w:t>
      </w:r>
      <w:r w:rsidR="001B4674" w:rsidRPr="003441A4">
        <w:rPr>
          <w:i/>
          <w:lang w:eastAsia="ar-SA"/>
        </w:rPr>
        <w:t xml:space="preserve">new paragraph 3.12. </w:t>
      </w:r>
      <w:proofErr w:type="gramStart"/>
      <w:r w:rsidR="001B4674" w:rsidRPr="003441A4">
        <w:rPr>
          <w:lang w:eastAsia="ar-SA"/>
        </w:rPr>
        <w:t>to</w:t>
      </w:r>
      <w:proofErr w:type="gramEnd"/>
      <w:r w:rsidR="001B4674" w:rsidRPr="003441A4">
        <w:rPr>
          <w:lang w:eastAsia="ar-SA"/>
        </w:rPr>
        <w:t xml:space="preserve"> read:</w:t>
      </w:r>
    </w:p>
    <w:p w:rsidR="00952333" w:rsidRPr="003441A4" w:rsidRDefault="001B4674">
      <w:pPr>
        <w:tabs>
          <w:tab w:val="left" w:pos="2835"/>
          <w:tab w:val="left" w:pos="8505"/>
        </w:tabs>
        <w:spacing w:before="120" w:after="120" w:line="240" w:lineRule="auto"/>
        <w:ind w:left="2268" w:right="1134" w:hanging="1134"/>
        <w:jc w:val="both"/>
        <w:rPr>
          <w:b/>
          <w:lang w:eastAsia="ar-SA"/>
        </w:rPr>
      </w:pPr>
      <w:r w:rsidRPr="003441A4">
        <w:rPr>
          <w:lang w:eastAsia="ar-SA"/>
        </w:rPr>
        <w:t>"</w:t>
      </w:r>
      <w:r w:rsidRPr="003441A4">
        <w:rPr>
          <w:b/>
          <w:lang w:eastAsia="ar-SA"/>
        </w:rPr>
        <w:t>3.12.</w:t>
      </w:r>
      <w:r w:rsidRPr="003441A4">
        <w:rPr>
          <w:b/>
          <w:lang w:eastAsia="ar-SA"/>
        </w:rPr>
        <w:tab/>
        <w:t>Marking of passenger seats</w:t>
      </w:r>
    </w:p>
    <w:p w:rsidR="00952333" w:rsidRPr="005313BA" w:rsidRDefault="001B4674">
      <w:pPr>
        <w:tabs>
          <w:tab w:val="left" w:pos="8505"/>
        </w:tabs>
        <w:spacing w:before="120" w:after="120" w:line="240" w:lineRule="auto"/>
        <w:ind w:left="2268" w:right="1134"/>
        <w:jc w:val="both"/>
        <w:rPr>
          <w:lang w:eastAsia="ar-SA"/>
        </w:rPr>
      </w:pPr>
      <w:r w:rsidRPr="00EA53B0">
        <w:rPr>
          <w:b/>
          <w:highlight w:val="yellow"/>
          <w:lang w:eastAsia="ar-SA"/>
        </w:rPr>
        <w:t xml:space="preserve">If seats are identified by numbers or letters, then the number or letter of the seat shall be displayed on or adjacent to every seat in characters not less than 12 mm high. Such numbers and letters shall contrast with their background (e.g. </w:t>
      </w:r>
      <w:proofErr w:type="spellStart"/>
      <w:r w:rsidRPr="00EA53B0">
        <w:rPr>
          <w:b/>
          <w:highlight w:val="yellow"/>
          <w:lang w:eastAsia="ar-SA"/>
        </w:rPr>
        <w:t>FprEN</w:t>
      </w:r>
      <w:proofErr w:type="spellEnd"/>
      <w:r w:rsidRPr="00EA53B0">
        <w:rPr>
          <w:b/>
          <w:highlight w:val="yellow"/>
          <w:lang w:eastAsia="ar-SA"/>
        </w:rPr>
        <w:t> 16584-1:2015</w:t>
      </w:r>
      <w:r w:rsidRPr="00EA53B0">
        <w:rPr>
          <w:rStyle w:val="FootnoteReference"/>
          <w:b/>
          <w:highlight w:val="yellow"/>
          <w:lang w:eastAsia="ar-SA"/>
        </w:rPr>
        <w:footnoteReference w:id="3"/>
      </w:r>
      <w:r w:rsidR="004B1B0D">
        <w:rPr>
          <w:b/>
          <w:highlight w:val="yellow"/>
          <w:lang w:eastAsia="ar-SA"/>
        </w:rPr>
        <w:t xml:space="preserve">, Annex </w:t>
      </w:r>
      <w:proofErr w:type="gramStart"/>
      <w:r w:rsidR="004B1B0D">
        <w:rPr>
          <w:b/>
          <w:highlight w:val="yellow"/>
          <w:lang w:eastAsia="ar-SA"/>
        </w:rPr>
        <w:t>A</w:t>
      </w:r>
      <w:proofErr w:type="gramEnd"/>
      <w:r w:rsidR="004B1B0D">
        <w:rPr>
          <w:b/>
          <w:highlight w:val="yellow"/>
          <w:lang w:eastAsia="ar-SA"/>
        </w:rPr>
        <w:t xml:space="preserve">, A.1 General, Figure </w:t>
      </w:r>
      <w:r w:rsidRPr="00EA53B0">
        <w:rPr>
          <w:b/>
          <w:highlight w:val="yellow"/>
          <w:lang w:eastAsia="ar-SA"/>
        </w:rPr>
        <w:t>A.2</w:t>
      </w:r>
      <w:r w:rsidR="004B1B0D">
        <w:rPr>
          <w:b/>
          <w:highlight w:val="yellow"/>
          <w:lang w:eastAsia="ar-SA"/>
        </w:rPr>
        <w:t xml:space="preserve"> </w:t>
      </w:r>
      <w:r w:rsidRPr="00EA53B0">
        <w:rPr>
          <w:b/>
          <w:highlight w:val="yellow"/>
          <w:lang w:eastAsia="ar-SA"/>
        </w:rPr>
        <w:t>–</w:t>
      </w:r>
      <w:r w:rsidR="004B1B0D">
        <w:rPr>
          <w:b/>
          <w:highlight w:val="yellow"/>
          <w:lang w:eastAsia="ar-SA"/>
        </w:rPr>
        <w:t xml:space="preserve"> </w:t>
      </w:r>
      <w:r w:rsidRPr="00EA53B0">
        <w:rPr>
          <w:b/>
          <w:highlight w:val="yellow"/>
          <w:lang w:eastAsia="ar-SA"/>
        </w:rPr>
        <w:t>Colour contrast for signage</w:t>
      </w:r>
      <w:r w:rsidRPr="005313BA">
        <w:rPr>
          <w:b/>
          <w:highlight w:val="yellow"/>
          <w:lang w:eastAsia="ar-SA"/>
        </w:rPr>
        <w:t>)</w:t>
      </w:r>
      <w:r w:rsidRPr="005313BA">
        <w:rPr>
          <w:highlight w:val="yellow"/>
          <w:lang w:eastAsia="ar-SA"/>
        </w:rPr>
        <w:t>.</w:t>
      </w:r>
      <w:r w:rsidR="005313BA" w:rsidRPr="005313BA">
        <w:rPr>
          <w:lang w:eastAsia="ar-SA"/>
        </w:rPr>
        <w:t>"</w:t>
      </w:r>
    </w:p>
    <w:p w:rsidR="00952333" w:rsidRDefault="001B4674" w:rsidP="005E2F28">
      <w:pPr>
        <w:spacing w:before="360"/>
        <w:ind w:left="1134" w:right="1134"/>
        <w:jc w:val="center"/>
        <w:rPr>
          <w:u w:val="single"/>
        </w:rPr>
      </w:pPr>
      <w:r>
        <w:rPr>
          <w:u w:val="single"/>
        </w:rPr>
        <w:tab/>
      </w:r>
      <w:r>
        <w:rPr>
          <w:u w:val="single"/>
        </w:rPr>
        <w:tab/>
      </w:r>
      <w:r>
        <w:rPr>
          <w:u w:val="single"/>
        </w:rPr>
        <w:tab/>
      </w:r>
    </w:p>
    <w:p w:rsidR="00266BFD" w:rsidRDefault="00266BFD">
      <w:pPr>
        <w:suppressAutoHyphens w:val="0"/>
        <w:spacing w:line="240" w:lineRule="auto"/>
        <w:rPr>
          <w:b/>
          <w:sz w:val="28"/>
        </w:rPr>
      </w:pPr>
      <w:r>
        <w:rPr>
          <w:b/>
          <w:sz w:val="28"/>
        </w:rPr>
        <w:br w:type="page"/>
      </w:r>
    </w:p>
    <w:p w:rsidR="00952333" w:rsidRPr="007A0EF6" w:rsidRDefault="008A4A67" w:rsidP="007B61B3">
      <w:pPr>
        <w:spacing w:before="360" w:after="240"/>
        <w:ind w:left="1134" w:right="1134"/>
        <w:rPr>
          <w:u w:val="single"/>
        </w:rPr>
      </w:pPr>
      <w:r>
        <w:rPr>
          <w:b/>
          <w:sz w:val="28"/>
        </w:rPr>
        <w:lastRenderedPageBreak/>
        <w:t>B.</w:t>
      </w:r>
      <w:r>
        <w:rPr>
          <w:b/>
          <w:sz w:val="28"/>
        </w:rPr>
        <w:tab/>
      </w:r>
      <w:r w:rsidR="001B4674" w:rsidRPr="007A0EF6">
        <w:rPr>
          <w:b/>
          <w:sz w:val="28"/>
        </w:rPr>
        <w:t>Justification</w:t>
      </w:r>
    </w:p>
    <w:p w:rsidR="000664AD" w:rsidRDefault="000664AD" w:rsidP="008A4A67">
      <w:pPr>
        <w:spacing w:before="120" w:after="120"/>
        <w:ind w:left="1134" w:right="1134" w:firstLine="567"/>
        <w:jc w:val="both"/>
      </w:pPr>
      <w:r>
        <w:t xml:space="preserve">This informal document is a counterproposal to informal document GRSG-111-35, presented by </w:t>
      </w:r>
      <w:r w:rsidR="00F70936">
        <w:t xml:space="preserve">the expert from </w:t>
      </w:r>
      <w:r>
        <w:t>Germany at the last GRSG session in October 2016.</w:t>
      </w:r>
      <w:r w:rsidR="00F63AE5">
        <w:t xml:space="preserve"> </w:t>
      </w:r>
      <w:r w:rsidR="004C14D8">
        <w:t>Beari</w:t>
      </w:r>
      <w:r w:rsidR="00F63AE5">
        <w:t>ng in mind the controversial discussion</w:t>
      </w:r>
      <w:r w:rsidR="004C14D8">
        <w:t>,</w:t>
      </w:r>
      <w:r w:rsidR="00F63AE5">
        <w:t xml:space="preserve"> </w:t>
      </w:r>
      <w:r w:rsidR="004C14D8">
        <w:t xml:space="preserve">or even opposition </w:t>
      </w:r>
      <w:r w:rsidR="00F63AE5">
        <w:t xml:space="preserve">about the </w:t>
      </w:r>
      <w:r w:rsidR="005313BA">
        <w:t>G</w:t>
      </w:r>
      <w:r w:rsidR="00F63AE5">
        <w:t>erman proposal</w:t>
      </w:r>
      <w:r w:rsidR="00CD6538" w:rsidRPr="007A0EF6">
        <w:t xml:space="preserve">, the </w:t>
      </w:r>
      <w:r w:rsidR="004C14D8">
        <w:t xml:space="preserve">above </w:t>
      </w:r>
      <w:r w:rsidR="00CD6538" w:rsidRPr="007A0EF6">
        <w:t>text</w:t>
      </w:r>
      <w:r w:rsidR="004C14D8">
        <w:t xml:space="preserve"> </w:t>
      </w:r>
      <w:r w:rsidR="00CD6538" w:rsidRPr="007A0EF6">
        <w:t>reduces the amendments to a common denominator where everybody can live with. In addition, it diminishes the probability of inconsistencies</w:t>
      </w:r>
      <w:r w:rsidR="004C14D8">
        <w:t xml:space="preserve"> or contradictions</w:t>
      </w:r>
      <w:r w:rsidR="00CD6538" w:rsidRPr="007A0EF6">
        <w:t xml:space="preserve"> to other specific prescriptions (e.g. Regulation (EU) No 1300/2014</w:t>
      </w:r>
      <w:r w:rsidR="0055129F">
        <w:rPr>
          <w:rStyle w:val="FootnoteReference"/>
        </w:rPr>
        <w:footnoteReference w:id="4"/>
      </w:r>
      <w:r w:rsidR="00CD6538" w:rsidRPr="007A0EF6">
        <w:t xml:space="preserve">). </w:t>
      </w:r>
      <w:r w:rsidR="004C14D8">
        <w:t>In our opinion</w:t>
      </w:r>
      <w:r w:rsidR="00512493">
        <w:t>,</w:t>
      </w:r>
      <w:r w:rsidR="00CD6538" w:rsidRPr="007A0EF6">
        <w:t xml:space="preserve"> these modest amendments are a good way forward to improve and complement the existing text of UN</w:t>
      </w:r>
      <w:r w:rsidR="005313BA">
        <w:t xml:space="preserve"> </w:t>
      </w:r>
      <w:r w:rsidR="005313BA" w:rsidRPr="007A0EF6">
        <w:t>R</w:t>
      </w:r>
      <w:r w:rsidR="005313BA">
        <w:t xml:space="preserve">egulation No. </w:t>
      </w:r>
      <w:r w:rsidR="00CD6538" w:rsidRPr="007A0EF6">
        <w:t>107.</w:t>
      </w:r>
    </w:p>
    <w:p w:rsidR="00952333" w:rsidRPr="007A0EF6" w:rsidRDefault="001B4674" w:rsidP="008A4A67">
      <w:pPr>
        <w:spacing w:before="120" w:after="120"/>
        <w:ind w:left="1134" w:right="1134" w:firstLine="567"/>
        <w:jc w:val="both"/>
      </w:pPr>
      <w:r w:rsidRPr="007A0EF6">
        <w:t xml:space="preserve">Switzerland adopted the </w:t>
      </w:r>
      <w:r w:rsidRPr="00025A93">
        <w:t xml:space="preserve">Regulation (EU) </w:t>
      </w:r>
      <w:proofErr w:type="gramStart"/>
      <w:r w:rsidRPr="00025A93">
        <w:t>No</w:t>
      </w:r>
      <w:r w:rsidR="005313BA">
        <w:t>.</w:t>
      </w:r>
      <w:r w:rsidRPr="00025A93">
        <w:t xml:space="preserve"> 1300/2014</w:t>
      </w:r>
      <w:proofErr w:type="gramEnd"/>
      <w:r w:rsidRPr="00025A93">
        <w:t xml:space="preserve"> i</w:t>
      </w:r>
      <w:r w:rsidRPr="007A0EF6">
        <w:t>n its national legislation with effect from 1</w:t>
      </w:r>
      <w:r w:rsidRPr="007A0EF6">
        <w:rPr>
          <w:vertAlign w:val="superscript"/>
        </w:rPr>
        <w:t>st</w:t>
      </w:r>
      <w:r w:rsidRPr="007A0EF6">
        <w:t xml:space="preserve"> July 2016. Albeit this regulation applies in the EU to interoperable rail systems only, Switzerland applies this </w:t>
      </w:r>
      <w:r w:rsidR="005313BA">
        <w:t>regulation</w:t>
      </w:r>
      <w:r w:rsidR="008A4A67">
        <w:t>,</w:t>
      </w:r>
      <w:r w:rsidRPr="007A0EF6">
        <w:t xml:space="preserve"> in addition to rail systems</w:t>
      </w:r>
      <w:r w:rsidR="008A4A67">
        <w:t>,</w:t>
      </w:r>
      <w:r w:rsidRPr="007A0EF6">
        <w:t xml:space="preserve"> for the majority of other kinds of public transport as well, as to say </w:t>
      </w:r>
      <w:proofErr w:type="gramStart"/>
      <w:r w:rsidRPr="007A0EF6">
        <w:t>non interoperable</w:t>
      </w:r>
      <w:proofErr w:type="gramEnd"/>
      <w:r w:rsidRPr="007A0EF6">
        <w:t xml:space="preserve"> railways</w:t>
      </w:r>
      <w:r w:rsidR="005A7568">
        <w:t xml:space="preserve"> (i.e. narrow-gauge railways)</w:t>
      </w:r>
      <w:r w:rsidRPr="007A0EF6">
        <w:t>, buses, tramways, cable cars, and navigation. In an endeavour to consider all mode of public transport in a holistic way and with the desire to unifying and simplifying public transport for disabled persons and persons with reduced mobility, Switzerland decided to spread the applicability of Regulation (EU) No 1300/2014 and its related European</w:t>
      </w:r>
      <w:r w:rsidR="004D3D7C">
        <w:t xml:space="preserve"> Standards (EN) in such a way.</w:t>
      </w:r>
    </w:p>
    <w:p w:rsidR="00952333" w:rsidRPr="007A0EF6" w:rsidRDefault="001B4674" w:rsidP="008A4A67">
      <w:pPr>
        <w:spacing w:before="240" w:after="120"/>
        <w:ind w:left="1134" w:right="1134" w:firstLine="567"/>
        <w:jc w:val="both"/>
      </w:pPr>
      <w:r w:rsidRPr="007A0EF6">
        <w:t>To paragraph 7.7.15.1.:</w:t>
      </w:r>
    </w:p>
    <w:p w:rsidR="00952333" w:rsidRPr="007A0EF6" w:rsidRDefault="007E0BAF" w:rsidP="008A4A67">
      <w:pPr>
        <w:spacing w:before="120" w:after="120"/>
        <w:ind w:left="1134" w:right="1134" w:firstLine="567"/>
        <w:jc w:val="both"/>
      </w:pPr>
      <w:r>
        <w:t xml:space="preserve">It is useless to increase the number of loudspeakers if we do not </w:t>
      </w:r>
      <w:r w:rsidR="00F043A5">
        <w:t>establish</w:t>
      </w:r>
      <w:r w:rsidR="008A4A67">
        <w:t>,</w:t>
      </w:r>
      <w:r w:rsidR="00F043A5">
        <w:t xml:space="preserve"> at the same time</w:t>
      </w:r>
      <w:r w:rsidR="008A4A67">
        <w:t>,</w:t>
      </w:r>
      <w:r>
        <w:t xml:space="preserve"> some </w:t>
      </w:r>
      <w:r w:rsidR="00F043A5">
        <w:t xml:space="preserve">quality </w:t>
      </w:r>
      <w:r>
        <w:t>requirem</w:t>
      </w:r>
      <w:r w:rsidR="00F043A5">
        <w:t>ents</w:t>
      </w:r>
      <w:r>
        <w:t xml:space="preserve">! </w:t>
      </w:r>
      <w:r w:rsidR="006D257E">
        <w:t>Stipulating numerous</w:t>
      </w:r>
      <w:r w:rsidR="00F043A5">
        <w:t xml:space="preserve"> </w:t>
      </w:r>
      <w:r>
        <w:t>loudspeakers</w:t>
      </w:r>
      <w:r w:rsidR="005E7B84">
        <w:t xml:space="preserve"> without making sure </w:t>
      </w:r>
      <w:r w:rsidR="001F4CCA">
        <w:t xml:space="preserve">that </w:t>
      </w:r>
      <w:r w:rsidR="005E7B84">
        <w:t>they are of good quality</w:t>
      </w:r>
      <w:r>
        <w:t xml:space="preserve"> </w:t>
      </w:r>
      <w:r w:rsidR="005E7B84">
        <w:t xml:space="preserve">may finally </w:t>
      </w:r>
      <w:r w:rsidR="00F043A5">
        <w:t xml:space="preserve">end up </w:t>
      </w:r>
      <w:r>
        <w:t xml:space="preserve">in </w:t>
      </w:r>
      <w:r w:rsidR="001E7A37">
        <w:t>yelling</w:t>
      </w:r>
      <w:r w:rsidR="000E21C2">
        <w:t>,</w:t>
      </w:r>
      <w:r w:rsidR="001E7A37">
        <w:t xml:space="preserve"> </w:t>
      </w:r>
      <w:r w:rsidR="00F043A5">
        <w:t xml:space="preserve">not understandable </w:t>
      </w:r>
      <w:r w:rsidR="001E7A37">
        <w:t>announcement</w:t>
      </w:r>
      <w:r w:rsidR="00F043A5">
        <w:t>s</w:t>
      </w:r>
      <w:r w:rsidR="001E7A37">
        <w:t xml:space="preserve">. </w:t>
      </w:r>
      <w:r w:rsidR="00DF2BF8">
        <w:t>Therefore, y</w:t>
      </w:r>
      <w:r w:rsidR="001B4674" w:rsidRPr="007A0EF6">
        <w:t xml:space="preserve">ou may find </w:t>
      </w:r>
      <w:r w:rsidR="00432F6D" w:rsidRPr="007A0EF6">
        <w:t xml:space="preserve">in </w:t>
      </w:r>
      <w:r w:rsidR="00432F6D" w:rsidRPr="00EA53B0">
        <w:rPr>
          <w:highlight w:val="yellow"/>
        </w:rPr>
        <w:t>yellow colour</w:t>
      </w:r>
      <w:r w:rsidR="00432F6D" w:rsidRPr="007A0EF6">
        <w:t xml:space="preserve"> </w:t>
      </w:r>
      <w:r w:rsidR="00432F6D">
        <w:t xml:space="preserve">the </w:t>
      </w:r>
      <w:r w:rsidR="00DF2BF8">
        <w:t>quality</w:t>
      </w:r>
      <w:r w:rsidR="001B4674" w:rsidRPr="007A0EF6">
        <w:t xml:space="preserve"> requirements </w:t>
      </w:r>
      <w:r w:rsidR="00432F6D">
        <w:t xml:space="preserve">stipulated </w:t>
      </w:r>
      <w:r w:rsidR="00B93A86" w:rsidRPr="009D0B80">
        <w:t xml:space="preserve">in </w:t>
      </w:r>
      <w:r w:rsidR="00C97678">
        <w:t>f</w:t>
      </w:r>
      <w:r w:rsidR="00B93A86" w:rsidRPr="009D0B80">
        <w:t xml:space="preserve">inal </w:t>
      </w:r>
      <w:r w:rsidR="00C93F9C">
        <w:t>d</w:t>
      </w:r>
      <w:r w:rsidR="00B93A86" w:rsidRPr="009D0B80">
        <w:t xml:space="preserve">raft </w:t>
      </w:r>
      <w:proofErr w:type="spellStart"/>
      <w:r w:rsidR="00B93A86" w:rsidRPr="009D0B80">
        <w:t>FprEN</w:t>
      </w:r>
      <w:proofErr w:type="spellEnd"/>
      <w:r w:rsidR="00B93A86" w:rsidRPr="009D0B80">
        <w:t xml:space="preserve"> 16584-2:2015</w:t>
      </w:r>
      <w:r w:rsidR="00003602" w:rsidRPr="009D0B80">
        <w:t xml:space="preserve"> (see Informal document GRSG-112-04)</w:t>
      </w:r>
      <w:r w:rsidR="00B93A86" w:rsidRPr="009D0B80">
        <w:t xml:space="preserve">. </w:t>
      </w:r>
      <w:r w:rsidR="00FB0253" w:rsidRPr="009D0B80">
        <w:t>These quality requirements are</w:t>
      </w:r>
      <w:r w:rsidR="006322DF" w:rsidRPr="009D0B80">
        <w:t xml:space="preserve"> practically</w:t>
      </w:r>
      <w:r w:rsidR="00FB0253" w:rsidRPr="009D0B80">
        <w:t xml:space="preserve"> identical to th</w:t>
      </w:r>
      <w:r w:rsidR="00E656CB" w:rsidRPr="009D0B80">
        <w:t>os</w:t>
      </w:r>
      <w:r w:rsidR="00441C16" w:rsidRPr="009D0B80">
        <w:t>e</w:t>
      </w:r>
      <w:r w:rsidR="00FB0253" w:rsidRPr="009D0B80">
        <w:t xml:space="preserve"> in </w:t>
      </w:r>
      <w:r w:rsidR="000E7266" w:rsidRPr="009D0B80">
        <w:t xml:space="preserve">Regulation (EU) </w:t>
      </w:r>
      <w:r w:rsidR="00441C16" w:rsidRPr="009D0B80">
        <w:t>No </w:t>
      </w:r>
      <w:r w:rsidR="00FB0253" w:rsidRPr="009D0B80">
        <w:t>1300/2014.</w:t>
      </w:r>
    </w:p>
    <w:p w:rsidR="00952333" w:rsidRPr="007A0EF6" w:rsidRDefault="001B4674" w:rsidP="008A4A67">
      <w:pPr>
        <w:spacing w:before="240" w:after="120"/>
        <w:ind w:left="1134" w:right="1134" w:firstLine="567"/>
        <w:jc w:val="both"/>
      </w:pPr>
      <w:r w:rsidRPr="007A0EF6">
        <w:t>To paragraph 3.12.:</w:t>
      </w:r>
    </w:p>
    <w:p w:rsidR="00952333" w:rsidRDefault="001B4674" w:rsidP="008A4A67">
      <w:pPr>
        <w:spacing w:before="120"/>
        <w:ind w:left="1134" w:right="1134" w:firstLine="567"/>
        <w:jc w:val="both"/>
      </w:pPr>
      <w:r w:rsidRPr="007A0EF6">
        <w:t xml:space="preserve">The </w:t>
      </w:r>
      <w:r w:rsidRPr="00EA53B0">
        <w:rPr>
          <w:highlight w:val="yellow"/>
        </w:rPr>
        <w:t>yellow coloured text</w:t>
      </w:r>
      <w:r w:rsidRPr="007A0EF6">
        <w:t xml:space="preserve"> of this paragraph is identical to the text in paragraph 4.2.2.7.2. (7) </w:t>
      </w:r>
      <w:proofErr w:type="gramStart"/>
      <w:r w:rsidR="008A4A67">
        <w:t>of</w:t>
      </w:r>
      <w:proofErr w:type="gramEnd"/>
      <w:r w:rsidR="008A4A67">
        <w:t xml:space="preserve"> the </w:t>
      </w:r>
      <w:r w:rsidR="008A4A67" w:rsidRPr="007A0EF6">
        <w:t xml:space="preserve">Annex </w:t>
      </w:r>
      <w:r w:rsidR="008A4A67">
        <w:t>t</w:t>
      </w:r>
      <w:r w:rsidRPr="007A0EF6">
        <w:t xml:space="preserve">o Regulation (EU) No 1300/2014. </w:t>
      </w:r>
      <w:r w:rsidR="008A4A67" w:rsidRPr="007A0EF6">
        <w:t xml:space="preserve">Switzerland </w:t>
      </w:r>
      <w:r w:rsidR="008A4A67">
        <w:t>referred to t</w:t>
      </w:r>
      <w:r w:rsidRPr="007A0EF6">
        <w:t xml:space="preserve">he final draft </w:t>
      </w:r>
      <w:proofErr w:type="spellStart"/>
      <w:r w:rsidRPr="007A0EF6">
        <w:t>FprEN</w:t>
      </w:r>
      <w:proofErr w:type="spellEnd"/>
      <w:r w:rsidRPr="007A0EF6">
        <w:t> 16584-1:2015 to supplement Regulation (EU) No 1300/2014 with adequate provisions</w:t>
      </w:r>
      <w:r w:rsidR="002F0FD5">
        <w:t xml:space="preserve"> </w:t>
      </w:r>
      <w:r w:rsidR="002F0FD5" w:rsidRPr="009D0B80">
        <w:t>(see Informal document GRSG-112-03)</w:t>
      </w:r>
      <w:r w:rsidRPr="007A0EF6">
        <w:t>.</w:t>
      </w:r>
    </w:p>
    <w:p w:rsidR="008A4A67" w:rsidRDefault="008A4A67" w:rsidP="008A4A67">
      <w:pPr>
        <w:spacing w:before="120"/>
        <w:ind w:left="1134" w:right="1134" w:firstLine="567"/>
        <w:jc w:val="both"/>
      </w:pPr>
    </w:p>
    <w:p w:rsidR="008A4A67" w:rsidRPr="007A0EF6" w:rsidRDefault="008A4A67" w:rsidP="008A4A67">
      <w:pPr>
        <w:spacing w:before="120"/>
        <w:ind w:left="1134" w:right="1134" w:firstLine="567"/>
        <w:jc w:val="center"/>
      </w:pPr>
      <w:r>
        <w:t>___________________</w:t>
      </w:r>
    </w:p>
    <w:sectPr w:rsidR="008A4A67" w:rsidRPr="007A0EF6" w:rsidSect="00266BFD">
      <w:headerReference w:type="even" r:id="rId9"/>
      <w:headerReference w:type="default" r:id="rId10"/>
      <w:footerReference w:type="even" r:id="rId11"/>
      <w:footerReference w:type="default" r:id="rId12"/>
      <w:headerReference w:type="first" r:id="rId13"/>
      <w:endnotePr>
        <w:numFmt w:val="decimal"/>
      </w:endnotePr>
      <w:pgSz w:w="11907" w:h="16840" w:code="9"/>
      <w:pgMar w:top="1485" w:right="1134" w:bottom="2268"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33" w:rsidRDefault="00952333"/>
  </w:endnote>
  <w:endnote w:type="continuationSeparator" w:id="0">
    <w:p w:rsidR="00952333" w:rsidRDefault="00952333"/>
  </w:endnote>
  <w:endnote w:type="continuationNotice" w:id="1">
    <w:p w:rsidR="00952333" w:rsidRDefault="00952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3" w:rsidRDefault="001B467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554340">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3" w:rsidRDefault="001B467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452EAF">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33" w:rsidRDefault="001B4674">
      <w:pPr>
        <w:tabs>
          <w:tab w:val="right" w:pos="2155"/>
        </w:tabs>
        <w:spacing w:after="80"/>
        <w:ind w:left="680"/>
        <w:rPr>
          <w:u w:val="single"/>
        </w:rPr>
      </w:pPr>
      <w:r>
        <w:rPr>
          <w:u w:val="single"/>
        </w:rPr>
        <w:tab/>
      </w:r>
    </w:p>
  </w:footnote>
  <w:footnote w:type="continuationSeparator" w:id="0">
    <w:p w:rsidR="00952333" w:rsidRDefault="001B4674">
      <w:pPr>
        <w:tabs>
          <w:tab w:val="left" w:pos="2155"/>
        </w:tabs>
        <w:spacing w:after="80"/>
        <w:ind w:left="680"/>
        <w:rPr>
          <w:u w:val="single"/>
        </w:rPr>
      </w:pPr>
      <w:r>
        <w:rPr>
          <w:u w:val="single"/>
        </w:rPr>
        <w:tab/>
      </w:r>
    </w:p>
  </w:footnote>
  <w:footnote w:type="continuationNotice" w:id="1">
    <w:p w:rsidR="00952333" w:rsidRDefault="00952333"/>
  </w:footnote>
  <w:footnote w:id="2">
    <w:p w:rsidR="001F4CCA" w:rsidRPr="004E2482" w:rsidRDefault="001F4CCA" w:rsidP="00266BFD">
      <w:pPr>
        <w:pStyle w:val="FootnoteText"/>
        <w:tabs>
          <w:tab w:val="clear" w:pos="1021"/>
        </w:tabs>
        <w:ind w:left="567" w:hanging="567"/>
        <w:rPr>
          <w:b/>
        </w:rPr>
      </w:pPr>
      <w:r w:rsidRPr="004E2482">
        <w:rPr>
          <w:rStyle w:val="FootnoteReference"/>
          <w:b/>
        </w:rPr>
        <w:footnoteRef/>
      </w:r>
      <w:r w:rsidRPr="004E2482">
        <w:rPr>
          <w:b/>
        </w:rPr>
        <w:t xml:space="preserve"> </w:t>
      </w:r>
      <w:r w:rsidR="00266BFD">
        <w:rPr>
          <w:b/>
        </w:rPr>
        <w:tab/>
      </w:r>
      <w:proofErr w:type="spellStart"/>
      <w:r w:rsidRPr="004E2482">
        <w:rPr>
          <w:b/>
        </w:rPr>
        <w:t>FprEN</w:t>
      </w:r>
      <w:proofErr w:type="spellEnd"/>
      <w:r w:rsidRPr="004E2482">
        <w:rPr>
          <w:b/>
        </w:rPr>
        <w:t xml:space="preserve"> 16584-2:2015 Railway Applications –</w:t>
      </w:r>
      <w:r>
        <w:rPr>
          <w:b/>
        </w:rPr>
        <w:t xml:space="preserve"> </w:t>
      </w:r>
      <w:r w:rsidRPr="004E2482">
        <w:rPr>
          <w:b/>
        </w:rPr>
        <w:t xml:space="preserve">Design for PRM Use – General </w:t>
      </w:r>
      <w:r>
        <w:rPr>
          <w:b/>
        </w:rPr>
        <w:t xml:space="preserve">Requirements </w:t>
      </w:r>
      <w:r w:rsidRPr="004E2482">
        <w:rPr>
          <w:b/>
        </w:rPr>
        <w:t>–</w:t>
      </w:r>
      <w:r>
        <w:rPr>
          <w:b/>
        </w:rPr>
        <w:t xml:space="preserve"> Part 2: </w:t>
      </w:r>
      <w:r w:rsidRPr="004E2482">
        <w:rPr>
          <w:b/>
        </w:rPr>
        <w:t>Information</w:t>
      </w:r>
      <w:r>
        <w:rPr>
          <w:b/>
        </w:rPr>
        <w:t>.</w:t>
      </w:r>
    </w:p>
  </w:footnote>
  <w:footnote w:id="3">
    <w:p w:rsidR="00952333" w:rsidRPr="00DB2DED" w:rsidRDefault="001B4674" w:rsidP="0040430D">
      <w:pPr>
        <w:pStyle w:val="FootnoteText"/>
        <w:tabs>
          <w:tab w:val="clear" w:pos="1021"/>
        </w:tabs>
        <w:ind w:left="567" w:hanging="567"/>
        <w:rPr>
          <w:b/>
          <w:lang w:val="en-US"/>
        </w:rPr>
      </w:pPr>
      <w:r w:rsidRPr="00DB2DED">
        <w:rPr>
          <w:rStyle w:val="FootnoteReference"/>
          <w:b/>
        </w:rPr>
        <w:footnoteRef/>
      </w:r>
      <w:r w:rsidRPr="00DB2DED">
        <w:rPr>
          <w:b/>
        </w:rPr>
        <w:t xml:space="preserve"> </w:t>
      </w:r>
      <w:r w:rsidR="0040430D">
        <w:rPr>
          <w:b/>
        </w:rPr>
        <w:tab/>
      </w:r>
      <w:proofErr w:type="spellStart"/>
      <w:r w:rsidRPr="00DB2DED">
        <w:rPr>
          <w:b/>
        </w:rPr>
        <w:t>FprEN</w:t>
      </w:r>
      <w:proofErr w:type="spellEnd"/>
      <w:r w:rsidRPr="00DB2DED">
        <w:rPr>
          <w:b/>
        </w:rPr>
        <w:t xml:space="preserve"> 16584-1:2015 Railway Applications – Design for PRM Use – General Requirements – Part</w:t>
      </w:r>
      <w:r w:rsidR="0040430D">
        <w:rPr>
          <w:b/>
        </w:rPr>
        <w:t> </w:t>
      </w:r>
      <w:r w:rsidRPr="00DB2DED">
        <w:rPr>
          <w:b/>
        </w:rPr>
        <w:t>1:</w:t>
      </w:r>
      <w:r w:rsidR="00266BFD">
        <w:rPr>
          <w:b/>
        </w:rPr>
        <w:t xml:space="preserve"> </w:t>
      </w:r>
      <w:r w:rsidRPr="00DB2DED">
        <w:rPr>
          <w:b/>
        </w:rPr>
        <w:t>Contrast</w:t>
      </w:r>
      <w:r w:rsidR="00A27902">
        <w:rPr>
          <w:b/>
        </w:rPr>
        <w:t>.</w:t>
      </w:r>
    </w:p>
  </w:footnote>
  <w:footnote w:id="4">
    <w:p w:rsidR="0055129F" w:rsidRPr="0055129F" w:rsidRDefault="0055129F" w:rsidP="00266BFD">
      <w:pPr>
        <w:pStyle w:val="FootnoteText"/>
        <w:tabs>
          <w:tab w:val="clear" w:pos="1021"/>
        </w:tabs>
        <w:ind w:left="567" w:hanging="567"/>
        <w:jc w:val="both"/>
        <w:rPr>
          <w:lang w:val="en-US"/>
        </w:rPr>
      </w:pPr>
      <w:r>
        <w:rPr>
          <w:rStyle w:val="FootnoteReference"/>
        </w:rPr>
        <w:footnoteRef/>
      </w:r>
      <w:r>
        <w:t xml:space="preserve"> </w:t>
      </w:r>
      <w:r w:rsidR="00266BFD">
        <w:tab/>
      </w:r>
      <w:r w:rsidRPr="00266BFD">
        <w:t>Regulation</w:t>
      </w:r>
      <w:r w:rsidRPr="0055129F">
        <w:t xml:space="preserve"> (EU) No 1300/2014 on the technical specifications for interoperability relating to accessibility of the Union's rail system for persons with disabilities and persons with reduced mobility (OJ L 356 of 12.12.2014, p. 110 – 178)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3" w:rsidRDefault="0095233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3" w:rsidRDefault="0095233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952333">
      <w:tc>
        <w:tcPr>
          <w:tcW w:w="4962" w:type="dxa"/>
        </w:tcPr>
        <w:p w:rsidR="00952333" w:rsidRDefault="001B4674" w:rsidP="00345F8D">
          <w:pPr>
            <w:tabs>
              <w:tab w:val="center" w:pos="4320"/>
              <w:tab w:val="right" w:pos="8640"/>
            </w:tabs>
            <w:suppressAutoHyphens w:val="0"/>
            <w:spacing w:line="240" w:lineRule="auto"/>
            <w:rPr>
              <w:b/>
              <w:sz w:val="16"/>
              <w:szCs w:val="16"/>
            </w:rPr>
          </w:pPr>
          <w:r>
            <w:t xml:space="preserve">Submitted by the expert from </w:t>
          </w:r>
          <w:r w:rsidR="00345F8D">
            <w:t>Switzerland</w:t>
          </w:r>
        </w:p>
      </w:tc>
      <w:tc>
        <w:tcPr>
          <w:tcW w:w="4961" w:type="dxa"/>
        </w:tcPr>
        <w:p w:rsidR="005313BA" w:rsidRDefault="001B4674" w:rsidP="005313BA">
          <w:pPr>
            <w:suppressAutoHyphens w:val="0"/>
            <w:spacing w:line="240" w:lineRule="auto"/>
            <w:ind w:left="742"/>
            <w:rPr>
              <w:b/>
              <w:bCs/>
            </w:rPr>
          </w:pPr>
          <w:r w:rsidRPr="00345F8D">
            <w:rPr>
              <w:u w:val="single"/>
            </w:rPr>
            <w:t>Informal document</w:t>
          </w:r>
          <w:r w:rsidRPr="00345F8D">
            <w:t xml:space="preserve"> </w:t>
          </w:r>
          <w:r w:rsidRPr="00345F8D">
            <w:rPr>
              <w:b/>
              <w:bCs/>
            </w:rPr>
            <w:t>GRSG-1</w:t>
          </w:r>
          <w:r w:rsidRPr="00345F8D">
            <w:rPr>
              <w:rFonts w:eastAsia="MS Mincho" w:hint="eastAsia"/>
              <w:b/>
              <w:bCs/>
              <w:lang w:eastAsia="ja-JP"/>
            </w:rPr>
            <w:t>1</w:t>
          </w:r>
          <w:r w:rsidR="00345F8D">
            <w:rPr>
              <w:rFonts w:eastAsia="MS Mincho"/>
              <w:b/>
              <w:bCs/>
              <w:lang w:eastAsia="ja-JP"/>
            </w:rPr>
            <w:t>2</w:t>
          </w:r>
          <w:r w:rsidRPr="00345F8D">
            <w:rPr>
              <w:b/>
              <w:bCs/>
            </w:rPr>
            <w:t>-</w:t>
          </w:r>
          <w:r w:rsidR="005313BA">
            <w:rPr>
              <w:b/>
              <w:bCs/>
            </w:rPr>
            <w:t>02</w:t>
          </w:r>
          <w:r w:rsidR="008C22B9">
            <w:rPr>
              <w:b/>
              <w:bCs/>
            </w:rPr>
            <w:t>-Rev.1</w:t>
          </w:r>
        </w:p>
        <w:p w:rsidR="00952333" w:rsidRPr="00345F8D" w:rsidRDefault="001B4674" w:rsidP="005313BA">
          <w:pPr>
            <w:suppressAutoHyphens w:val="0"/>
            <w:spacing w:line="240" w:lineRule="auto"/>
            <w:ind w:left="742"/>
          </w:pPr>
          <w:r w:rsidRPr="00345F8D">
            <w:t>(1</w:t>
          </w:r>
          <w:r w:rsidRPr="00345F8D">
            <w:rPr>
              <w:rFonts w:eastAsia="MS Mincho" w:hint="eastAsia"/>
              <w:lang w:eastAsia="ja-JP"/>
            </w:rPr>
            <w:t>1</w:t>
          </w:r>
          <w:r w:rsidR="00345F8D">
            <w:rPr>
              <w:rFonts w:eastAsia="MS Mincho"/>
              <w:lang w:eastAsia="ja-JP"/>
            </w:rPr>
            <w:t>2</w:t>
          </w:r>
          <w:r w:rsidRPr="00345F8D">
            <w:rPr>
              <w:vertAlign w:val="superscript"/>
            </w:rPr>
            <w:t>th</w:t>
          </w:r>
          <w:r w:rsidRPr="00345F8D">
            <w:t xml:space="preserve"> GRSG, </w:t>
          </w:r>
          <w:r w:rsidR="00345F8D">
            <w:t>24</w:t>
          </w:r>
          <w:r w:rsidR="00345F8D">
            <w:rPr>
              <w:rFonts w:eastAsiaTheme="minorEastAsia" w:hint="eastAsia"/>
              <w:lang w:eastAsia="ja-JP"/>
            </w:rPr>
            <w:t>-</w:t>
          </w:r>
          <w:r w:rsidR="00345F8D">
            <w:rPr>
              <w:rFonts w:eastAsiaTheme="minorEastAsia"/>
              <w:lang w:eastAsia="ja-JP"/>
            </w:rPr>
            <w:t>28</w:t>
          </w:r>
          <w:r w:rsidRPr="00345F8D">
            <w:rPr>
              <w:rFonts w:eastAsia="MS Mincho"/>
            </w:rPr>
            <w:t xml:space="preserve"> </w:t>
          </w:r>
          <w:r w:rsidR="00345F8D">
            <w:rPr>
              <w:rFonts w:eastAsia="MS Mincho"/>
            </w:rPr>
            <w:t>April</w:t>
          </w:r>
          <w:r w:rsidRPr="00345F8D">
            <w:rPr>
              <w:rFonts w:eastAsia="MS Mincho"/>
            </w:rPr>
            <w:t xml:space="preserve"> 201</w:t>
          </w:r>
          <w:r w:rsidR="00345F8D">
            <w:rPr>
              <w:rFonts w:eastAsia="MS Mincho"/>
            </w:rPr>
            <w:t>7</w:t>
          </w:r>
        </w:p>
        <w:p w:rsidR="00952333" w:rsidRDefault="00345F8D" w:rsidP="00345F8D">
          <w:pPr>
            <w:tabs>
              <w:tab w:val="center" w:pos="4320"/>
              <w:tab w:val="right" w:pos="8640"/>
            </w:tabs>
            <w:suppressAutoHyphens w:val="0"/>
            <w:spacing w:line="240" w:lineRule="auto"/>
            <w:ind w:left="742"/>
          </w:pPr>
          <w:r>
            <w:t>agenda item 2</w:t>
          </w:r>
          <w:r w:rsidR="001B4674" w:rsidRPr="00345F8D">
            <w:t>)</w:t>
          </w:r>
        </w:p>
      </w:tc>
    </w:tr>
  </w:tbl>
  <w:p w:rsidR="00952333" w:rsidRDefault="00952333" w:rsidP="00266BF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530644F1"/>
    <w:multiLevelType w:val="hybridMultilevel"/>
    <w:tmpl w:val="1E0C2466"/>
    <w:lvl w:ilvl="0" w:tplc="790E714E">
      <w:start w:val="1"/>
      <w:numFmt w:val="upp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2"/>
  </w:num>
  <w:num w:numId="16">
    <w:abstractNumId w:val="10"/>
  </w:num>
  <w:num w:numId="17">
    <w:abstractNumId w:val="14"/>
  </w:num>
  <w:num w:numId="18">
    <w:abstractNumId w:val="21"/>
  </w:num>
  <w:num w:numId="19">
    <w:abstractNumId w:val="12"/>
  </w:num>
  <w:num w:numId="20">
    <w:abstractNumId w:val="19"/>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33"/>
    <w:rsid w:val="00003602"/>
    <w:rsid w:val="00025A93"/>
    <w:rsid w:val="00025CE9"/>
    <w:rsid w:val="000664AD"/>
    <w:rsid w:val="000852EF"/>
    <w:rsid w:val="000E21C2"/>
    <w:rsid w:val="000E7266"/>
    <w:rsid w:val="0014467F"/>
    <w:rsid w:val="001B4674"/>
    <w:rsid w:val="001E0594"/>
    <w:rsid w:val="001E7A37"/>
    <w:rsid w:val="001F3375"/>
    <w:rsid w:val="001F4CCA"/>
    <w:rsid w:val="00266BFD"/>
    <w:rsid w:val="002A78BC"/>
    <w:rsid w:val="002E0CBC"/>
    <w:rsid w:val="002F0FD5"/>
    <w:rsid w:val="003071E3"/>
    <w:rsid w:val="003441A4"/>
    <w:rsid w:val="00345F8D"/>
    <w:rsid w:val="00362A15"/>
    <w:rsid w:val="003F218E"/>
    <w:rsid w:val="0040430D"/>
    <w:rsid w:val="00426C4F"/>
    <w:rsid w:val="00432F6D"/>
    <w:rsid w:val="00441C16"/>
    <w:rsid w:val="00443E1B"/>
    <w:rsid w:val="00452EAF"/>
    <w:rsid w:val="004B1B0D"/>
    <w:rsid w:val="004C14D8"/>
    <w:rsid w:val="004D3D7C"/>
    <w:rsid w:val="004E71BD"/>
    <w:rsid w:val="00512493"/>
    <w:rsid w:val="005313BA"/>
    <w:rsid w:val="0055129F"/>
    <w:rsid w:val="00554340"/>
    <w:rsid w:val="005A5E4B"/>
    <w:rsid w:val="005A7568"/>
    <w:rsid w:val="005C0972"/>
    <w:rsid w:val="005E2F28"/>
    <w:rsid w:val="005E7B84"/>
    <w:rsid w:val="0062300D"/>
    <w:rsid w:val="006322DF"/>
    <w:rsid w:val="00656C24"/>
    <w:rsid w:val="00676D9E"/>
    <w:rsid w:val="006D257E"/>
    <w:rsid w:val="006D5912"/>
    <w:rsid w:val="007A0EF6"/>
    <w:rsid w:val="007B61B3"/>
    <w:rsid w:val="007E0BAF"/>
    <w:rsid w:val="008A4A67"/>
    <w:rsid w:val="008C22B9"/>
    <w:rsid w:val="008E18AD"/>
    <w:rsid w:val="00916903"/>
    <w:rsid w:val="00952333"/>
    <w:rsid w:val="009D0B80"/>
    <w:rsid w:val="009E105A"/>
    <w:rsid w:val="00A27902"/>
    <w:rsid w:val="00A572D4"/>
    <w:rsid w:val="00A92D85"/>
    <w:rsid w:val="00B74BFB"/>
    <w:rsid w:val="00B93A86"/>
    <w:rsid w:val="00C93F9C"/>
    <w:rsid w:val="00C97678"/>
    <w:rsid w:val="00CC497B"/>
    <w:rsid w:val="00CD00F8"/>
    <w:rsid w:val="00CD6538"/>
    <w:rsid w:val="00DB2DED"/>
    <w:rsid w:val="00DF2BF8"/>
    <w:rsid w:val="00E01A98"/>
    <w:rsid w:val="00E656CB"/>
    <w:rsid w:val="00E6774A"/>
    <w:rsid w:val="00EA53B0"/>
    <w:rsid w:val="00F043A5"/>
    <w:rsid w:val="00F63AE5"/>
    <w:rsid w:val="00F70936"/>
    <w:rsid w:val="00FB0253"/>
    <w:rsid w:val="00FC3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Pr>
      <w:rFonts w:ascii="Times New Roman" w:hAnsi="Times New Roman"/>
      <w:sz w:val="18"/>
      <w:vertAlign w:val="superscript"/>
    </w:rPr>
  </w:style>
  <w:style w:type="paragraph" w:styleId="FootnoteText">
    <w:name w:val="footnote text"/>
    <w:aliases w:val="5_G,PP"/>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5_G Char,PP Char"/>
    <w:link w:val="FootnoteText"/>
    <w:locked/>
    <w:rPr>
      <w:sz w:val="18"/>
      <w:lang w:val="en-GB"/>
    </w:rPr>
  </w:style>
  <w:style w:type="character" w:customStyle="1" w:styleId="HChGChar">
    <w:name w:val="_ H _Ch_G Char"/>
    <w:link w:val="HChG"/>
    <w:rPr>
      <w:b/>
      <w:sz w:val="28"/>
      <w:lang w:val="en-GB"/>
    </w:rPr>
  </w:style>
  <w:style w:type="paragraph" w:styleId="ListParagraph">
    <w:name w:val="List Paragraph"/>
    <w:basedOn w:val="Normal"/>
    <w:uiPriority w:val="34"/>
    <w:qFormat/>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style>
  <w:style w:type="paragraph" w:customStyle="1" w:styleId="para">
    <w:name w:val="para"/>
    <w:basedOn w:val="Normal"/>
    <w:link w:val="paraChar"/>
    <w:pPr>
      <w:spacing w:after="120"/>
      <w:ind w:left="2268" w:right="1134" w:hanging="1134"/>
      <w:jc w:val="both"/>
    </w:pPr>
  </w:style>
  <w:style w:type="character" w:customStyle="1" w:styleId="paraChar">
    <w:name w:val="para Char"/>
    <w:link w:val="para"/>
    <w:rPr>
      <w:lang w:eastAsia="en-US"/>
    </w:rPr>
  </w:style>
  <w:style w:type="character" w:customStyle="1" w:styleId="Heading1Char">
    <w:name w:val="Heading 1 Char"/>
    <w:aliases w:val="Table_G Char"/>
    <w:link w:val="Heading1"/>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Pr>
      <w:rFonts w:ascii="Times New Roman" w:hAnsi="Times New Roman"/>
      <w:sz w:val="18"/>
      <w:vertAlign w:val="superscript"/>
    </w:rPr>
  </w:style>
  <w:style w:type="paragraph" w:styleId="FootnoteText">
    <w:name w:val="footnote text"/>
    <w:aliases w:val="5_G,PP"/>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5_G Char,PP Char"/>
    <w:link w:val="FootnoteText"/>
    <w:locked/>
    <w:rPr>
      <w:sz w:val="18"/>
      <w:lang w:val="en-GB"/>
    </w:rPr>
  </w:style>
  <w:style w:type="character" w:customStyle="1" w:styleId="HChGChar">
    <w:name w:val="_ H _Ch_G Char"/>
    <w:link w:val="HChG"/>
    <w:rPr>
      <w:b/>
      <w:sz w:val="28"/>
      <w:lang w:val="en-GB"/>
    </w:rPr>
  </w:style>
  <w:style w:type="paragraph" w:styleId="ListParagraph">
    <w:name w:val="List Paragraph"/>
    <w:basedOn w:val="Normal"/>
    <w:uiPriority w:val="34"/>
    <w:qFormat/>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style>
  <w:style w:type="paragraph" w:customStyle="1" w:styleId="para">
    <w:name w:val="para"/>
    <w:basedOn w:val="Normal"/>
    <w:link w:val="paraChar"/>
    <w:pPr>
      <w:spacing w:after="120"/>
      <w:ind w:left="2268" w:right="1134" w:hanging="1134"/>
      <w:jc w:val="both"/>
    </w:pPr>
  </w:style>
  <w:style w:type="character" w:customStyle="1" w:styleId="paraChar">
    <w:name w:val="para Char"/>
    <w:link w:val="para"/>
    <w:rPr>
      <w:lang w:eastAsia="en-US"/>
    </w:rPr>
  </w:style>
  <w:style w:type="character" w:customStyle="1" w:styleId="Heading1Char">
    <w:name w:val="Heading 1 Char"/>
    <w:aliases w:val="Table_G Char"/>
    <w:link w:val="Heading1"/>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D9F8-8AB0-4B80-8214-9ED17A12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523</Words>
  <Characters>2985</Characters>
  <Application>Microsoft Office Word</Application>
  <DocSecurity>0</DocSecurity>
  <Lines>24</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1612840</vt:lpstr>
      <vt:lpstr>1612840</vt:lpstr>
      <vt:lpstr>United Nations</vt:lpstr>
    </vt:vector>
  </TitlesOfParts>
  <Company>CSD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1612840</dc:title>
  <dc:subject>ECE/TRANS/WP.29/GRSG/2016/20</dc:subject>
  <dc:creator>Romain HUBERT</dc:creator>
  <cp:lastModifiedBy>Hubert Romain</cp:lastModifiedBy>
  <cp:revision>2</cp:revision>
  <cp:lastPrinted>2017-03-09T08:39:00Z</cp:lastPrinted>
  <dcterms:created xsi:type="dcterms:W3CDTF">2017-03-09T09:31:00Z</dcterms:created>
  <dcterms:modified xsi:type="dcterms:W3CDTF">2017-03-09T09:31:00Z</dcterms:modified>
</cp:coreProperties>
</file>