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6D" w:rsidRPr="00D76EB7" w:rsidRDefault="0019596D" w:rsidP="0019596D">
      <w:pPr>
        <w:spacing w:line="240" w:lineRule="auto"/>
        <w:rPr>
          <w:sz w:val="2"/>
          <w:lang w:val="fr-CH"/>
        </w:rPr>
        <w:sectPr w:rsidR="0019596D" w:rsidRPr="00D76EB7" w:rsidSect="0019596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19596D" w:rsidRPr="00D76EB7" w:rsidRDefault="0019596D" w:rsidP="00B77B7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76EB7">
        <w:rPr>
          <w:lang w:val="fr-CH"/>
        </w:rPr>
        <w:lastRenderedPageBreak/>
        <w:t>Commission économique pour l</w:t>
      </w:r>
      <w:r w:rsidR="00B77B7D" w:rsidRPr="00D76EB7">
        <w:rPr>
          <w:lang w:val="fr-CH"/>
        </w:rPr>
        <w:t>’</w:t>
      </w:r>
      <w:r w:rsidRPr="00D76EB7">
        <w:rPr>
          <w:lang w:val="fr-CH"/>
        </w:rPr>
        <w:t>Europe</w:t>
      </w:r>
    </w:p>
    <w:p w:rsidR="00B77B7D" w:rsidRPr="00D76EB7" w:rsidRDefault="00B77B7D" w:rsidP="00B77B7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9596D" w:rsidRPr="00D76EB7" w:rsidRDefault="0019596D" w:rsidP="00B77B7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D76EB7">
        <w:rPr>
          <w:b w:val="0"/>
          <w:bCs/>
          <w:lang w:val="fr-CH"/>
        </w:rPr>
        <w:t>Comité des transports intérieurs</w:t>
      </w:r>
    </w:p>
    <w:p w:rsidR="00B77B7D" w:rsidRPr="00D76EB7" w:rsidRDefault="00B77B7D" w:rsidP="00B77B7D">
      <w:pPr>
        <w:spacing w:line="120" w:lineRule="exact"/>
        <w:rPr>
          <w:sz w:val="10"/>
          <w:lang w:val="fr-CH"/>
        </w:rPr>
      </w:pPr>
    </w:p>
    <w:p w:rsidR="00B77B7D" w:rsidRPr="00D76EB7" w:rsidRDefault="00B77B7D" w:rsidP="00B77B7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76EB7">
        <w:rPr>
          <w:lang w:val="fr-CH"/>
        </w:rPr>
        <w:t xml:space="preserve">Forum mondial de l’harmonisation </w:t>
      </w:r>
      <w:r w:rsidRPr="00D76EB7">
        <w:rPr>
          <w:lang w:val="fr-CH"/>
        </w:rPr>
        <w:br/>
        <w:t>des Règlements concernant les véhicules</w:t>
      </w:r>
    </w:p>
    <w:p w:rsidR="00B77B7D" w:rsidRPr="00D76EB7" w:rsidRDefault="00B77B7D" w:rsidP="00B77B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77B7D" w:rsidRPr="00D76EB7" w:rsidRDefault="00B77B7D" w:rsidP="00B77B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D76EB7">
        <w:rPr>
          <w:lang w:val="fr-CH"/>
        </w:rPr>
        <w:t xml:space="preserve">Groupe de travail de l’éclairage </w:t>
      </w:r>
      <w:r w:rsidRPr="00D76EB7">
        <w:rPr>
          <w:lang w:val="fr-CH"/>
        </w:rPr>
        <w:br/>
        <w:t>et de la signalisation lumineuse</w:t>
      </w:r>
    </w:p>
    <w:p w:rsidR="00B77B7D" w:rsidRPr="00D76EB7" w:rsidRDefault="00B77B7D" w:rsidP="00B77B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77B7D" w:rsidRPr="00D76EB7" w:rsidRDefault="00B77B7D" w:rsidP="00B77B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76EB7">
        <w:rPr>
          <w:lang w:val="fr-CH"/>
        </w:rPr>
        <w:t>Soixante-quinzième session</w:t>
      </w:r>
    </w:p>
    <w:p w:rsidR="00B77B7D" w:rsidRPr="00D76EB7" w:rsidRDefault="00B77B7D" w:rsidP="00B77B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sidRPr="00D76EB7">
        <w:rPr>
          <w:lang w:val="fr-CH"/>
        </w:rPr>
        <w:t>Genève, 5-8 avril 2016</w:t>
      </w:r>
    </w:p>
    <w:p w:rsidR="00B77B7D" w:rsidRPr="00D76EB7" w:rsidRDefault="005B1C57" w:rsidP="00B77B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Pr>
          <w:lang w:val="fr-CH"/>
        </w:rPr>
        <w:t>Point 7 </w:t>
      </w:r>
      <w:r w:rsidR="00B77B7D" w:rsidRPr="00D76EB7">
        <w:rPr>
          <w:lang w:val="fr-CH"/>
        </w:rPr>
        <w:t>b), e), f), j), m) et q) de l’ordre du jour provisoire</w:t>
      </w:r>
    </w:p>
    <w:p w:rsidR="00B77B7D" w:rsidRPr="00D76EB7" w:rsidRDefault="00B77B7D" w:rsidP="00B77B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D76EB7">
        <w:rPr>
          <w:lang w:val="fr-CH"/>
        </w:rPr>
        <w:t xml:space="preserve">Autres Règlements: </w:t>
      </w:r>
    </w:p>
    <w:p w:rsidR="00B77B7D" w:rsidRPr="00D76EB7" w:rsidRDefault="00B77B7D" w:rsidP="00B77B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D76EB7">
        <w:rPr>
          <w:lang w:val="fr-CH"/>
        </w:rPr>
        <w:t>Règlement n</w:t>
      </w:r>
      <w:r w:rsidRPr="00D76EB7">
        <w:rPr>
          <w:vertAlign w:val="superscript"/>
          <w:lang w:val="fr-CH"/>
        </w:rPr>
        <w:t>o</w:t>
      </w:r>
      <w:r w:rsidRPr="00D76EB7">
        <w:rPr>
          <w:lang w:val="fr-CH"/>
        </w:rPr>
        <w:t> 7 (</w:t>
      </w:r>
      <w:r w:rsidR="005B1C57" w:rsidRPr="00D76EB7">
        <w:rPr>
          <w:lang w:val="fr-CH"/>
        </w:rPr>
        <w:t xml:space="preserve">Feux </w:t>
      </w:r>
      <w:r w:rsidRPr="00D76EB7">
        <w:rPr>
          <w:lang w:val="fr-CH"/>
        </w:rPr>
        <w:t>de position, feux-stop et feux d’encombrement)</w:t>
      </w:r>
    </w:p>
    <w:p w:rsidR="00B77B7D" w:rsidRPr="00D76EB7" w:rsidRDefault="00B77B7D" w:rsidP="00B77B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D76EB7">
        <w:rPr>
          <w:lang w:val="fr-CH"/>
        </w:rPr>
        <w:t>Règlement n</w:t>
      </w:r>
      <w:r w:rsidRPr="00D76EB7">
        <w:rPr>
          <w:vertAlign w:val="superscript"/>
          <w:lang w:val="fr-CH"/>
        </w:rPr>
        <w:t>o</w:t>
      </w:r>
      <w:r w:rsidRPr="00D76EB7">
        <w:rPr>
          <w:lang w:val="fr-CH"/>
        </w:rPr>
        <w:t> 23 (</w:t>
      </w:r>
      <w:r w:rsidR="005B1C57" w:rsidRPr="00D76EB7">
        <w:rPr>
          <w:lang w:val="fr-CH"/>
        </w:rPr>
        <w:t xml:space="preserve">Feux </w:t>
      </w:r>
      <w:r w:rsidRPr="00D76EB7">
        <w:rPr>
          <w:lang w:val="fr-CH"/>
        </w:rPr>
        <w:t>de marche arrière)</w:t>
      </w:r>
    </w:p>
    <w:p w:rsidR="00B77B7D" w:rsidRPr="00D76EB7" w:rsidRDefault="00B77B7D" w:rsidP="00B77B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D76EB7">
        <w:rPr>
          <w:lang w:val="fr-CH"/>
        </w:rPr>
        <w:t>Règlement n</w:t>
      </w:r>
      <w:r w:rsidRPr="00D76EB7">
        <w:rPr>
          <w:vertAlign w:val="superscript"/>
          <w:lang w:val="fr-CH"/>
        </w:rPr>
        <w:t>o</w:t>
      </w:r>
      <w:r w:rsidRPr="00D76EB7">
        <w:rPr>
          <w:lang w:val="fr-CH"/>
        </w:rPr>
        <w:t> 38 (</w:t>
      </w:r>
      <w:r w:rsidR="005B1C57" w:rsidRPr="00D76EB7">
        <w:rPr>
          <w:lang w:val="fr-CH"/>
        </w:rPr>
        <w:t xml:space="preserve">Feux </w:t>
      </w:r>
      <w:r w:rsidRPr="00D76EB7">
        <w:rPr>
          <w:lang w:val="fr-CH"/>
        </w:rPr>
        <w:t>de brouillard arrière)</w:t>
      </w:r>
    </w:p>
    <w:p w:rsidR="00B77B7D" w:rsidRPr="00D76EB7" w:rsidRDefault="00B77B7D" w:rsidP="00B77B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D76EB7">
        <w:rPr>
          <w:lang w:val="fr-CH"/>
        </w:rPr>
        <w:t>Règlement n</w:t>
      </w:r>
      <w:r w:rsidRPr="00D76EB7">
        <w:rPr>
          <w:vertAlign w:val="superscript"/>
          <w:lang w:val="fr-CH"/>
        </w:rPr>
        <w:t>o</w:t>
      </w:r>
      <w:r w:rsidRPr="00D76EB7">
        <w:rPr>
          <w:lang w:val="fr-CH"/>
        </w:rPr>
        <w:t> 77 (</w:t>
      </w:r>
      <w:r w:rsidR="005B1C57" w:rsidRPr="00D76EB7">
        <w:rPr>
          <w:lang w:val="fr-CH"/>
        </w:rPr>
        <w:t xml:space="preserve">Feux </w:t>
      </w:r>
      <w:r w:rsidRPr="00D76EB7">
        <w:rPr>
          <w:lang w:val="fr-CH"/>
        </w:rPr>
        <w:t>de stationnement)</w:t>
      </w:r>
    </w:p>
    <w:p w:rsidR="00B77B7D" w:rsidRPr="00D76EB7" w:rsidRDefault="00B77B7D" w:rsidP="00B77B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D76EB7">
        <w:rPr>
          <w:lang w:val="fr-CH"/>
        </w:rPr>
        <w:t>Règlement n</w:t>
      </w:r>
      <w:r w:rsidRPr="00D76EB7">
        <w:rPr>
          <w:vertAlign w:val="superscript"/>
          <w:lang w:val="fr-CH"/>
        </w:rPr>
        <w:t>o</w:t>
      </w:r>
      <w:r w:rsidRPr="00D76EB7">
        <w:rPr>
          <w:lang w:val="fr-CH"/>
        </w:rPr>
        <w:t> 91 (</w:t>
      </w:r>
      <w:r w:rsidR="005B1C57" w:rsidRPr="00D76EB7">
        <w:rPr>
          <w:lang w:val="fr-CH"/>
        </w:rPr>
        <w:t xml:space="preserve">Feux </w:t>
      </w:r>
      <w:r w:rsidRPr="00D76EB7">
        <w:rPr>
          <w:lang w:val="fr-CH"/>
        </w:rPr>
        <w:t>de position latéraux)</w:t>
      </w:r>
    </w:p>
    <w:p w:rsidR="00B77B7D" w:rsidRPr="00D76EB7" w:rsidRDefault="00B77B7D" w:rsidP="00B77B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D76EB7">
        <w:rPr>
          <w:lang w:val="fr-CH"/>
        </w:rPr>
        <w:t>Règlement n</w:t>
      </w:r>
      <w:r w:rsidRPr="00D76EB7">
        <w:rPr>
          <w:vertAlign w:val="superscript"/>
          <w:lang w:val="fr-CH"/>
        </w:rPr>
        <w:t>o</w:t>
      </w:r>
      <w:r w:rsidRPr="00D76EB7">
        <w:rPr>
          <w:lang w:val="fr-CH"/>
        </w:rPr>
        <w:t> 119 (</w:t>
      </w:r>
      <w:r w:rsidR="005B1C57" w:rsidRPr="00D76EB7">
        <w:rPr>
          <w:lang w:val="fr-CH"/>
        </w:rPr>
        <w:t xml:space="preserve">Feux </w:t>
      </w:r>
      <w:r w:rsidRPr="00D76EB7">
        <w:rPr>
          <w:lang w:val="fr-CH"/>
        </w:rPr>
        <w:t>d’angle)</w:t>
      </w:r>
    </w:p>
    <w:p w:rsidR="00B77B7D" w:rsidRPr="00D76EB7" w:rsidRDefault="00B77B7D" w:rsidP="00B77B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77B7D" w:rsidRPr="00D76EB7" w:rsidRDefault="00B77B7D" w:rsidP="00B77B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77B7D" w:rsidRPr="00D76EB7" w:rsidRDefault="00B77B7D" w:rsidP="00B77B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77B7D" w:rsidRPr="00D76EB7" w:rsidRDefault="00B77B7D" w:rsidP="00B77B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tab/>
      </w:r>
      <w:r w:rsidRPr="00D76EB7">
        <w:rPr>
          <w:lang w:val="fr-CH"/>
        </w:rPr>
        <w:tab/>
        <w:t xml:space="preserve">Proposition d’amendements collectifs aux Règlements </w:t>
      </w:r>
      <w:r w:rsidRPr="00D76EB7">
        <w:rPr>
          <w:lang w:val="fr-CH"/>
        </w:rPr>
        <w:br/>
        <w:t>n</w:t>
      </w:r>
      <w:r w:rsidRPr="00D76EB7">
        <w:rPr>
          <w:vertAlign w:val="superscript"/>
          <w:lang w:val="fr-CH"/>
        </w:rPr>
        <w:t>os</w:t>
      </w:r>
      <w:r w:rsidR="00DD4D6D">
        <w:rPr>
          <w:lang w:val="fr-CH"/>
        </w:rPr>
        <w:t> </w:t>
      </w:r>
      <w:r w:rsidRPr="00D76EB7">
        <w:rPr>
          <w:lang w:val="fr-CH"/>
        </w:rPr>
        <w:t>7, 23, 38, 77, 91 et 119</w:t>
      </w:r>
    </w:p>
    <w:p w:rsidR="00B77B7D" w:rsidRPr="00D76EB7" w:rsidRDefault="00B77B7D" w:rsidP="00B77B7D">
      <w:pPr>
        <w:pStyle w:val="SingleTxt"/>
        <w:spacing w:after="0" w:line="120" w:lineRule="exact"/>
        <w:rPr>
          <w:b/>
          <w:bCs/>
          <w:sz w:val="10"/>
          <w:lang w:val="fr-CH"/>
        </w:rPr>
      </w:pP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tab/>
      </w:r>
      <w:r w:rsidRPr="00D76EB7">
        <w:rPr>
          <w:lang w:val="fr-CH"/>
        </w:rPr>
        <w:tab/>
        <w:t>Communication de l’expert du Groupe de travail « Bruxelles 1952 » (GTB)</w:t>
      </w:r>
      <w:r w:rsidRPr="00D76EB7">
        <w:rPr>
          <w:rStyle w:val="FootnoteReference"/>
          <w:b w:val="0"/>
          <w:sz w:val="20"/>
          <w:szCs w:val="20"/>
          <w:vertAlign w:val="baseline"/>
          <w:lang w:val="fr-CH"/>
        </w:rPr>
        <w:footnoteReference w:customMarkFollows="1" w:id="1"/>
        <w:t>*</w:t>
      </w:r>
    </w:p>
    <w:p w:rsidR="00B77B7D" w:rsidRPr="00D76EB7" w:rsidRDefault="00B77B7D" w:rsidP="00B77B7D">
      <w:pPr>
        <w:pStyle w:val="SingleTxt"/>
        <w:spacing w:after="0" w:line="120" w:lineRule="exact"/>
        <w:rPr>
          <w:sz w:val="10"/>
          <w:lang w:val="fr-CH"/>
        </w:rPr>
      </w:pPr>
    </w:p>
    <w:p w:rsidR="00B77B7D" w:rsidRPr="00D76EB7" w:rsidRDefault="00B77B7D" w:rsidP="00B77B7D">
      <w:pPr>
        <w:pStyle w:val="SingleTxt"/>
        <w:spacing w:after="0" w:line="120" w:lineRule="exact"/>
        <w:rPr>
          <w:sz w:val="10"/>
          <w:lang w:val="fr-CH"/>
        </w:rPr>
      </w:pPr>
    </w:p>
    <w:p w:rsidR="00B77B7D" w:rsidRPr="00D76EB7" w:rsidRDefault="00B77B7D" w:rsidP="00B77B7D">
      <w:pPr>
        <w:pStyle w:val="SingleTxt"/>
        <w:rPr>
          <w:lang w:val="fr-CH"/>
        </w:rPr>
      </w:pPr>
      <w:r w:rsidRPr="00D76EB7">
        <w:rPr>
          <w:lang w:val="fr-CH"/>
        </w:rPr>
        <w:tab/>
        <w:t>Le texte reproduit ci-après a été établi par l’expert du GTB afin de mettre à jour les dispositions sur la défaillance des sources lumineuses lorsqu’un témoin indiquant un défaut de fonctionnement est installé. Ce sujet a déjà fait l’objet d’un débat au GRE à sa soixante-treizième session. Les modifications qu’il est proposé d’apporter au texte actuel des Règlements sont signalées en caractères gras pour les ajouts ou biffés pour les suppressions.</w:t>
      </w:r>
    </w:p>
    <w:p w:rsidR="00B77B7D" w:rsidRPr="00D76EB7" w:rsidRDefault="00B77B7D" w:rsidP="00B77B7D">
      <w:pPr>
        <w:pStyle w:val="SingleTxt"/>
        <w:rPr>
          <w:spacing w:val="-2"/>
          <w:sz w:val="28"/>
          <w:lang w:val="fr-CH"/>
        </w:rPr>
      </w:pPr>
      <w:r w:rsidRPr="00D76EB7">
        <w:rPr>
          <w:lang w:val="fr-CH"/>
        </w:rPr>
        <w:br w:type="page"/>
      </w:r>
    </w:p>
    <w:p w:rsidR="00B77B7D" w:rsidRPr="00D76EB7" w:rsidRDefault="00B77B7D" w:rsidP="00B77B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lastRenderedPageBreak/>
        <w:tab/>
        <w:t>I.</w:t>
      </w:r>
      <w:r w:rsidRPr="00D76EB7">
        <w:rPr>
          <w:lang w:val="fr-CH"/>
        </w:rPr>
        <w:tab/>
        <w:t>Proposition</w:t>
      </w: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tab/>
        <w:t>A.</w:t>
      </w:r>
      <w:r w:rsidRPr="00D76EB7">
        <w:rPr>
          <w:lang w:val="fr-CH"/>
        </w:rPr>
        <w:tab/>
        <w:t>Complément 25 à la série 02 d’amendements au Règlement n</w:t>
      </w:r>
      <w:r w:rsidRPr="00D76EB7">
        <w:rPr>
          <w:vertAlign w:val="superscript"/>
          <w:lang w:val="fr-CH"/>
        </w:rPr>
        <w:t>o</w:t>
      </w:r>
      <w:r w:rsidRPr="00D76EB7">
        <w:rPr>
          <w:lang w:val="fr-CH"/>
        </w:rPr>
        <w:t> 7 (</w:t>
      </w:r>
      <w:r w:rsidR="005C101A" w:rsidRPr="00D76EB7">
        <w:rPr>
          <w:lang w:val="fr-CH"/>
        </w:rPr>
        <w:t xml:space="preserve">Feux </w:t>
      </w:r>
      <w:r w:rsidRPr="00D76EB7">
        <w:rPr>
          <w:lang w:val="fr-CH"/>
        </w:rPr>
        <w:t>de position, feux-stop et feux d’encombrement)</w:t>
      </w: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rPr>
          <w:lang w:val="fr-CH"/>
        </w:rPr>
      </w:pPr>
      <w:r w:rsidRPr="00D76EB7">
        <w:rPr>
          <w:i/>
          <w:iCs/>
          <w:lang w:val="fr-CH"/>
        </w:rPr>
        <w:t>Paragraphe 6.1.7</w:t>
      </w:r>
      <w:r w:rsidRPr="00D76EB7">
        <w:rPr>
          <w:lang w:val="fr-CH"/>
        </w:rPr>
        <w:t>, modifier comme suit</w:t>
      </w:r>
      <w:r w:rsidR="005C101A" w:rsidRPr="00D76EB7">
        <w:rPr>
          <w:lang w:val="fr-CH"/>
        </w:rPr>
        <w:t> </w:t>
      </w:r>
      <w:r w:rsidRPr="00D76EB7">
        <w:rPr>
          <w:lang w:val="fr-CH"/>
        </w:rPr>
        <w:t>:</w:t>
      </w:r>
    </w:p>
    <w:p w:rsidR="00B77B7D" w:rsidRPr="00D76EB7" w:rsidRDefault="00B77B7D" w:rsidP="005C101A">
      <w:pPr>
        <w:pStyle w:val="SingleTxt"/>
        <w:ind w:left="2218" w:hanging="951"/>
        <w:rPr>
          <w:lang w:val="fr-CH"/>
        </w:rPr>
      </w:pPr>
      <w:r w:rsidRPr="00D76EB7">
        <w:rPr>
          <w:lang w:val="fr-CH"/>
        </w:rPr>
        <w:t>« 6.1.7</w:t>
      </w:r>
      <w:r w:rsidRPr="00D76EB7">
        <w:rPr>
          <w:lang w:val="fr-CH"/>
        </w:rPr>
        <w:tab/>
      </w:r>
      <w:r w:rsidRPr="00D76EB7">
        <w:rPr>
          <w:strike/>
          <w:lang w:val="fr-CH"/>
        </w:rPr>
        <w:t>En cas de défaillance d’un feu simple contenant plus d’une source lumineuse, les dispositions suivantes s’appliquent</w:t>
      </w:r>
      <w:r w:rsidR="005C101A" w:rsidRPr="00D76EB7">
        <w:rPr>
          <w:strike/>
          <w:lang w:val="fr-CH"/>
        </w:rPr>
        <w:t> </w:t>
      </w:r>
      <w:r w:rsidRPr="00D76EB7">
        <w:rPr>
          <w:strike/>
          <w:lang w:val="fr-CH"/>
        </w:rPr>
        <w:t>:</w:t>
      </w:r>
      <w:r w:rsidRPr="00D76EB7">
        <w:rPr>
          <w:lang w:val="fr-CH"/>
        </w:rPr>
        <w:t xml:space="preserve"> </w:t>
      </w:r>
      <w:r w:rsidRPr="00D76EB7">
        <w:rPr>
          <w:b/>
          <w:bCs/>
          <w:lang w:val="fr-CH"/>
        </w:rPr>
        <w:t>Défaillance d’une source lumineuse</w:t>
      </w:r>
      <w:r w:rsidR="005C101A" w:rsidRPr="00D76EB7">
        <w:rPr>
          <w:b/>
          <w:bCs/>
          <w:lang w:val="fr-CH"/>
        </w:rPr>
        <w:t> </w:t>
      </w:r>
      <w:r w:rsidRPr="00D76EB7">
        <w:rPr>
          <w:b/>
          <w:bCs/>
          <w:lang w:val="fr-CH"/>
        </w:rPr>
        <w:t>:</w:t>
      </w:r>
    </w:p>
    <w:p w:rsidR="00B77B7D" w:rsidRPr="00D76EB7" w:rsidRDefault="00B77B7D" w:rsidP="005C101A">
      <w:pPr>
        <w:pStyle w:val="SingleTxt"/>
        <w:ind w:left="2218" w:hanging="951"/>
        <w:rPr>
          <w:lang w:val="fr-CH"/>
        </w:rPr>
      </w:pPr>
      <w:r w:rsidRPr="00D76EB7">
        <w:rPr>
          <w:lang w:val="fr-CH"/>
        </w:rPr>
        <w:t>6.1.7.1</w:t>
      </w:r>
      <w:r w:rsidRPr="00D76EB7">
        <w:rPr>
          <w:lang w:val="fr-CH"/>
        </w:rPr>
        <w:tab/>
        <w:t>Un groupe de sources lumineuses, branchées de manière qu’en cas de défaillance de l’une d’elles toutes les autres s’arrêtent d’émettre de la lumière, doit être considéré comme une seule et même source lumineuse.</w:t>
      </w:r>
    </w:p>
    <w:p w:rsidR="00B77B7D" w:rsidRPr="00D76EB7" w:rsidRDefault="00B77B7D" w:rsidP="005C101A">
      <w:pPr>
        <w:pStyle w:val="SingleTxt"/>
        <w:ind w:left="2218" w:hanging="951"/>
        <w:rPr>
          <w:strike/>
          <w:lang w:val="fr-CH"/>
        </w:rPr>
      </w:pPr>
      <w:r w:rsidRPr="00D76EB7">
        <w:rPr>
          <w:lang w:val="fr-CH"/>
        </w:rPr>
        <w:t>6.1.7.2</w:t>
      </w:r>
      <w:r w:rsidRPr="00D76EB7">
        <w:rPr>
          <w:lang w:val="fr-CH"/>
        </w:rPr>
        <w:tab/>
      </w:r>
      <w:r w:rsidRPr="00D76EB7">
        <w:rPr>
          <w:strike/>
          <w:lang w:val="fr-CH"/>
        </w:rPr>
        <w:t>Le feu doit satisfaire à l’intensité minimale prescrite dans le tableau de répartition lumineuse spatiale normalisée de l’</w:t>
      </w:r>
      <w:r w:rsidR="005C101A" w:rsidRPr="00D76EB7">
        <w:rPr>
          <w:strike/>
          <w:lang w:val="fr-CH"/>
        </w:rPr>
        <w:t>annexe </w:t>
      </w:r>
      <w:r w:rsidRPr="00D76EB7">
        <w:rPr>
          <w:strike/>
          <w:lang w:val="fr-CH"/>
        </w:rPr>
        <w:t>4 en cas de défaillance de l’une des sources lumineuses. Cependant, dans le cas de feux conçus pour deux sources lumineuses seulemen</w:t>
      </w:r>
      <w:r w:rsidR="005C101A" w:rsidRPr="00D76EB7">
        <w:rPr>
          <w:strike/>
          <w:lang w:val="fr-CH"/>
        </w:rPr>
        <w:t>t, une intensité minimale de 50 </w:t>
      </w:r>
      <w:r w:rsidRPr="00D76EB7">
        <w:rPr>
          <w:strike/>
          <w:lang w:val="fr-CH"/>
        </w:rPr>
        <w:t>% dans l’axe de référence du feu est considérée comme suffisante, à condition que la fiche de communication contienne une note précisant que le feu en question ne peut être utilisé que sur un véhicule équipé d’un témoin de fonctionnement indiquant la défaillance de l’une ou l’autre de ces deux sources lumineuses.</w:t>
      </w:r>
    </w:p>
    <w:p w:rsidR="00B77B7D" w:rsidRPr="00D76EB7" w:rsidRDefault="005C101A" w:rsidP="005C101A">
      <w:pPr>
        <w:pStyle w:val="SingleTxt"/>
        <w:ind w:left="2218" w:hanging="951"/>
        <w:rPr>
          <w:b/>
          <w:lang w:val="fr-CH"/>
        </w:rPr>
      </w:pPr>
      <w:r w:rsidRPr="00D76EB7">
        <w:rPr>
          <w:b/>
          <w:bCs/>
          <w:lang w:val="fr-CH"/>
        </w:rPr>
        <w:tab/>
      </w:r>
      <w:r w:rsidRPr="00D76EB7">
        <w:rPr>
          <w:b/>
          <w:bCs/>
          <w:lang w:val="fr-CH"/>
        </w:rPr>
        <w:tab/>
      </w:r>
      <w:r w:rsidR="00B77B7D" w:rsidRPr="00D76EB7">
        <w:rPr>
          <w:b/>
          <w:bCs/>
          <w:lang w:val="fr-CH"/>
        </w:rPr>
        <w:t>En cas de défaillance de l’une des sources lumineuses d’un feu simple qui en contient plusieurs, l’une des dispositions suivantes s’applique</w:t>
      </w:r>
      <w:r w:rsidRPr="00D76EB7">
        <w:rPr>
          <w:b/>
          <w:bCs/>
          <w:lang w:val="fr-CH"/>
        </w:rPr>
        <w:t> </w:t>
      </w:r>
      <w:r w:rsidR="00B77B7D" w:rsidRPr="00D76EB7">
        <w:rPr>
          <w:b/>
          <w:bCs/>
          <w:lang w:val="fr-CH"/>
        </w:rPr>
        <w:t>:</w:t>
      </w:r>
    </w:p>
    <w:p w:rsidR="00B77B7D" w:rsidRPr="00D76EB7" w:rsidRDefault="005C101A" w:rsidP="005C101A">
      <w:pPr>
        <w:pStyle w:val="SingleTxt"/>
        <w:ind w:left="2693" w:hanging="1426"/>
        <w:rPr>
          <w:b/>
          <w:lang w:val="fr-CH"/>
        </w:rPr>
      </w:pPr>
      <w:r w:rsidRPr="00D76EB7">
        <w:rPr>
          <w:b/>
          <w:bCs/>
          <w:lang w:val="fr-CH"/>
        </w:rPr>
        <w:tab/>
      </w:r>
      <w:r w:rsidRPr="00D76EB7">
        <w:rPr>
          <w:b/>
          <w:bCs/>
          <w:lang w:val="fr-CH"/>
        </w:rPr>
        <w:tab/>
      </w:r>
      <w:r w:rsidR="00B77B7D" w:rsidRPr="00D76EB7">
        <w:rPr>
          <w:b/>
          <w:bCs/>
          <w:lang w:val="fr-CH"/>
        </w:rPr>
        <w:t>a)</w:t>
      </w:r>
      <w:r w:rsidR="00B77B7D" w:rsidRPr="00D76EB7">
        <w:rPr>
          <w:lang w:val="fr-CH"/>
        </w:rPr>
        <w:tab/>
      </w:r>
      <w:r w:rsidR="00B77B7D" w:rsidRPr="00D76EB7">
        <w:rPr>
          <w:b/>
          <w:bCs/>
          <w:lang w:val="fr-CH"/>
        </w:rPr>
        <w:t>L’intensité lumineuse doit être conforme à l’intensité minimale prescrite dans le tableau de répartition lumineuse spatiale normalisée de l’</w:t>
      </w:r>
      <w:r w:rsidRPr="00D76EB7">
        <w:rPr>
          <w:b/>
          <w:bCs/>
          <w:lang w:val="fr-CH"/>
        </w:rPr>
        <w:t>annexe </w:t>
      </w:r>
      <w:r w:rsidR="00B77B7D" w:rsidRPr="00D76EB7">
        <w:rPr>
          <w:b/>
          <w:bCs/>
          <w:lang w:val="fr-CH"/>
        </w:rPr>
        <w:t>4, ou</w:t>
      </w:r>
    </w:p>
    <w:p w:rsidR="00B77B7D" w:rsidRPr="00D76EB7" w:rsidRDefault="005C101A" w:rsidP="005C101A">
      <w:pPr>
        <w:pStyle w:val="SingleTxt"/>
        <w:ind w:left="2693" w:hanging="1426"/>
        <w:rPr>
          <w:lang w:val="fr-CH"/>
        </w:rPr>
      </w:pPr>
      <w:r w:rsidRPr="00D76EB7">
        <w:rPr>
          <w:b/>
          <w:bCs/>
          <w:lang w:val="fr-CH"/>
        </w:rPr>
        <w:tab/>
      </w:r>
      <w:r w:rsidRPr="00D76EB7">
        <w:rPr>
          <w:b/>
          <w:bCs/>
          <w:lang w:val="fr-CH"/>
        </w:rPr>
        <w:tab/>
      </w:r>
      <w:r w:rsidR="00B77B7D" w:rsidRPr="00D76EB7">
        <w:rPr>
          <w:b/>
          <w:bCs/>
          <w:lang w:val="fr-CH"/>
        </w:rPr>
        <w:t>b)</w:t>
      </w:r>
      <w:r w:rsidR="00B77B7D" w:rsidRPr="00D76EB7">
        <w:rPr>
          <w:lang w:val="fr-CH"/>
        </w:rPr>
        <w:tab/>
      </w:r>
      <w:r w:rsidR="00B77B7D" w:rsidRPr="00D76EB7">
        <w:rPr>
          <w:b/>
          <w:bCs/>
          <w:lang w:val="fr-CH"/>
        </w:rPr>
        <w:t>L’intensité lumineuse mesurée sur l’axe de</w:t>
      </w:r>
      <w:r w:rsidRPr="00D76EB7">
        <w:rPr>
          <w:b/>
          <w:bCs/>
          <w:lang w:val="fr-CH"/>
        </w:rPr>
        <w:t xml:space="preserve"> référence doit être égale à 50 </w:t>
      </w:r>
      <w:r w:rsidR="00B77B7D" w:rsidRPr="00D76EB7">
        <w:rPr>
          <w:b/>
          <w:bCs/>
          <w:lang w:val="fr-CH"/>
        </w:rPr>
        <w:t>% au moins de la valeur minimale d’intensité requise, à condition qu’il soit fait mention dans la fiche de communication que le feu en question ne peut être utilisé que sur un véhicule équipé d’un témoin de fonctionnement signalant la défaillance de l’une quelconque des sources lumineuses.</w:t>
      </w:r>
      <w:r w:rsidR="00B77B7D" w:rsidRPr="00D76EB7">
        <w:rPr>
          <w:lang w:val="fr-CH"/>
        </w:rPr>
        <w:t> »</w:t>
      </w:r>
      <w:r w:rsidRPr="00D76EB7">
        <w:rPr>
          <w:lang w:val="fr-CH"/>
        </w:rPr>
        <w:t>.</w:t>
      </w:r>
    </w:p>
    <w:p w:rsidR="00B77B7D" w:rsidRPr="00D76EB7" w:rsidRDefault="00B77B7D" w:rsidP="005C101A">
      <w:pPr>
        <w:pStyle w:val="SingleTxt"/>
        <w:rPr>
          <w:lang w:val="fr-CH"/>
        </w:rPr>
      </w:pPr>
      <w:r w:rsidRPr="00D76EB7">
        <w:rPr>
          <w:i/>
          <w:iCs/>
          <w:lang w:val="fr-CH"/>
        </w:rPr>
        <w:t>Annexe 2, point 9</w:t>
      </w:r>
      <w:r w:rsidR="00F64C02" w:rsidRPr="00D76EB7">
        <w:rPr>
          <w:i/>
          <w:iCs/>
          <w:lang w:val="fr-CH"/>
        </w:rPr>
        <w:t>.1</w:t>
      </w:r>
      <w:r w:rsidRPr="00D76EB7">
        <w:rPr>
          <w:lang w:val="fr-CH"/>
        </w:rPr>
        <w:t>, modifier comme suit</w:t>
      </w:r>
      <w:r w:rsidR="005C101A" w:rsidRPr="00D76EB7">
        <w:rPr>
          <w:lang w:val="fr-CH"/>
        </w:rPr>
        <w:t> :</w:t>
      </w:r>
    </w:p>
    <w:p w:rsidR="00B77B7D" w:rsidRPr="00D76EB7" w:rsidRDefault="00B77B7D" w:rsidP="00B77B7D">
      <w:pPr>
        <w:pStyle w:val="SingleTxt"/>
        <w:rPr>
          <w:lang w:val="fr-CH"/>
        </w:rPr>
      </w:pPr>
      <w:r w:rsidRPr="00D76EB7">
        <w:rPr>
          <w:lang w:val="fr-CH"/>
        </w:rPr>
        <w:t>« 9.1</w:t>
      </w:r>
      <w:r w:rsidR="005C101A" w:rsidRPr="00D76EB7">
        <w:rPr>
          <w:lang w:val="fr-CH"/>
        </w:rPr>
        <w:tab/>
      </w:r>
      <w:r w:rsidRPr="00D76EB7">
        <w:rPr>
          <w:lang w:val="fr-CH"/>
        </w:rPr>
        <w:tab/>
        <w:t>Par catégorie de feu</w:t>
      </w:r>
      <w:r w:rsidR="005C101A" w:rsidRPr="00D76EB7">
        <w:rPr>
          <w:lang w:val="fr-CH"/>
        </w:rPr>
        <w:t> </w:t>
      </w:r>
      <w:r w:rsidRPr="00D76EB7">
        <w:rPr>
          <w:lang w:val="fr-CH"/>
        </w:rPr>
        <w:t>:</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s>
        <w:ind w:left="2218" w:hanging="951"/>
        <w:rPr>
          <w:lang w:val="fr-CH"/>
        </w:rPr>
      </w:pPr>
      <w:r>
        <w:rPr>
          <w:lang w:val="fr-CH"/>
        </w:rPr>
        <w:tab/>
      </w:r>
      <w:r>
        <w:rPr>
          <w:lang w:val="fr-CH"/>
        </w:rPr>
        <w:tab/>
      </w:r>
      <w:r w:rsidR="00B77B7D" w:rsidRPr="00D76EB7">
        <w:rPr>
          <w:lang w:val="fr-CH"/>
        </w:rPr>
        <w:t>Pour montage à l’extérieur ou à l’intérieur, ou les deux</w:t>
      </w:r>
      <w:r w:rsidR="00B77B7D" w:rsidRPr="00D76EB7">
        <w:rPr>
          <w:vertAlign w:val="superscript"/>
          <w:lang w:val="fr-CH"/>
        </w:rPr>
        <w:t>2</w:t>
      </w:r>
      <w:r w:rsidR="005C101A" w:rsidRPr="00D76EB7">
        <w:rPr>
          <w:lang w:val="fr-CH"/>
        </w:rPr>
        <w:t> </w:t>
      </w:r>
      <w:r w:rsidR="00B77B7D" w:rsidRPr="00D76EB7">
        <w:rPr>
          <w:lang w:val="fr-CH"/>
        </w:rPr>
        <w:t>:</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Couleur de la lumière émise</w:t>
      </w:r>
      <w:r w:rsidR="005C101A" w:rsidRPr="00D76EB7">
        <w:rPr>
          <w:lang w:val="fr-CH"/>
        </w:rPr>
        <w:t> </w:t>
      </w:r>
      <w:r w:rsidR="00B77B7D" w:rsidRPr="00D76EB7">
        <w:rPr>
          <w:lang w:val="fr-CH"/>
        </w:rPr>
        <w:t>:</w:t>
      </w:r>
      <w:r w:rsidR="000E6AEC" w:rsidRPr="00D76EB7">
        <w:rPr>
          <w:lang w:val="fr-CH"/>
        </w:rPr>
        <w:tab/>
      </w:r>
      <w:r w:rsidR="00B77B7D" w:rsidRPr="00D76EB7">
        <w:rPr>
          <w:lang w:val="fr-CH"/>
        </w:rPr>
        <w:t>rouge/blanc</w:t>
      </w:r>
      <w:r w:rsidR="00B77B7D" w:rsidRPr="00D76EB7">
        <w:rPr>
          <w:vertAlign w:val="superscript"/>
          <w:lang w:val="fr-CH"/>
        </w:rPr>
        <w:t>2</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F64C02" w:rsidRPr="00D76EB7">
        <w:rPr>
          <w:lang w:val="fr-CH"/>
        </w:rPr>
        <w:t>Sources lumineuses – n</w:t>
      </w:r>
      <w:r w:rsidR="00B77B7D" w:rsidRPr="00D76EB7">
        <w:rPr>
          <w:lang w:val="fr-CH"/>
        </w:rPr>
        <w:t>ombre, catégorie et type</w:t>
      </w:r>
      <w:r w:rsidR="00F64C02" w:rsidRPr="00D76EB7">
        <w:rPr>
          <w:lang w:val="fr-CH"/>
        </w:rPr>
        <w:t> </w:t>
      </w:r>
      <w:r w:rsidR="00B77B7D" w:rsidRPr="00D76EB7">
        <w:rPr>
          <w:lang w:val="fr-CH"/>
        </w:rPr>
        <w:t>:</w:t>
      </w:r>
      <w:r w:rsidR="005C101A"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Tension e</w:t>
      </w:r>
      <w:r w:rsidR="005C101A" w:rsidRPr="00D76EB7">
        <w:rPr>
          <w:lang w:val="fr-CH"/>
        </w:rPr>
        <w:t>t puissance :</w:t>
      </w:r>
      <w:r w:rsidR="005C101A"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Code d’identification propre au module d’éclairage</w:t>
      </w:r>
      <w:r w:rsidR="005C101A" w:rsidRPr="00D76EB7">
        <w:rPr>
          <w:lang w:val="fr-CH"/>
        </w:rPr>
        <w:t> </w:t>
      </w:r>
      <w:r w:rsidR="00B77B7D" w:rsidRPr="00D76EB7">
        <w:rPr>
          <w:lang w:val="fr-CH"/>
        </w:rPr>
        <w:t>:</w:t>
      </w:r>
      <w:r w:rsidR="005C101A" w:rsidRPr="00D76EB7">
        <w:rPr>
          <w:lang w:val="fr-CH"/>
        </w:rPr>
        <w:tab/>
      </w:r>
    </w:p>
    <w:p w:rsidR="00B77B7D" w:rsidRPr="00D76EB7" w:rsidRDefault="009B6632" w:rsidP="009B6632">
      <w:pPr>
        <w:pStyle w:val="SingleTxt"/>
        <w:tabs>
          <w:tab w:val="clear" w:pos="2693"/>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Uniquement pour une hauteur de montage lim</w:t>
      </w:r>
      <w:r w:rsidR="005C101A" w:rsidRPr="00D76EB7">
        <w:rPr>
          <w:lang w:val="fr-CH"/>
        </w:rPr>
        <w:t>itée, égale ou inférieure à 750 </w:t>
      </w:r>
      <w:r w:rsidR="00B77B7D" w:rsidRPr="00D76EB7">
        <w:rPr>
          <w:lang w:val="fr-CH"/>
        </w:rPr>
        <w:t>mm au-dessus du sol</w:t>
      </w:r>
      <w:r w:rsidR="005C101A" w:rsidRPr="00D76EB7">
        <w:rPr>
          <w:lang w:val="fr-CH"/>
        </w:rPr>
        <w:t> </w:t>
      </w:r>
      <w:r w:rsidR="000E6AEC" w:rsidRPr="00D76EB7">
        <w:rPr>
          <w:lang w:val="fr-CH"/>
        </w:rPr>
        <w:t>:</w:t>
      </w:r>
      <w:r w:rsidR="000E6AEC" w:rsidRPr="00D76EB7">
        <w:rPr>
          <w:lang w:val="fr-CH"/>
        </w:rPr>
        <w:tab/>
      </w:r>
      <w:r w:rsidR="00B77B7D" w:rsidRPr="00D76EB7">
        <w:rPr>
          <w:lang w:val="fr-CH"/>
        </w:rPr>
        <w:t>oui/non</w:t>
      </w:r>
      <w:r w:rsidR="00B77B7D" w:rsidRPr="00D76EB7">
        <w:rPr>
          <w:vertAlign w:val="superscript"/>
          <w:lang w:val="fr-CH"/>
        </w:rPr>
        <w:t>2</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rFonts w:ascii="Times New Roman Bold" w:hAnsi="Times New Roman Bold"/>
          <w:spacing w:val="2"/>
          <w:lang w:val="fr-CH"/>
        </w:rPr>
      </w:pPr>
      <w:r>
        <w:rPr>
          <w:rFonts w:ascii="Times New Roman Bold" w:hAnsi="Times New Roman Bold"/>
          <w:b/>
          <w:bCs/>
          <w:spacing w:val="2"/>
          <w:lang w:val="fr-CH"/>
        </w:rPr>
        <w:tab/>
      </w:r>
      <w:r>
        <w:rPr>
          <w:rFonts w:ascii="Times New Roman Bold" w:hAnsi="Times New Roman Bold"/>
          <w:b/>
          <w:bCs/>
          <w:spacing w:val="2"/>
          <w:lang w:val="fr-CH"/>
        </w:rPr>
        <w:tab/>
      </w:r>
      <w:r w:rsidR="00B77B7D" w:rsidRPr="00D76EB7">
        <w:rPr>
          <w:rFonts w:ascii="Times New Roman Bold" w:hAnsi="Times New Roman Bold"/>
          <w:b/>
          <w:bCs/>
          <w:spacing w:val="2"/>
          <w:lang w:val="fr-CH"/>
        </w:rPr>
        <w:t>Uniquement pour utilisation sur un véhicule équipé d’un témoin de fonctionnement signalant la défaillance d’une source lumineuse</w:t>
      </w:r>
      <w:r w:rsidR="005C101A" w:rsidRPr="00D76EB7">
        <w:rPr>
          <w:rFonts w:ascii="Times New Roman Bold" w:hAnsi="Times New Roman Bold"/>
          <w:b/>
          <w:bCs/>
          <w:spacing w:val="2"/>
          <w:lang w:val="fr-CH"/>
        </w:rPr>
        <w:t> </w:t>
      </w:r>
      <w:r w:rsidR="00B77B7D" w:rsidRPr="00D76EB7">
        <w:rPr>
          <w:rFonts w:ascii="Times New Roman Bold" w:hAnsi="Times New Roman Bold"/>
          <w:b/>
          <w:bCs/>
          <w:spacing w:val="2"/>
          <w:lang w:val="fr-CH"/>
        </w:rPr>
        <w:t>:</w:t>
      </w:r>
      <w:r>
        <w:rPr>
          <w:rFonts w:ascii="Times New Roman Bold" w:hAnsi="Times New Roman Bold"/>
          <w:b/>
          <w:bCs/>
          <w:spacing w:val="2"/>
          <w:lang w:val="fr-CH"/>
        </w:rPr>
        <w:tab/>
      </w:r>
      <w:r w:rsidR="00B77B7D" w:rsidRPr="00D76EB7">
        <w:rPr>
          <w:rFonts w:ascii="Times New Roman Bold" w:hAnsi="Times New Roman Bold"/>
          <w:b/>
          <w:bCs/>
          <w:spacing w:val="2"/>
          <w:lang w:val="fr-CH"/>
        </w:rPr>
        <w:t>oui/non</w:t>
      </w:r>
      <w:r w:rsidR="00B77B7D" w:rsidRPr="00D76EB7">
        <w:rPr>
          <w:rFonts w:ascii="Times New Roman Bold" w:hAnsi="Times New Roman Bold"/>
          <w:b/>
          <w:bCs/>
          <w:spacing w:val="2"/>
          <w:vertAlign w:val="superscript"/>
          <w:lang w:val="fr-CH"/>
        </w:rPr>
        <w:t>2</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Caractéristiques géométriques de mon</w:t>
      </w:r>
      <w:r w:rsidR="005C101A" w:rsidRPr="00D76EB7">
        <w:rPr>
          <w:lang w:val="fr-CH"/>
        </w:rPr>
        <w:t>tage et variantes éventuelles :</w:t>
      </w:r>
      <w:r w:rsidR="005C101A"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s>
        <w:ind w:left="2218" w:hanging="951"/>
        <w:rPr>
          <w:b/>
          <w:lang w:val="fr-CH"/>
        </w:rPr>
      </w:pPr>
      <w:r>
        <w:rPr>
          <w:b/>
          <w:bCs/>
          <w:lang w:val="fr-CH"/>
        </w:rPr>
        <w:tab/>
      </w:r>
      <w:r>
        <w:rPr>
          <w:b/>
          <w:bCs/>
          <w:lang w:val="fr-CH"/>
        </w:rPr>
        <w:tab/>
      </w:r>
      <w:r w:rsidR="00B77B7D" w:rsidRPr="00D76EB7">
        <w:rPr>
          <w:b/>
          <w:bCs/>
          <w:lang w:val="fr-CH"/>
        </w:rPr>
        <w:t>[Le dispositif de régulation électronique de la source lumineuse ou du régulateur d’intensité</w:t>
      </w:r>
      <w:r w:rsidR="005C101A" w:rsidRPr="00D76EB7">
        <w:rPr>
          <w:b/>
          <w:bCs/>
          <w:lang w:val="fr-CH"/>
        </w:rPr>
        <w:t> </w:t>
      </w:r>
      <w:r w:rsidR="00B77B7D" w:rsidRPr="00D76EB7">
        <w:rPr>
          <w:b/>
          <w:bCs/>
          <w:lang w:val="fr-CH"/>
        </w:rPr>
        <w:t>:</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b/>
          <w:lang w:val="fr-CH"/>
        </w:rPr>
      </w:pPr>
      <w:r>
        <w:rPr>
          <w:lang w:val="fr-CH"/>
        </w:rPr>
        <w:lastRenderedPageBreak/>
        <w:tab/>
      </w:r>
      <w:r w:rsidR="00B77B7D" w:rsidRPr="00D76EB7">
        <w:rPr>
          <w:lang w:val="fr-CH"/>
        </w:rPr>
        <w:tab/>
      </w:r>
      <w:r w:rsidR="00B77B7D" w:rsidRPr="00D76EB7">
        <w:rPr>
          <w:b/>
          <w:bCs/>
          <w:lang w:val="fr-CH"/>
        </w:rPr>
        <w:t>a)</w:t>
      </w:r>
      <w:r w:rsidR="00B77B7D" w:rsidRPr="00D76EB7">
        <w:rPr>
          <w:lang w:val="fr-CH"/>
        </w:rPr>
        <w:tab/>
      </w:r>
      <w:r w:rsidR="00B77B7D" w:rsidRPr="00D76EB7">
        <w:rPr>
          <w:b/>
          <w:bCs/>
          <w:lang w:val="fr-CH"/>
        </w:rPr>
        <w:t>Fait partie du feu</w:t>
      </w:r>
      <w:r w:rsidR="005C101A" w:rsidRPr="00D76EB7">
        <w:rPr>
          <w:b/>
          <w:bCs/>
          <w:lang w:val="fr-CH"/>
        </w:rPr>
        <w:t> </w:t>
      </w:r>
      <w:r w:rsidR="00B77B7D" w:rsidRPr="00D76EB7">
        <w:rPr>
          <w:b/>
          <w:bCs/>
          <w:lang w:val="fr-CH"/>
        </w:rPr>
        <w:t>:</w:t>
      </w:r>
      <w:r w:rsidR="000E6AEC" w:rsidRPr="00D76EB7">
        <w:rPr>
          <w:b/>
          <w:bCs/>
          <w:lang w:val="fr-CH"/>
        </w:rPr>
        <w:tab/>
      </w:r>
      <w:r w:rsidR="00B77B7D" w:rsidRPr="00D76EB7">
        <w:rPr>
          <w:b/>
          <w:bCs/>
          <w:lang w:val="fr-CH"/>
        </w:rPr>
        <w:t>oui/non</w:t>
      </w:r>
      <w:r w:rsidR="00B77B7D" w:rsidRPr="00D76EB7">
        <w:rPr>
          <w:b/>
          <w:bCs/>
          <w:vertAlign w:val="superscript"/>
          <w:lang w:val="fr-CH"/>
        </w:rPr>
        <w:t>2</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b/>
          <w:lang w:val="fr-CH"/>
        </w:rPr>
      </w:pPr>
      <w:r>
        <w:rPr>
          <w:lang w:val="fr-CH"/>
        </w:rPr>
        <w:tab/>
      </w:r>
      <w:r w:rsidR="00B77B7D" w:rsidRPr="00D76EB7">
        <w:rPr>
          <w:lang w:val="fr-CH"/>
        </w:rPr>
        <w:tab/>
      </w:r>
      <w:r w:rsidR="00B77B7D" w:rsidRPr="00D76EB7">
        <w:rPr>
          <w:b/>
          <w:bCs/>
          <w:lang w:val="fr-CH"/>
        </w:rPr>
        <w:t>b)</w:t>
      </w:r>
      <w:r w:rsidR="00B77B7D" w:rsidRPr="00D76EB7">
        <w:rPr>
          <w:lang w:val="fr-CH"/>
        </w:rPr>
        <w:tab/>
      </w:r>
      <w:r w:rsidR="00B77B7D" w:rsidRPr="00D76EB7">
        <w:rPr>
          <w:b/>
          <w:bCs/>
          <w:lang w:val="fr-CH"/>
        </w:rPr>
        <w:t>Ne fait pas partie du feu</w:t>
      </w:r>
      <w:r w:rsidR="005C101A" w:rsidRPr="00D76EB7">
        <w:rPr>
          <w:b/>
          <w:bCs/>
          <w:lang w:val="fr-CH"/>
        </w:rPr>
        <w:t> </w:t>
      </w:r>
      <w:r w:rsidR="00F64C02" w:rsidRPr="00D76EB7">
        <w:rPr>
          <w:b/>
          <w:bCs/>
          <w:lang w:val="fr-CH"/>
        </w:rPr>
        <w:t>:</w:t>
      </w:r>
      <w:r w:rsidR="000E6AEC" w:rsidRPr="00D76EB7">
        <w:rPr>
          <w:b/>
          <w:bCs/>
          <w:lang w:val="fr-CH"/>
        </w:rPr>
        <w:tab/>
      </w:r>
      <w:r w:rsidR="00B77B7D" w:rsidRPr="00D76EB7">
        <w:rPr>
          <w:b/>
          <w:bCs/>
          <w:lang w:val="fr-CH"/>
        </w:rPr>
        <w:t>oui/non</w:t>
      </w:r>
      <w:r w:rsidR="00B77B7D" w:rsidRPr="00D76EB7">
        <w:rPr>
          <w:b/>
          <w:bCs/>
          <w:vertAlign w:val="superscript"/>
          <w:lang w:val="fr-CH"/>
        </w:rPr>
        <w:t>2</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b/>
          <w:lang w:val="fr-CH"/>
        </w:rPr>
      </w:pPr>
      <w:r>
        <w:rPr>
          <w:b/>
          <w:bCs/>
          <w:lang w:val="fr-CH"/>
        </w:rPr>
        <w:tab/>
      </w:r>
      <w:r>
        <w:rPr>
          <w:b/>
          <w:bCs/>
          <w:lang w:val="fr-CH"/>
        </w:rPr>
        <w:tab/>
      </w:r>
      <w:r w:rsidR="00B77B7D" w:rsidRPr="00D76EB7">
        <w:rPr>
          <w:b/>
          <w:bCs/>
          <w:lang w:val="fr-CH"/>
        </w:rPr>
        <w:t>Tension(s) d’alimentation du dispositif de régulation électronique de la source lumineuse ou du régulateur d’intensité</w:t>
      </w:r>
      <w:r w:rsidR="005C101A" w:rsidRPr="00D76EB7">
        <w:rPr>
          <w:b/>
          <w:bCs/>
          <w:lang w:val="fr-CH"/>
        </w:rPr>
        <w:t> </w:t>
      </w:r>
      <w:r w:rsidR="00B77B7D" w:rsidRPr="00D76EB7">
        <w:rPr>
          <w:b/>
          <w:bCs/>
          <w:lang w:val="fr-CH"/>
        </w:rPr>
        <w:t>:</w:t>
      </w:r>
      <w:r w:rsidR="005C101A" w:rsidRPr="00D76EB7">
        <w:rPr>
          <w:b/>
          <w:bCs/>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b/>
          <w:lang w:val="fr-CH"/>
        </w:rPr>
      </w:pPr>
      <w:r>
        <w:rPr>
          <w:b/>
          <w:bCs/>
          <w:lang w:val="fr-CH"/>
        </w:rPr>
        <w:tab/>
      </w:r>
      <w:r>
        <w:rPr>
          <w:b/>
          <w:bCs/>
          <w:lang w:val="fr-CH"/>
        </w:rPr>
        <w:tab/>
      </w:r>
      <w:r w:rsidR="00B77B7D" w:rsidRPr="00D76EB7">
        <w:rPr>
          <w:b/>
          <w:bCs/>
          <w:lang w:val="fr-CH"/>
        </w:rPr>
        <w:t>Nom du fabricant et numéro d’identification du dispositif de régulation électronique de la source lumineuse ou du régulateur d’intensité (lorsque le dispositif de régulation de la source lumineuse fait partie du feu mais n’est pas incorporé dans son boîtier)</w:t>
      </w:r>
      <w:r w:rsidR="005C101A" w:rsidRPr="00D76EB7">
        <w:rPr>
          <w:b/>
          <w:bCs/>
          <w:lang w:val="fr-CH"/>
        </w:rPr>
        <w:t> </w:t>
      </w:r>
      <w:r w:rsidR="00B77B7D" w:rsidRPr="00D76EB7">
        <w:rPr>
          <w:b/>
          <w:bCs/>
          <w:lang w:val="fr-CH"/>
        </w:rPr>
        <w:t>:</w:t>
      </w:r>
      <w:r w:rsidR="005C101A" w:rsidRPr="00D76EB7">
        <w:rPr>
          <w:b/>
          <w:bCs/>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b/>
          <w:bCs/>
          <w:lang w:val="fr-CH"/>
        </w:rPr>
        <w:tab/>
      </w:r>
      <w:r>
        <w:rPr>
          <w:b/>
          <w:bCs/>
          <w:lang w:val="fr-CH"/>
        </w:rPr>
        <w:tab/>
      </w:r>
      <w:r w:rsidR="00B77B7D" w:rsidRPr="00D76EB7">
        <w:rPr>
          <w:b/>
          <w:bCs/>
          <w:lang w:val="fr-CH"/>
        </w:rPr>
        <w:t>Intensité lumineuse variable</w:t>
      </w:r>
      <w:r w:rsidR="005C101A" w:rsidRPr="00D76EB7">
        <w:rPr>
          <w:b/>
          <w:bCs/>
          <w:lang w:val="fr-CH"/>
        </w:rPr>
        <w:t> </w:t>
      </w:r>
      <w:r w:rsidR="000E6AEC" w:rsidRPr="00D76EB7">
        <w:rPr>
          <w:b/>
          <w:bCs/>
          <w:lang w:val="fr-CH"/>
        </w:rPr>
        <w:t>:</w:t>
      </w:r>
      <w:r w:rsidR="000E6AEC" w:rsidRPr="00D76EB7">
        <w:rPr>
          <w:b/>
          <w:bCs/>
          <w:lang w:val="fr-CH"/>
        </w:rPr>
        <w:tab/>
      </w:r>
      <w:r w:rsidR="00B77B7D" w:rsidRPr="00D76EB7">
        <w:rPr>
          <w:b/>
          <w:bCs/>
          <w:lang w:val="fr-CH"/>
        </w:rPr>
        <w:t>oui/non</w:t>
      </w:r>
      <w:r w:rsidR="00B77B7D" w:rsidRPr="00D76EB7">
        <w:rPr>
          <w:b/>
          <w:bCs/>
          <w:vertAlign w:val="superscript"/>
          <w:lang w:val="fr-CH"/>
        </w:rPr>
        <w:t>2</w:t>
      </w:r>
      <w:r w:rsidR="00B77B7D" w:rsidRPr="00D76EB7">
        <w:rPr>
          <w:b/>
          <w:bCs/>
          <w:lang w:val="fr-CH"/>
        </w:rPr>
        <w:t>]</w:t>
      </w:r>
      <w:r w:rsidR="00B77B7D" w:rsidRPr="00D76EB7">
        <w:rPr>
          <w:lang w:val="fr-CH"/>
        </w:rPr>
        <w:t> »</w:t>
      </w:r>
      <w:r w:rsidR="00F64C02" w:rsidRPr="00D76EB7">
        <w:rPr>
          <w:rStyle w:val="FootnoteReference"/>
          <w:lang w:val="fr-CH"/>
        </w:rPr>
        <w:footnoteReference w:customMarkFollows="1" w:id="2"/>
        <w:t>**</w:t>
      </w:r>
      <w:r w:rsidR="00F64C02" w:rsidRPr="00D76EB7">
        <w:rPr>
          <w:lang w:val="fr-CH"/>
        </w:rPr>
        <w:t>.</w:t>
      </w: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tab/>
        <w:t>B.</w:t>
      </w:r>
      <w:r w:rsidRPr="00D76EB7">
        <w:rPr>
          <w:lang w:val="fr-CH"/>
        </w:rPr>
        <w:tab/>
        <w:t xml:space="preserve">Complément 21 à la </w:t>
      </w:r>
      <w:r w:rsidRPr="00D76EB7">
        <w:rPr>
          <w:bCs/>
          <w:lang w:val="fr-CH"/>
        </w:rPr>
        <w:t>série 00</w:t>
      </w:r>
      <w:r w:rsidR="00F64C02" w:rsidRPr="00D76EB7">
        <w:rPr>
          <w:bCs/>
          <w:lang w:val="fr-CH"/>
        </w:rPr>
        <w:t xml:space="preserve"> </w:t>
      </w:r>
      <w:r w:rsidRPr="00D76EB7">
        <w:rPr>
          <w:lang w:val="fr-CH"/>
        </w:rPr>
        <w:t>d’amendements au Règlement n</w:t>
      </w:r>
      <w:r w:rsidRPr="00D76EB7">
        <w:rPr>
          <w:vertAlign w:val="superscript"/>
          <w:lang w:val="fr-CH"/>
        </w:rPr>
        <w:t>o</w:t>
      </w:r>
      <w:r w:rsidRPr="00D76EB7">
        <w:rPr>
          <w:lang w:val="fr-CH"/>
        </w:rPr>
        <w:t> 23 (</w:t>
      </w:r>
      <w:r w:rsidR="00F64C02" w:rsidRPr="00D76EB7">
        <w:rPr>
          <w:lang w:val="fr-CH"/>
        </w:rPr>
        <w:t xml:space="preserve">Feux </w:t>
      </w:r>
      <w:r w:rsidRPr="00D76EB7">
        <w:rPr>
          <w:lang w:val="fr-CH"/>
        </w:rPr>
        <w:t>de marche arrière)</w:t>
      </w: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rPr>
          <w:i/>
          <w:lang w:val="fr-CH"/>
        </w:rPr>
      </w:pPr>
      <w:r w:rsidRPr="00D76EB7">
        <w:rPr>
          <w:i/>
          <w:iCs/>
          <w:lang w:val="fr-CH"/>
        </w:rPr>
        <w:t>Paragraphe 6.1.5</w:t>
      </w:r>
      <w:r w:rsidRPr="00D76EB7">
        <w:rPr>
          <w:lang w:val="fr-CH"/>
        </w:rPr>
        <w:t>, modifier comme suit</w:t>
      </w:r>
      <w:r w:rsidR="00F64C02" w:rsidRPr="00D76EB7">
        <w:rPr>
          <w:lang w:val="fr-CH"/>
        </w:rPr>
        <w:t> </w:t>
      </w:r>
      <w:r w:rsidRPr="00D76EB7">
        <w:rPr>
          <w:lang w:val="fr-CH"/>
        </w:rPr>
        <w:t>:</w:t>
      </w:r>
    </w:p>
    <w:p w:rsidR="00B77B7D" w:rsidRPr="00D76EB7" w:rsidRDefault="00F64C02" w:rsidP="00B77B7D">
      <w:pPr>
        <w:pStyle w:val="SingleTxt"/>
        <w:rPr>
          <w:b/>
          <w:lang w:val="fr-CH"/>
        </w:rPr>
      </w:pPr>
      <w:r w:rsidRPr="00D76EB7">
        <w:rPr>
          <w:lang w:val="fr-CH"/>
        </w:rPr>
        <w:t>« 6</w:t>
      </w:r>
      <w:r w:rsidR="00B77B7D" w:rsidRPr="00D76EB7">
        <w:rPr>
          <w:lang w:val="fr-CH"/>
        </w:rPr>
        <w:t>.1.5</w:t>
      </w:r>
      <w:r w:rsidR="00B77B7D" w:rsidRPr="00D76EB7">
        <w:rPr>
          <w:lang w:val="fr-CH"/>
        </w:rPr>
        <w:tab/>
      </w:r>
      <w:r w:rsidR="00B77B7D" w:rsidRPr="00D76EB7">
        <w:rPr>
          <w:b/>
          <w:bCs/>
          <w:lang w:val="fr-CH"/>
        </w:rPr>
        <w:t>Défaillance d’une source lumineuse</w:t>
      </w:r>
      <w:r w:rsidRPr="00D76EB7">
        <w:rPr>
          <w:b/>
          <w:bCs/>
          <w:lang w:val="fr-CH"/>
        </w:rPr>
        <w:t> </w:t>
      </w:r>
      <w:r w:rsidR="00B77B7D" w:rsidRPr="00D76EB7">
        <w:rPr>
          <w:b/>
          <w:bCs/>
          <w:lang w:val="fr-CH"/>
        </w:rPr>
        <w:t>:</w:t>
      </w:r>
    </w:p>
    <w:p w:rsidR="00B77B7D" w:rsidRPr="00D76EB7" w:rsidRDefault="00F64C02" w:rsidP="00F64C02">
      <w:pPr>
        <w:pStyle w:val="SingleTxt"/>
        <w:ind w:left="2218" w:hanging="951"/>
        <w:rPr>
          <w:strike/>
          <w:lang w:val="fr-CH"/>
        </w:rPr>
      </w:pPr>
      <w:r w:rsidRPr="00D76EB7">
        <w:rPr>
          <w:lang w:val="fr-CH"/>
        </w:rPr>
        <w:tab/>
      </w:r>
      <w:r w:rsidRPr="00D76EB7">
        <w:rPr>
          <w:lang w:val="fr-CH"/>
        </w:rPr>
        <w:tab/>
      </w:r>
      <w:r w:rsidR="00B77B7D" w:rsidRPr="00D76EB7">
        <w:rPr>
          <w:strike/>
          <w:lang w:val="fr-CH"/>
        </w:rPr>
        <w:t>S’il s’agit d’un feu unique contenant plus d’une source lumineuse, le feu doit avoir l’intensité minimale requise lorsqu’une source lumineuse quelconque est défaillante, et lorsque toutes les sources lumineuses fonctionnent, les intensités maximales ne doivent pas être dépassées.</w:t>
      </w:r>
    </w:p>
    <w:p w:rsidR="00B77B7D" w:rsidRPr="00D76EB7" w:rsidRDefault="00B77B7D" w:rsidP="00F64C02">
      <w:pPr>
        <w:pStyle w:val="SingleTxt"/>
        <w:ind w:left="2218" w:hanging="951"/>
        <w:rPr>
          <w:lang w:val="fr-CH"/>
        </w:rPr>
      </w:pPr>
      <w:r w:rsidRPr="00D76EB7">
        <w:rPr>
          <w:b/>
          <w:bCs/>
          <w:lang w:val="fr-CH"/>
        </w:rPr>
        <w:t>6.1.5.1</w:t>
      </w:r>
      <w:r w:rsidRPr="00D76EB7">
        <w:rPr>
          <w:lang w:val="fr-CH"/>
        </w:rPr>
        <w:tab/>
        <w:t>Un groupe de sources lumineuses, branchées de manière qu’en cas de défaillance de l’une d’elles toutes les autres s’arrêtent d’émettre de la lumière, doit être considéré comme une seule et même source lumineuse.</w:t>
      </w:r>
    </w:p>
    <w:p w:rsidR="00B77B7D" w:rsidRPr="00D76EB7" w:rsidRDefault="00B77B7D" w:rsidP="00F64C02">
      <w:pPr>
        <w:pStyle w:val="SingleTxt"/>
        <w:ind w:left="2218" w:hanging="951"/>
        <w:rPr>
          <w:b/>
          <w:lang w:val="fr-CH"/>
        </w:rPr>
      </w:pPr>
      <w:r w:rsidRPr="00D76EB7">
        <w:rPr>
          <w:b/>
          <w:bCs/>
          <w:lang w:val="fr-CH"/>
        </w:rPr>
        <w:t>6.1.5.2</w:t>
      </w:r>
      <w:r w:rsidRPr="00D76EB7">
        <w:rPr>
          <w:lang w:val="fr-CH"/>
        </w:rPr>
        <w:tab/>
      </w:r>
      <w:r w:rsidRPr="00D76EB7">
        <w:rPr>
          <w:b/>
          <w:bCs/>
          <w:lang w:val="fr-CH"/>
        </w:rPr>
        <w:t>En cas de défaillance de l’une des sources lumineuses d’un feu simple qui en contient plusieurs, l’une des dispositions suivantes s’applique</w:t>
      </w:r>
      <w:r w:rsidR="00F64C02" w:rsidRPr="00D76EB7">
        <w:rPr>
          <w:b/>
          <w:bCs/>
          <w:lang w:val="fr-CH"/>
        </w:rPr>
        <w:t> </w:t>
      </w:r>
      <w:r w:rsidRPr="00D76EB7">
        <w:rPr>
          <w:b/>
          <w:bCs/>
          <w:lang w:val="fr-CH"/>
        </w:rPr>
        <w:t>:</w:t>
      </w:r>
    </w:p>
    <w:p w:rsidR="00B77B7D" w:rsidRPr="00D76EB7" w:rsidRDefault="00F64C02" w:rsidP="00DD4D6D">
      <w:pPr>
        <w:pStyle w:val="SingleTxt"/>
        <w:ind w:left="2693" w:hanging="1426"/>
        <w:rPr>
          <w:b/>
          <w:lang w:val="fr-CH"/>
        </w:rPr>
      </w:pPr>
      <w:r w:rsidRPr="00D76EB7">
        <w:rPr>
          <w:b/>
          <w:bCs/>
          <w:lang w:val="fr-CH"/>
        </w:rPr>
        <w:tab/>
      </w:r>
      <w:r w:rsidRPr="00D76EB7">
        <w:rPr>
          <w:b/>
          <w:bCs/>
          <w:lang w:val="fr-CH"/>
        </w:rPr>
        <w:tab/>
      </w:r>
      <w:r w:rsidR="00B77B7D" w:rsidRPr="00D76EB7">
        <w:rPr>
          <w:b/>
          <w:bCs/>
          <w:lang w:val="fr-CH"/>
        </w:rPr>
        <w:t>a)</w:t>
      </w:r>
      <w:r w:rsidR="00B77B7D" w:rsidRPr="00D76EB7">
        <w:rPr>
          <w:lang w:val="fr-CH"/>
        </w:rPr>
        <w:tab/>
      </w:r>
      <w:r w:rsidR="00B77B7D" w:rsidRPr="00D76EB7">
        <w:rPr>
          <w:b/>
          <w:bCs/>
          <w:lang w:val="fr-CH"/>
        </w:rPr>
        <w:t>L’intensité lumineuse doit être conforme à l’intensité minimale prescrite dans le tableau de répartition lumineuse spatiale normalisée de l’</w:t>
      </w:r>
      <w:r w:rsidRPr="00D76EB7">
        <w:rPr>
          <w:b/>
          <w:bCs/>
          <w:lang w:val="fr-CH"/>
        </w:rPr>
        <w:t>annexe </w:t>
      </w:r>
      <w:r w:rsidR="00B77B7D" w:rsidRPr="00D76EB7">
        <w:rPr>
          <w:b/>
          <w:bCs/>
          <w:lang w:val="fr-CH"/>
        </w:rPr>
        <w:t>3</w:t>
      </w:r>
      <w:r w:rsidR="00DD4D6D">
        <w:rPr>
          <w:b/>
          <w:bCs/>
          <w:lang w:val="fr-CH"/>
        </w:rPr>
        <w:t>;</w:t>
      </w:r>
      <w:r w:rsidR="00B77B7D" w:rsidRPr="00D76EB7">
        <w:rPr>
          <w:b/>
          <w:bCs/>
          <w:lang w:val="fr-CH"/>
        </w:rPr>
        <w:t xml:space="preserve"> ou</w:t>
      </w:r>
    </w:p>
    <w:p w:rsidR="00B77B7D" w:rsidRPr="00D76EB7" w:rsidRDefault="00F64C02" w:rsidP="00F64C02">
      <w:pPr>
        <w:pStyle w:val="SingleTxt"/>
        <w:ind w:left="2693" w:hanging="1426"/>
        <w:rPr>
          <w:b/>
          <w:lang w:val="fr-CH"/>
        </w:rPr>
      </w:pPr>
      <w:r w:rsidRPr="00D76EB7">
        <w:rPr>
          <w:b/>
          <w:bCs/>
          <w:lang w:val="fr-CH"/>
        </w:rPr>
        <w:tab/>
      </w:r>
      <w:r w:rsidRPr="00D76EB7">
        <w:rPr>
          <w:b/>
          <w:bCs/>
          <w:lang w:val="fr-CH"/>
        </w:rPr>
        <w:tab/>
      </w:r>
      <w:r w:rsidR="00B77B7D" w:rsidRPr="00D76EB7">
        <w:rPr>
          <w:b/>
          <w:bCs/>
          <w:lang w:val="fr-CH"/>
        </w:rPr>
        <w:t>b)</w:t>
      </w:r>
      <w:r w:rsidR="00B77B7D" w:rsidRPr="00D76EB7">
        <w:rPr>
          <w:lang w:val="fr-CH"/>
        </w:rPr>
        <w:tab/>
      </w:r>
      <w:r w:rsidR="00B77B7D" w:rsidRPr="00D76EB7">
        <w:rPr>
          <w:b/>
          <w:bCs/>
          <w:lang w:val="fr-CH"/>
        </w:rPr>
        <w:t>L’intensité lumineuse mesurée sur l’axe de</w:t>
      </w:r>
      <w:r w:rsidRPr="00D76EB7">
        <w:rPr>
          <w:b/>
          <w:bCs/>
          <w:lang w:val="fr-CH"/>
        </w:rPr>
        <w:t xml:space="preserve"> référence doit être égale à 50 </w:t>
      </w:r>
      <w:r w:rsidR="00B77B7D" w:rsidRPr="00D76EB7">
        <w:rPr>
          <w:b/>
          <w:bCs/>
          <w:lang w:val="fr-CH"/>
        </w:rPr>
        <w:t>% au moins de la valeur minimale d’intensité requise, à condition qu’il soit fait mention dans la fiche de communication que le feu en question ne peut être utilisé que sur un véhicule équipé d’un témoin de fonctionnement signalant la défaillance de l’une quelconque des sources lumineuses.</w:t>
      </w:r>
      <w:r w:rsidR="00B77B7D" w:rsidRPr="00D76EB7">
        <w:rPr>
          <w:lang w:val="fr-CH"/>
        </w:rPr>
        <w:t> »</w:t>
      </w:r>
      <w:r w:rsidRPr="00D76EB7">
        <w:rPr>
          <w:lang w:val="fr-CH"/>
        </w:rPr>
        <w:t>.</w:t>
      </w:r>
    </w:p>
    <w:p w:rsidR="00B77B7D" w:rsidRPr="00D76EB7" w:rsidRDefault="00B77B7D" w:rsidP="00B77B7D">
      <w:pPr>
        <w:pStyle w:val="SingleTxt"/>
        <w:rPr>
          <w:lang w:val="fr-CH"/>
        </w:rPr>
      </w:pPr>
      <w:r w:rsidRPr="00D76EB7">
        <w:rPr>
          <w:i/>
          <w:iCs/>
          <w:lang w:val="fr-CH"/>
        </w:rPr>
        <w:t>Annexe 1, point 9</w:t>
      </w:r>
      <w:r w:rsidR="00F64C02" w:rsidRPr="00D76EB7">
        <w:rPr>
          <w:lang w:val="fr-CH"/>
        </w:rPr>
        <w:t>, modifier comme suit </w:t>
      </w:r>
      <w:r w:rsidRPr="00D76EB7">
        <w:rPr>
          <w:lang w:val="fr-CH"/>
        </w:rPr>
        <w:t>:</w:t>
      </w:r>
    </w:p>
    <w:p w:rsidR="00B77B7D" w:rsidRPr="00D76EB7" w:rsidRDefault="00F64C02" w:rsidP="00F64C02">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 </w:t>
      </w:r>
      <w:r w:rsidR="00B77B7D" w:rsidRPr="00D76EB7">
        <w:rPr>
          <w:lang w:val="fr-CH"/>
        </w:rPr>
        <w:t>9</w:t>
      </w:r>
      <w:r w:rsidRPr="00D76EB7">
        <w:rPr>
          <w:lang w:val="fr-CH"/>
        </w:rPr>
        <w:tab/>
      </w:r>
      <w:r w:rsidR="00B77B7D" w:rsidRPr="00D76EB7">
        <w:rPr>
          <w:lang w:val="fr-CH"/>
        </w:rPr>
        <w:tab/>
        <w:t>Description sommaire</w:t>
      </w:r>
      <w:r w:rsidRPr="00D76EB7">
        <w:rPr>
          <w:lang w:val="fr-CH"/>
        </w:rPr>
        <w:t> </w:t>
      </w:r>
      <w:r w:rsidR="00B77B7D" w:rsidRPr="00D76EB7">
        <w:rPr>
          <w:lang w:val="fr-CH"/>
        </w:rPr>
        <w:t>:</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F64C02" w:rsidRPr="00D76EB7">
        <w:rPr>
          <w:lang w:val="fr-CH"/>
        </w:rPr>
        <w:t>Sources lumineuses – nombre et catégorie :</w:t>
      </w:r>
      <w:r w:rsidR="00B77B7D"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F64C02" w:rsidRPr="00D76EB7">
        <w:rPr>
          <w:lang w:val="fr-CH"/>
        </w:rPr>
        <w:t>Tension et puissance :</w:t>
      </w:r>
      <w:r w:rsidR="00B77B7D"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Le dispositif de régulation électronique de la source lumineuse ou du régulateur d’intensité</w:t>
      </w:r>
      <w:r w:rsidR="00F64C02" w:rsidRPr="00D76EB7">
        <w:rPr>
          <w:lang w:val="fr-CH"/>
        </w:rPr>
        <w:t> </w:t>
      </w:r>
      <w:r w:rsidR="00B77B7D" w:rsidRPr="00D76EB7">
        <w:rPr>
          <w:lang w:val="fr-CH"/>
        </w:rPr>
        <w:t>:</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a)</w:t>
      </w:r>
      <w:r w:rsidR="00F64C02" w:rsidRPr="00D76EB7">
        <w:rPr>
          <w:lang w:val="fr-CH"/>
        </w:rPr>
        <w:tab/>
      </w:r>
      <w:r w:rsidR="00B77B7D" w:rsidRPr="00D76EB7">
        <w:rPr>
          <w:lang w:val="fr-CH"/>
        </w:rPr>
        <w:t>Fait partie du feu</w:t>
      </w:r>
      <w:r w:rsidR="00F64C02" w:rsidRPr="00D76EB7">
        <w:rPr>
          <w:lang w:val="fr-CH"/>
        </w:rPr>
        <w:t> </w:t>
      </w:r>
      <w:r w:rsidR="00B77B7D" w:rsidRPr="00D76EB7">
        <w:rPr>
          <w:lang w:val="fr-CH"/>
        </w:rPr>
        <w:t>:</w:t>
      </w:r>
      <w:r w:rsidR="000E6AEC" w:rsidRPr="00D76EB7">
        <w:rPr>
          <w:lang w:val="fr-CH"/>
        </w:rPr>
        <w:tab/>
      </w:r>
      <w:r w:rsidR="00B77B7D" w:rsidRPr="00D76EB7">
        <w:rPr>
          <w:lang w:val="fr-CH"/>
        </w:rPr>
        <w:t>oui/non</w:t>
      </w:r>
      <w:r w:rsidR="00B77B7D" w:rsidRPr="00D76EB7">
        <w:rPr>
          <w:vertAlign w:val="superscript"/>
          <w:lang w:val="fr-CH"/>
        </w:rPr>
        <w:t>1</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b)</w:t>
      </w:r>
      <w:r w:rsidR="00F64C02" w:rsidRPr="00D76EB7">
        <w:rPr>
          <w:lang w:val="fr-CH"/>
        </w:rPr>
        <w:tab/>
      </w:r>
      <w:r w:rsidR="00B77B7D" w:rsidRPr="00D76EB7">
        <w:rPr>
          <w:lang w:val="fr-CH"/>
        </w:rPr>
        <w:t>Ne fait pas partie du feu</w:t>
      </w:r>
      <w:r w:rsidR="000E6AEC" w:rsidRPr="00D76EB7">
        <w:rPr>
          <w:lang w:val="fr-CH"/>
        </w:rPr>
        <w:t> </w:t>
      </w:r>
      <w:r w:rsidR="00B77B7D" w:rsidRPr="00D76EB7">
        <w:rPr>
          <w:lang w:val="fr-CH"/>
        </w:rPr>
        <w:t>:</w:t>
      </w:r>
      <w:r w:rsidR="000E6AEC" w:rsidRPr="00D76EB7">
        <w:rPr>
          <w:lang w:val="fr-CH"/>
        </w:rPr>
        <w:tab/>
      </w:r>
      <w:r w:rsidR="00B77B7D" w:rsidRPr="00D76EB7">
        <w:rPr>
          <w:lang w:val="fr-CH"/>
        </w:rPr>
        <w:t>oui/non</w:t>
      </w:r>
      <w:r w:rsidR="00B77B7D" w:rsidRPr="00D76EB7">
        <w:rPr>
          <w:vertAlign w:val="superscript"/>
          <w:lang w:val="fr-CH"/>
        </w:rPr>
        <w:t>1</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lastRenderedPageBreak/>
        <w:tab/>
      </w:r>
      <w:r>
        <w:rPr>
          <w:lang w:val="fr-CH"/>
        </w:rPr>
        <w:tab/>
      </w:r>
      <w:r w:rsidR="00B77B7D" w:rsidRPr="00D76EB7">
        <w:rPr>
          <w:lang w:val="fr-CH"/>
        </w:rPr>
        <w:t>Tension(s) d’alimentation du dispositif de régulation électronique de la source lumineuse ou du régulateur d’intensité</w:t>
      </w:r>
      <w:r w:rsidR="00F64C02" w:rsidRPr="00D76EB7">
        <w:rPr>
          <w:lang w:val="fr-CH"/>
        </w:rPr>
        <w:t> :</w:t>
      </w:r>
      <w:r w:rsidR="00F64C02" w:rsidRPr="00D76EB7">
        <w:rPr>
          <w:lang w:val="fr-CH"/>
        </w:rPr>
        <w:tab/>
      </w:r>
    </w:p>
    <w:p w:rsidR="00B77B7D" w:rsidRPr="00D76EB7" w:rsidRDefault="009B6632" w:rsidP="009B6632">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Nom du fabricant et numéro d’identification du dispositif de régulation électronique de la source lumineuse ou du régulateur d’intensité (lors</w:t>
      </w:r>
      <w:r>
        <w:rPr>
          <w:lang w:val="fr-CH"/>
        </w:rPr>
        <w:t>que le dispositif de régulation </w:t>
      </w:r>
      <w:r w:rsidR="00B77B7D" w:rsidRPr="00D76EB7">
        <w:rPr>
          <w:lang w:val="fr-CH"/>
        </w:rPr>
        <w:t>de la source lumineuse fait partie du feu mais n’est p</w:t>
      </w:r>
      <w:r w:rsidR="00F64C02" w:rsidRPr="00D76EB7">
        <w:rPr>
          <w:lang w:val="fr-CH"/>
        </w:rPr>
        <w:t>as incorporé dans son boîtier) :</w:t>
      </w:r>
      <w:r w:rsidR="00B77B7D"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Module d’</w:t>
      </w:r>
      <w:r w:rsidR="00F64C02" w:rsidRPr="00D76EB7">
        <w:rPr>
          <w:lang w:val="fr-CH"/>
        </w:rPr>
        <w:t>éclairage :</w:t>
      </w:r>
      <w:r w:rsidR="000E6AEC" w:rsidRPr="00D76EB7">
        <w:rPr>
          <w:lang w:val="fr-CH"/>
        </w:rPr>
        <w:tab/>
      </w:r>
      <w:r w:rsidR="00B77B7D" w:rsidRPr="00D76EB7">
        <w:rPr>
          <w:lang w:val="fr-CH"/>
        </w:rPr>
        <w:t>oui/non</w:t>
      </w:r>
      <w:r w:rsidR="00B77B7D" w:rsidRPr="00D76EB7">
        <w:rPr>
          <w:vertAlign w:val="superscript"/>
          <w:lang w:val="fr-CH"/>
        </w:rPr>
        <w:t>1</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Code d’identification propre au module d’éclairage</w:t>
      </w:r>
      <w:r w:rsidR="00F64C02" w:rsidRPr="00D76EB7">
        <w:rPr>
          <w:lang w:val="fr-CH"/>
        </w:rPr>
        <w:t> </w:t>
      </w:r>
      <w:r w:rsidR="00B77B7D" w:rsidRPr="00D76EB7">
        <w:rPr>
          <w:lang w:val="fr-CH"/>
        </w:rPr>
        <w:t>:</w:t>
      </w:r>
      <w:r w:rsidR="00B77B7D"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Conditions géométriques de montage et variantes éventuelles</w:t>
      </w:r>
      <w:r w:rsidR="00F64C02" w:rsidRPr="00D76EB7">
        <w:rPr>
          <w:lang w:val="fr-CH"/>
        </w:rPr>
        <w:t> </w:t>
      </w:r>
      <w:r w:rsidR="00B77B7D" w:rsidRPr="00D76EB7">
        <w:rPr>
          <w:lang w:val="fr-CH"/>
        </w:rPr>
        <w:t>:</w:t>
      </w:r>
      <w:r w:rsidR="00B77B7D" w:rsidRPr="00D76EB7">
        <w:rPr>
          <w:lang w:val="fr-CH"/>
        </w:rPr>
        <w:tab/>
      </w:r>
    </w:p>
    <w:p w:rsidR="00B77B7D" w:rsidRPr="00D76EB7" w:rsidRDefault="009B6632" w:rsidP="009B6632">
      <w:pPr>
        <w:pStyle w:val="SingleTxt"/>
        <w:ind w:left="2218" w:hanging="951"/>
        <w:rPr>
          <w:lang w:val="fr-CH"/>
        </w:rPr>
      </w:pPr>
      <w:r>
        <w:rPr>
          <w:lang w:val="fr-CH"/>
        </w:rPr>
        <w:tab/>
      </w:r>
      <w:r>
        <w:rPr>
          <w:lang w:val="fr-CH"/>
        </w:rPr>
        <w:tab/>
      </w:r>
      <w:r w:rsidR="00B77B7D" w:rsidRPr="00D76EB7">
        <w:rPr>
          <w:lang w:val="fr-CH"/>
        </w:rPr>
        <w:t>Pour un type de feu de manœuvre en application du paragraphe 6.2.2 du Règlement n</w:t>
      </w:r>
      <w:r w:rsidR="00B77B7D" w:rsidRPr="00D76EB7">
        <w:rPr>
          <w:vertAlign w:val="superscript"/>
          <w:lang w:val="fr-CH"/>
        </w:rPr>
        <w:t>o</w:t>
      </w:r>
      <w:r w:rsidR="00B77B7D" w:rsidRPr="00D76EB7">
        <w:rPr>
          <w:lang w:val="fr-CH"/>
        </w:rPr>
        <w:t> </w:t>
      </w:r>
      <w:r w:rsidR="00F64C02" w:rsidRPr="00D76EB7">
        <w:rPr>
          <w:lang w:val="fr-CH"/>
        </w:rPr>
        <w:t>23</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Hauteur maximale de montage</w:t>
      </w:r>
      <w:r w:rsidR="00F64C02" w:rsidRPr="00D76EB7">
        <w:rPr>
          <w:lang w:val="fr-CH"/>
        </w:rPr>
        <w:t> </w:t>
      </w:r>
      <w:r w:rsidR="00B77B7D" w:rsidRPr="00D76EB7">
        <w:rPr>
          <w:lang w:val="fr-CH"/>
        </w:rPr>
        <w:t>:</w:t>
      </w:r>
      <w:r w:rsidR="00B77B7D"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b/>
          <w:lang w:val="fr-CH"/>
        </w:rPr>
      </w:pPr>
      <w:r>
        <w:rPr>
          <w:b/>
          <w:bCs/>
          <w:lang w:val="fr-CH"/>
        </w:rPr>
        <w:tab/>
      </w:r>
      <w:r>
        <w:rPr>
          <w:b/>
          <w:bCs/>
          <w:lang w:val="fr-CH"/>
        </w:rPr>
        <w:tab/>
      </w:r>
      <w:r w:rsidR="00B77B7D" w:rsidRPr="00D76EB7">
        <w:rPr>
          <w:b/>
          <w:bCs/>
          <w:lang w:val="fr-CH"/>
        </w:rPr>
        <w:t>Le feu de marche arrière</w:t>
      </w:r>
      <w:r w:rsidR="00B77B7D" w:rsidRPr="00D76EB7">
        <w:rPr>
          <w:b/>
          <w:bCs/>
          <w:vertAlign w:val="superscript"/>
          <w:lang w:val="fr-CH"/>
        </w:rPr>
        <w:t>1</w:t>
      </w:r>
      <w:r w:rsidR="00B77B7D" w:rsidRPr="00D76EB7">
        <w:rPr>
          <w:b/>
          <w:bCs/>
          <w:lang w:val="fr-CH"/>
        </w:rPr>
        <w:t>/feu de manoeuvre</w:t>
      </w:r>
      <w:r w:rsidR="00B77B7D" w:rsidRPr="00D76EB7">
        <w:rPr>
          <w:b/>
          <w:bCs/>
          <w:vertAlign w:val="superscript"/>
          <w:lang w:val="fr-CH"/>
        </w:rPr>
        <w:t>1</w:t>
      </w:r>
      <w:r w:rsidR="00B77B7D" w:rsidRPr="00D76EB7">
        <w:rPr>
          <w:b/>
          <w:bCs/>
          <w:lang w:val="fr-CH"/>
        </w:rPr>
        <w:t xml:space="preserve"> ne peut être utilisé que sur un véhicule équipé d’un témoin indiquant un défaut de fonctionnement</w:t>
      </w:r>
      <w:r w:rsidR="00F64C02" w:rsidRPr="00D76EB7">
        <w:rPr>
          <w:b/>
          <w:bCs/>
          <w:lang w:val="fr-CH"/>
        </w:rPr>
        <w:t> </w:t>
      </w:r>
      <w:r w:rsidR="00B77B7D" w:rsidRPr="00D76EB7">
        <w:rPr>
          <w:b/>
          <w:bCs/>
          <w:lang w:val="fr-CH"/>
        </w:rPr>
        <w:t>:</w:t>
      </w:r>
      <w:r w:rsidR="000E6AEC" w:rsidRPr="00D76EB7">
        <w:rPr>
          <w:b/>
          <w:bCs/>
          <w:lang w:val="fr-CH"/>
        </w:rPr>
        <w:tab/>
      </w:r>
      <w:r w:rsidR="00B77B7D" w:rsidRPr="00D76EB7">
        <w:rPr>
          <w:b/>
          <w:bCs/>
          <w:lang w:val="fr-CH"/>
        </w:rPr>
        <w:t>oui/non</w:t>
      </w:r>
      <w:r w:rsidR="00B77B7D" w:rsidRPr="00D76EB7">
        <w:rPr>
          <w:b/>
          <w:bCs/>
          <w:vertAlign w:val="superscript"/>
          <w:lang w:val="fr-CH"/>
        </w:rPr>
        <w:t>1</w:t>
      </w:r>
    </w:p>
    <w:p w:rsidR="00B77B7D" w:rsidRPr="00D76EB7" w:rsidRDefault="00B77B7D" w:rsidP="00F64C02">
      <w:pPr>
        <w:pStyle w:val="SingleTxt"/>
        <w:ind w:hanging="432"/>
        <w:rPr>
          <w:lang w:val="fr-CH"/>
        </w:rPr>
      </w:pPr>
      <w:r w:rsidRPr="00D76EB7">
        <w:rPr>
          <w:lang w:val="fr-CH"/>
        </w:rPr>
        <w:t>_______________</w:t>
      </w:r>
    </w:p>
    <w:p w:rsidR="00B77B7D" w:rsidRPr="00D76EB7" w:rsidRDefault="00F64C02" w:rsidP="00F64C02">
      <w:pPr>
        <w:pStyle w:val="FootnoteText"/>
        <w:tabs>
          <w:tab w:val="right" w:pos="1476"/>
          <w:tab w:val="left" w:pos="1548"/>
          <w:tab w:val="right" w:pos="1836"/>
          <w:tab w:val="left" w:pos="1908"/>
        </w:tabs>
        <w:ind w:left="1548" w:right="1267" w:hanging="288"/>
        <w:rPr>
          <w:lang w:val="fr-CH"/>
        </w:rPr>
      </w:pPr>
      <w:r w:rsidRPr="00D76EB7">
        <w:rPr>
          <w:vertAlign w:val="superscript"/>
          <w:lang w:val="fr-CH"/>
        </w:rPr>
        <w:tab/>
      </w:r>
      <w:r w:rsidR="00B77B7D" w:rsidRPr="00D76EB7">
        <w:rPr>
          <w:vertAlign w:val="superscript"/>
          <w:lang w:val="fr-CH"/>
        </w:rPr>
        <w:t>1</w:t>
      </w:r>
      <w:r w:rsidRPr="00D76EB7">
        <w:rPr>
          <w:vertAlign w:val="superscript"/>
          <w:lang w:val="fr-CH"/>
        </w:rPr>
        <w:tab/>
      </w:r>
      <w:r w:rsidR="00B77B7D" w:rsidRPr="00D76EB7">
        <w:rPr>
          <w:lang w:val="fr-CH"/>
        </w:rPr>
        <w:t>Biffer les mentions inutiles.</w:t>
      </w:r>
      <w:r w:rsidR="000E6AEC" w:rsidRPr="00D76EB7">
        <w:rPr>
          <w:lang w:val="fr-CH"/>
        </w:rPr>
        <w:t> </w:t>
      </w:r>
      <w:r w:rsidR="000E6AEC" w:rsidRPr="00D76EB7">
        <w:rPr>
          <w:sz w:val="20"/>
          <w:lang w:val="fr-CH"/>
        </w:rPr>
        <w:t>».</w:t>
      </w:r>
    </w:p>
    <w:p w:rsidR="00B77B7D" w:rsidRPr="00D76EB7" w:rsidRDefault="00B77B7D" w:rsidP="00B77B7D">
      <w:pPr>
        <w:pStyle w:val="SingleTxt"/>
        <w:spacing w:after="0" w:line="120" w:lineRule="exact"/>
        <w:rPr>
          <w:b/>
          <w:sz w:val="10"/>
          <w:lang w:val="fr-CH"/>
        </w:rPr>
      </w:pPr>
    </w:p>
    <w:p w:rsidR="00F64C02" w:rsidRPr="00D76EB7" w:rsidRDefault="00F64C02" w:rsidP="00B77B7D">
      <w:pPr>
        <w:pStyle w:val="SingleTxt"/>
        <w:spacing w:after="0" w:line="120" w:lineRule="exact"/>
        <w:rPr>
          <w:b/>
          <w:sz w:val="10"/>
          <w:lang w:val="fr-CH"/>
        </w:rPr>
      </w:pP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tab/>
        <w:t>C.</w:t>
      </w:r>
      <w:r w:rsidRPr="00D76EB7">
        <w:rPr>
          <w:lang w:val="fr-CH"/>
        </w:rPr>
        <w:tab/>
        <w:t>Complément 18 à la</w:t>
      </w:r>
      <w:r w:rsidRPr="00D76EB7">
        <w:rPr>
          <w:bCs/>
          <w:lang w:val="fr-CH"/>
        </w:rPr>
        <w:t xml:space="preserve"> série 00 </w:t>
      </w:r>
      <w:r w:rsidRPr="00D76EB7">
        <w:rPr>
          <w:lang w:val="fr-CH"/>
        </w:rPr>
        <w:t>d’amendements au Règlement n</w:t>
      </w:r>
      <w:r w:rsidRPr="00D76EB7">
        <w:rPr>
          <w:vertAlign w:val="superscript"/>
          <w:lang w:val="fr-CH"/>
        </w:rPr>
        <w:t>o</w:t>
      </w:r>
      <w:r w:rsidRPr="00D76EB7">
        <w:rPr>
          <w:lang w:val="fr-CH"/>
        </w:rPr>
        <w:t> 38 (</w:t>
      </w:r>
      <w:r w:rsidR="000E6AEC" w:rsidRPr="00D76EB7">
        <w:rPr>
          <w:lang w:val="fr-CH"/>
        </w:rPr>
        <w:t xml:space="preserve">Feux </w:t>
      </w:r>
      <w:r w:rsidRPr="00D76EB7">
        <w:rPr>
          <w:lang w:val="fr-CH"/>
        </w:rPr>
        <w:t>de brouillard arrière)</w:t>
      </w: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spacing w:after="0" w:line="120" w:lineRule="exact"/>
        <w:rPr>
          <w:i/>
          <w:iCs/>
          <w:sz w:val="10"/>
          <w:lang w:val="fr-CH"/>
        </w:rPr>
      </w:pPr>
    </w:p>
    <w:p w:rsidR="00B77B7D" w:rsidRPr="00D76EB7" w:rsidRDefault="000E6AEC" w:rsidP="00B77B7D">
      <w:pPr>
        <w:pStyle w:val="SingleTxt"/>
        <w:rPr>
          <w:lang w:val="fr-CH"/>
        </w:rPr>
      </w:pPr>
      <w:r w:rsidRPr="00D76EB7">
        <w:rPr>
          <w:i/>
          <w:iCs/>
          <w:lang w:val="fr-CH"/>
        </w:rPr>
        <w:t>Paragraphe 6.</w:t>
      </w:r>
      <w:r w:rsidR="00B77B7D" w:rsidRPr="00D76EB7">
        <w:rPr>
          <w:i/>
          <w:iCs/>
          <w:lang w:val="fr-CH"/>
        </w:rPr>
        <w:t>4</w:t>
      </w:r>
      <w:r w:rsidR="00B77B7D" w:rsidRPr="00D76EB7">
        <w:rPr>
          <w:lang w:val="fr-CH"/>
        </w:rPr>
        <w:t>, modifier comme suit</w:t>
      </w:r>
      <w:r w:rsidRPr="00D76EB7">
        <w:rPr>
          <w:lang w:val="fr-CH"/>
        </w:rPr>
        <w:t> </w:t>
      </w:r>
      <w:r w:rsidR="00B77B7D" w:rsidRPr="00D76EB7">
        <w:rPr>
          <w:lang w:val="fr-CH"/>
        </w:rPr>
        <w:t>:</w:t>
      </w:r>
    </w:p>
    <w:p w:rsidR="00B77B7D" w:rsidRPr="00D76EB7" w:rsidRDefault="000E6AEC" w:rsidP="00B77B7D">
      <w:pPr>
        <w:pStyle w:val="SingleTxt"/>
        <w:rPr>
          <w:lang w:val="fr-CH"/>
        </w:rPr>
      </w:pPr>
      <w:r w:rsidRPr="00D76EB7">
        <w:rPr>
          <w:lang w:val="fr-CH"/>
        </w:rPr>
        <w:t>« </w:t>
      </w:r>
      <w:r w:rsidR="00B77B7D" w:rsidRPr="00D76EB7">
        <w:rPr>
          <w:lang w:val="fr-CH"/>
        </w:rPr>
        <w:t>6.4</w:t>
      </w:r>
      <w:r w:rsidRPr="00D76EB7">
        <w:rPr>
          <w:lang w:val="fr-CH"/>
        </w:rPr>
        <w:tab/>
      </w:r>
      <w:r w:rsidR="00B77B7D" w:rsidRPr="00D76EB7">
        <w:rPr>
          <w:lang w:val="fr-CH"/>
        </w:rPr>
        <w:tab/>
      </w:r>
      <w:r w:rsidR="00B77B7D" w:rsidRPr="00D76EB7">
        <w:rPr>
          <w:b/>
          <w:bCs/>
          <w:lang w:val="fr-CH"/>
        </w:rPr>
        <w:t>Défaillance d’une source lumineuse</w:t>
      </w:r>
      <w:r w:rsidRPr="00D76EB7">
        <w:rPr>
          <w:b/>
          <w:bCs/>
          <w:lang w:val="fr-CH"/>
        </w:rPr>
        <w:t> </w:t>
      </w:r>
      <w:r w:rsidR="00B77B7D" w:rsidRPr="00D76EB7">
        <w:rPr>
          <w:b/>
          <w:bCs/>
          <w:lang w:val="fr-CH"/>
        </w:rPr>
        <w:t>:</w:t>
      </w:r>
    </w:p>
    <w:p w:rsidR="00B77B7D" w:rsidRPr="00D76EB7" w:rsidRDefault="000E6AEC" w:rsidP="000E6AEC">
      <w:pPr>
        <w:pStyle w:val="SingleTxt"/>
        <w:ind w:left="2218" w:hanging="951"/>
        <w:rPr>
          <w:strike/>
          <w:lang w:val="fr-CH"/>
        </w:rPr>
      </w:pPr>
      <w:r w:rsidRPr="00D76EB7">
        <w:rPr>
          <w:lang w:val="fr-CH"/>
        </w:rPr>
        <w:tab/>
      </w:r>
      <w:r w:rsidRPr="00D76EB7">
        <w:rPr>
          <w:lang w:val="fr-CH"/>
        </w:rPr>
        <w:tab/>
      </w:r>
      <w:r w:rsidR="00B77B7D" w:rsidRPr="00D76EB7">
        <w:rPr>
          <w:strike/>
          <w:lang w:val="fr-CH"/>
        </w:rPr>
        <w:t xml:space="preserve">S’il s’agit d’un feu unique contenant plus d’une source lumineuse, le feu doit </w:t>
      </w:r>
      <w:r w:rsidRPr="00D76EB7">
        <w:rPr>
          <w:strike/>
          <w:lang w:val="fr-CH"/>
        </w:rPr>
        <w:t xml:space="preserve">fonctionner avec </w:t>
      </w:r>
      <w:r w:rsidR="00B77B7D" w:rsidRPr="00D76EB7">
        <w:rPr>
          <w:strike/>
          <w:lang w:val="fr-CH"/>
        </w:rPr>
        <w:t xml:space="preserve">l’intensité minimale requise lorsqu’une source lumineuse quelconque </w:t>
      </w:r>
      <w:r w:rsidRPr="00D76EB7">
        <w:rPr>
          <w:strike/>
          <w:lang w:val="fr-CH"/>
        </w:rPr>
        <w:t xml:space="preserve">sera </w:t>
      </w:r>
      <w:r w:rsidR="00B77B7D" w:rsidRPr="00D76EB7">
        <w:rPr>
          <w:strike/>
          <w:lang w:val="fr-CH"/>
        </w:rPr>
        <w:t xml:space="preserve">défaillante, et lorsque toutes les sources lumineuses fonctionnent, les intensités maximales ne </w:t>
      </w:r>
      <w:r w:rsidRPr="00D76EB7">
        <w:rPr>
          <w:strike/>
          <w:lang w:val="fr-CH"/>
        </w:rPr>
        <w:t xml:space="preserve">devront </w:t>
      </w:r>
      <w:r w:rsidR="00B77B7D" w:rsidRPr="00D76EB7">
        <w:rPr>
          <w:strike/>
          <w:lang w:val="fr-CH"/>
        </w:rPr>
        <w:t xml:space="preserve">pas être dépassées. </w:t>
      </w:r>
    </w:p>
    <w:p w:rsidR="00B77B7D" w:rsidRPr="00D76EB7" w:rsidRDefault="00B77B7D" w:rsidP="000E6AEC">
      <w:pPr>
        <w:pStyle w:val="SingleTxt"/>
        <w:ind w:left="2218" w:hanging="951"/>
        <w:rPr>
          <w:b/>
          <w:lang w:val="fr-CH"/>
        </w:rPr>
      </w:pPr>
      <w:r w:rsidRPr="00D76EB7">
        <w:rPr>
          <w:b/>
          <w:bCs/>
          <w:lang w:val="fr-CH"/>
        </w:rPr>
        <w:t>6.4.1</w:t>
      </w:r>
      <w:r w:rsidRPr="00D76EB7">
        <w:rPr>
          <w:lang w:val="fr-CH"/>
        </w:rPr>
        <w:tab/>
      </w:r>
      <w:r w:rsidR="000E6AEC" w:rsidRPr="00D76EB7">
        <w:rPr>
          <w:lang w:val="fr-CH"/>
        </w:rPr>
        <w:tab/>
      </w:r>
      <w:r w:rsidRPr="00D76EB7">
        <w:rPr>
          <w:b/>
          <w:bCs/>
          <w:lang w:val="fr-CH"/>
        </w:rPr>
        <w:t>Un groupe de sources lumineuses, branchées de manière qu’en cas de défaillance de l’une d’elles toutes les autres s’arrêtent d’émettre de la lumière, doit être considéré comme une seule et même source lumineuse</w:t>
      </w:r>
      <w:r w:rsidRPr="00D76EB7">
        <w:rPr>
          <w:lang w:val="fr-CH"/>
        </w:rPr>
        <w:t>.</w:t>
      </w:r>
    </w:p>
    <w:p w:rsidR="00B77B7D" w:rsidRPr="00D76EB7" w:rsidRDefault="00B77B7D" w:rsidP="000E6AEC">
      <w:pPr>
        <w:pStyle w:val="SingleTxt"/>
        <w:ind w:left="2218" w:hanging="951"/>
        <w:rPr>
          <w:b/>
          <w:lang w:val="fr-CH"/>
        </w:rPr>
      </w:pPr>
      <w:r w:rsidRPr="00D76EB7">
        <w:rPr>
          <w:b/>
          <w:bCs/>
          <w:lang w:val="fr-CH"/>
        </w:rPr>
        <w:t>6.4.2.</w:t>
      </w:r>
      <w:r w:rsidRPr="00D76EB7">
        <w:rPr>
          <w:lang w:val="fr-CH"/>
        </w:rPr>
        <w:tab/>
      </w:r>
      <w:r w:rsidRPr="00D76EB7">
        <w:rPr>
          <w:b/>
          <w:bCs/>
          <w:lang w:val="fr-CH"/>
        </w:rPr>
        <w:t>En cas de défaillance de l’une des sources lumineuses d’un feu simple qui en contient plusieurs, l’une des dispositions suivantes s’applique</w:t>
      </w:r>
      <w:r w:rsidR="000E6AEC" w:rsidRPr="00D76EB7">
        <w:rPr>
          <w:b/>
          <w:bCs/>
          <w:lang w:val="fr-CH"/>
        </w:rPr>
        <w:t> </w:t>
      </w:r>
      <w:r w:rsidRPr="00D76EB7">
        <w:rPr>
          <w:b/>
          <w:bCs/>
          <w:lang w:val="fr-CH"/>
        </w:rPr>
        <w:t>:</w:t>
      </w:r>
    </w:p>
    <w:p w:rsidR="00B77B7D" w:rsidRPr="00D76EB7" w:rsidRDefault="000E6AEC" w:rsidP="000E6AEC">
      <w:pPr>
        <w:pStyle w:val="SingleTxt"/>
        <w:ind w:left="2693" w:hanging="1426"/>
        <w:rPr>
          <w:b/>
          <w:lang w:val="fr-CH"/>
        </w:rPr>
      </w:pPr>
      <w:r w:rsidRPr="00D76EB7">
        <w:rPr>
          <w:lang w:val="fr-CH"/>
        </w:rPr>
        <w:tab/>
      </w:r>
      <w:r w:rsidRPr="00D76EB7">
        <w:rPr>
          <w:lang w:val="fr-CH"/>
        </w:rPr>
        <w:tab/>
      </w:r>
      <w:r w:rsidR="00B77B7D" w:rsidRPr="00D76EB7">
        <w:rPr>
          <w:b/>
          <w:bCs/>
          <w:lang w:val="fr-CH"/>
        </w:rPr>
        <w:t>a)</w:t>
      </w:r>
      <w:r w:rsidR="00B77B7D" w:rsidRPr="00D76EB7">
        <w:rPr>
          <w:lang w:val="fr-CH"/>
        </w:rPr>
        <w:tab/>
      </w:r>
      <w:r w:rsidR="00B77B7D" w:rsidRPr="00D76EB7">
        <w:rPr>
          <w:b/>
          <w:bCs/>
          <w:lang w:val="fr-CH"/>
        </w:rPr>
        <w:t>L’intensité lumineuse doit être conforme à l’intensité minimale prescrite dans le tableau de répartition lumineuse sp</w:t>
      </w:r>
      <w:r w:rsidR="00DD4D6D">
        <w:rPr>
          <w:b/>
          <w:bCs/>
          <w:lang w:val="fr-CH"/>
        </w:rPr>
        <w:t>atiale normalisée de l’annexe 3;</w:t>
      </w:r>
      <w:r w:rsidR="00B77B7D" w:rsidRPr="00D76EB7">
        <w:rPr>
          <w:b/>
          <w:bCs/>
          <w:lang w:val="fr-CH"/>
        </w:rPr>
        <w:t xml:space="preserve"> ou</w:t>
      </w:r>
    </w:p>
    <w:p w:rsidR="00B77B7D" w:rsidRPr="00D76EB7" w:rsidRDefault="000E6AEC" w:rsidP="000E6AEC">
      <w:pPr>
        <w:pStyle w:val="SingleTxt"/>
        <w:ind w:left="2693" w:hanging="1426"/>
        <w:rPr>
          <w:lang w:val="fr-CH"/>
        </w:rPr>
      </w:pPr>
      <w:r w:rsidRPr="00D76EB7">
        <w:rPr>
          <w:b/>
          <w:bCs/>
          <w:lang w:val="fr-CH"/>
        </w:rPr>
        <w:tab/>
      </w:r>
      <w:r w:rsidRPr="00D76EB7">
        <w:rPr>
          <w:b/>
          <w:bCs/>
          <w:lang w:val="fr-CH"/>
        </w:rPr>
        <w:tab/>
      </w:r>
      <w:r w:rsidR="00B77B7D" w:rsidRPr="00D76EB7">
        <w:rPr>
          <w:b/>
          <w:bCs/>
          <w:lang w:val="fr-CH"/>
        </w:rPr>
        <w:t>b)</w:t>
      </w:r>
      <w:r w:rsidR="00B77B7D" w:rsidRPr="00D76EB7">
        <w:rPr>
          <w:lang w:val="fr-CH"/>
        </w:rPr>
        <w:tab/>
      </w:r>
      <w:r w:rsidR="00B77B7D" w:rsidRPr="00D76EB7">
        <w:rPr>
          <w:b/>
          <w:bCs/>
          <w:lang w:val="fr-CH"/>
        </w:rPr>
        <w:t>L’intensité lumineuse mesurée sur l’axe de</w:t>
      </w:r>
      <w:r w:rsidRPr="00D76EB7">
        <w:rPr>
          <w:b/>
          <w:bCs/>
          <w:lang w:val="fr-CH"/>
        </w:rPr>
        <w:t xml:space="preserve"> référence doit être égale à 50 </w:t>
      </w:r>
      <w:r w:rsidR="00B77B7D" w:rsidRPr="00D76EB7">
        <w:rPr>
          <w:b/>
          <w:bCs/>
          <w:lang w:val="fr-CH"/>
        </w:rPr>
        <w:t>% au moins de la valeur minimale d’intensité requise, à condition qu’il soit fait mention dans la fiche de communication que le feu en question ne peut être utilisé que sur un véhicule équipé d’un témoin de fonctionnement signalant la défaillance de l’une quelconque des sources lumineuses.</w:t>
      </w:r>
      <w:r w:rsidR="00B77B7D" w:rsidRPr="00D76EB7">
        <w:rPr>
          <w:lang w:val="fr-CH"/>
        </w:rPr>
        <w:t> »</w:t>
      </w:r>
      <w:r w:rsidRPr="00D76EB7">
        <w:rPr>
          <w:lang w:val="fr-CH"/>
        </w:rPr>
        <w:t>.</w:t>
      </w:r>
    </w:p>
    <w:p w:rsidR="00B77B7D" w:rsidRPr="00D76EB7" w:rsidRDefault="00B77B7D" w:rsidP="00B77B7D">
      <w:pPr>
        <w:pStyle w:val="SingleTxt"/>
        <w:rPr>
          <w:lang w:val="fr-CH"/>
        </w:rPr>
      </w:pPr>
      <w:r w:rsidRPr="00D76EB7">
        <w:rPr>
          <w:i/>
          <w:iCs/>
          <w:lang w:val="fr-CH"/>
        </w:rPr>
        <w:t>Annexe 1, point 9</w:t>
      </w:r>
      <w:r w:rsidRPr="00D76EB7">
        <w:rPr>
          <w:lang w:val="fr-CH"/>
        </w:rPr>
        <w:t>, modifier comme suit</w:t>
      </w:r>
      <w:r w:rsidR="000E6AEC" w:rsidRPr="00D76EB7">
        <w:rPr>
          <w:lang w:val="fr-CH"/>
        </w:rPr>
        <w:t> </w:t>
      </w:r>
      <w:r w:rsidRPr="00D76EB7">
        <w:rPr>
          <w:lang w:val="fr-CH"/>
        </w:rPr>
        <w:t>:</w:t>
      </w:r>
    </w:p>
    <w:p w:rsidR="00B77B7D" w:rsidRPr="00D76EB7" w:rsidRDefault="000E6AEC" w:rsidP="00B77B7D">
      <w:pPr>
        <w:pStyle w:val="SingleTxt"/>
        <w:rPr>
          <w:lang w:val="fr-CH"/>
        </w:rPr>
      </w:pPr>
      <w:r w:rsidRPr="00D76EB7">
        <w:rPr>
          <w:lang w:val="fr-CH"/>
        </w:rPr>
        <w:t>« </w:t>
      </w:r>
      <w:r w:rsidR="00B77B7D" w:rsidRPr="00D76EB7">
        <w:rPr>
          <w:lang w:val="fr-CH"/>
        </w:rPr>
        <w:t>9</w:t>
      </w:r>
      <w:r w:rsidR="009B6632">
        <w:rPr>
          <w:lang w:val="fr-CH"/>
        </w:rPr>
        <w:t>.</w:t>
      </w:r>
      <w:r w:rsidR="00B77B7D" w:rsidRPr="00D76EB7">
        <w:rPr>
          <w:lang w:val="fr-CH"/>
        </w:rPr>
        <w:tab/>
      </w:r>
      <w:r w:rsidRPr="00D76EB7">
        <w:rPr>
          <w:lang w:val="fr-CH"/>
        </w:rPr>
        <w:tab/>
      </w:r>
      <w:r w:rsidR="00B77B7D" w:rsidRPr="00D76EB7">
        <w:rPr>
          <w:lang w:val="fr-CH"/>
        </w:rPr>
        <w:t>Brève description</w:t>
      </w:r>
      <w:r w:rsidRPr="00D76EB7">
        <w:rPr>
          <w:lang w:val="fr-CH"/>
        </w:rPr>
        <w:t> </w:t>
      </w:r>
      <w:r w:rsidR="00B77B7D" w:rsidRPr="00D76EB7">
        <w:rPr>
          <w:lang w:val="fr-CH"/>
        </w:rPr>
        <w:t>:</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lastRenderedPageBreak/>
        <w:tab/>
      </w:r>
      <w:r>
        <w:rPr>
          <w:lang w:val="fr-CH"/>
        </w:rPr>
        <w:tab/>
      </w:r>
      <w:r w:rsidR="000E6AEC" w:rsidRPr="00D76EB7">
        <w:rPr>
          <w:lang w:val="fr-CH"/>
        </w:rPr>
        <w:t>Sources lumineuses – n</w:t>
      </w:r>
      <w:r w:rsidR="00B77B7D" w:rsidRPr="00D76EB7">
        <w:rPr>
          <w:lang w:val="fr-CH"/>
        </w:rPr>
        <w:t>ombre, catégorie et type</w:t>
      </w:r>
      <w:r w:rsidR="000E6AEC" w:rsidRPr="00D76EB7">
        <w:rPr>
          <w:lang w:val="fr-CH"/>
        </w:rPr>
        <w:t> :</w:t>
      </w:r>
      <w:r w:rsidR="00B77B7D"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Tension et puiss</w:t>
      </w:r>
      <w:r w:rsidR="000E6AEC" w:rsidRPr="00D76EB7">
        <w:rPr>
          <w:lang w:val="fr-CH"/>
        </w:rPr>
        <w:t>ance :</w:t>
      </w:r>
      <w:r w:rsidR="00B77B7D"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Code d’identification spécifique du</w:t>
      </w:r>
      <w:r w:rsidR="000E6AEC" w:rsidRPr="00D76EB7">
        <w:rPr>
          <w:lang w:val="fr-CH"/>
        </w:rPr>
        <w:t xml:space="preserve"> module de la source lumineuse :</w:t>
      </w:r>
      <w:r w:rsidR="00B77B7D"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Caractéristiques géométriques de m</w:t>
      </w:r>
      <w:r w:rsidR="000E6AEC" w:rsidRPr="00D76EB7">
        <w:rPr>
          <w:lang w:val="fr-CH"/>
        </w:rPr>
        <w:t>ontage et variantes éventuelles :</w:t>
      </w:r>
      <w:r w:rsidR="00B77B7D" w:rsidRPr="00D76EB7">
        <w:rPr>
          <w:lang w:val="fr-CH"/>
        </w:rPr>
        <w:tab/>
      </w:r>
    </w:p>
    <w:p w:rsidR="00B77B7D" w:rsidRPr="00D76EB7" w:rsidRDefault="009B6632" w:rsidP="009B6632">
      <w:pPr>
        <w:pStyle w:val="SingleTxt"/>
        <w:ind w:left="2218" w:hanging="951"/>
        <w:rPr>
          <w:lang w:val="fr-CH"/>
        </w:rPr>
      </w:pPr>
      <w:r>
        <w:rPr>
          <w:lang w:val="fr-CH"/>
        </w:rPr>
        <w:tab/>
      </w:r>
      <w:r>
        <w:rPr>
          <w:lang w:val="fr-CH"/>
        </w:rPr>
        <w:tab/>
      </w:r>
      <w:r w:rsidR="00B77B7D" w:rsidRPr="00D76EB7">
        <w:rPr>
          <w:lang w:val="fr-CH"/>
        </w:rPr>
        <w:t>Le dispositif de régulation électronique de la source lumineuse ou du régulateur d’intensité</w:t>
      </w:r>
      <w:r w:rsidR="000E6AEC" w:rsidRPr="00D76EB7">
        <w:rPr>
          <w:lang w:val="fr-CH"/>
        </w:rPr>
        <w:t> </w:t>
      </w:r>
      <w:r w:rsidR="00B77B7D" w:rsidRPr="00D76EB7">
        <w:rPr>
          <w:lang w:val="fr-CH"/>
        </w:rPr>
        <w:t>:</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a)</w:t>
      </w:r>
      <w:r w:rsidR="000E6AEC" w:rsidRPr="00D76EB7">
        <w:rPr>
          <w:lang w:val="fr-CH"/>
        </w:rPr>
        <w:tab/>
      </w:r>
      <w:r w:rsidR="00B77B7D" w:rsidRPr="00D76EB7">
        <w:rPr>
          <w:lang w:val="fr-CH"/>
        </w:rPr>
        <w:t>Fait partie d</w:t>
      </w:r>
      <w:r w:rsidR="000E6AEC" w:rsidRPr="00D76EB7">
        <w:rPr>
          <w:lang w:val="fr-CH"/>
        </w:rPr>
        <w:t>u feu :</w:t>
      </w:r>
      <w:r w:rsidR="000E6AEC" w:rsidRPr="00D76EB7">
        <w:rPr>
          <w:lang w:val="fr-CH"/>
        </w:rPr>
        <w:tab/>
      </w:r>
      <w:r w:rsidR="00B77B7D" w:rsidRPr="00D76EB7">
        <w:rPr>
          <w:lang w:val="fr-CH"/>
        </w:rPr>
        <w:t>oui/non</w:t>
      </w:r>
      <w:r w:rsidR="00B77B7D" w:rsidRPr="00D76EB7">
        <w:rPr>
          <w:vertAlign w:val="superscript"/>
          <w:lang w:val="fr-CH"/>
        </w:rPr>
        <w:t>1</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b)</w:t>
      </w:r>
      <w:r w:rsidR="000E6AEC" w:rsidRPr="00D76EB7">
        <w:rPr>
          <w:lang w:val="fr-CH"/>
        </w:rPr>
        <w:tab/>
      </w:r>
      <w:r w:rsidR="00B77B7D" w:rsidRPr="00D76EB7">
        <w:rPr>
          <w:lang w:val="fr-CH"/>
        </w:rPr>
        <w:t>Ne fait pas partie du feu</w:t>
      </w:r>
      <w:r w:rsidR="000E6AEC" w:rsidRPr="00D76EB7">
        <w:rPr>
          <w:lang w:val="fr-CH"/>
        </w:rPr>
        <w:t> </w:t>
      </w:r>
      <w:r w:rsidR="00B77B7D" w:rsidRPr="00D76EB7">
        <w:rPr>
          <w:lang w:val="fr-CH"/>
        </w:rPr>
        <w:t>:</w:t>
      </w:r>
      <w:r w:rsidR="000E6AEC" w:rsidRPr="00D76EB7">
        <w:rPr>
          <w:lang w:val="fr-CH"/>
        </w:rPr>
        <w:tab/>
      </w:r>
      <w:r w:rsidR="00B77B7D" w:rsidRPr="00D76EB7">
        <w:rPr>
          <w:lang w:val="fr-CH"/>
        </w:rPr>
        <w:t>oui/non</w:t>
      </w:r>
      <w:r w:rsidR="00B77B7D" w:rsidRPr="00D76EB7">
        <w:rPr>
          <w:vertAlign w:val="superscript"/>
          <w:lang w:val="fr-CH"/>
        </w:rPr>
        <w:t>1</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Tension(s) d’alimentation du dispositif de régulation électronique de la source lumineuse ou du régulateur d’intensité</w:t>
      </w:r>
      <w:r w:rsidR="000E6AEC" w:rsidRPr="00D76EB7">
        <w:rPr>
          <w:lang w:val="fr-CH"/>
        </w:rPr>
        <w:t> </w:t>
      </w:r>
      <w:r w:rsidR="00B77B7D" w:rsidRPr="00D76EB7">
        <w:rPr>
          <w:lang w:val="fr-CH"/>
        </w:rPr>
        <w:t>:</w:t>
      </w:r>
      <w:r w:rsidR="00B77B7D" w:rsidRPr="00D76EB7">
        <w:rPr>
          <w:lang w:val="fr-CH"/>
        </w:rPr>
        <w:tab/>
      </w:r>
    </w:p>
    <w:p w:rsidR="00B77B7D" w:rsidRPr="00D76EB7" w:rsidRDefault="009B6632" w:rsidP="009B6632">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B77B7D" w:rsidRPr="00D76EB7">
        <w:rPr>
          <w:lang w:val="fr-CH"/>
        </w:rPr>
        <w:t>Nom du fabricant et numéro d’identification du dispositif de régulation électronique de la source lumineuse ou du régulateur d’intensité (lors</w:t>
      </w:r>
      <w:r>
        <w:rPr>
          <w:lang w:val="fr-CH"/>
        </w:rPr>
        <w:t>que le dispositif de régulation </w:t>
      </w:r>
      <w:r w:rsidR="00B77B7D" w:rsidRPr="00D76EB7">
        <w:rPr>
          <w:lang w:val="fr-CH"/>
        </w:rPr>
        <w:t>de la source lumineuse fait partie du feu mais n’est pas incorporé dans son boîtier)</w:t>
      </w:r>
      <w:r w:rsidR="000E6AEC" w:rsidRPr="00D76EB7">
        <w:rPr>
          <w:lang w:val="fr-CH"/>
        </w:rPr>
        <w:t> </w:t>
      </w:r>
      <w:r w:rsidR="00B77B7D" w:rsidRPr="00D76EB7">
        <w:rPr>
          <w:lang w:val="fr-CH"/>
        </w:rPr>
        <w:t>:</w:t>
      </w:r>
      <w:r w:rsidR="00B77B7D" w:rsidRPr="00D76EB7">
        <w:rPr>
          <w:lang w:val="fr-CH"/>
        </w:rPr>
        <w:tab/>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lang w:val="fr-CH"/>
        </w:rPr>
      </w:pPr>
      <w:r>
        <w:rPr>
          <w:lang w:val="fr-CH"/>
        </w:rPr>
        <w:tab/>
      </w:r>
      <w:r>
        <w:rPr>
          <w:lang w:val="fr-CH"/>
        </w:rPr>
        <w:tab/>
      </w:r>
      <w:r w:rsidR="000E6AEC" w:rsidRPr="00D76EB7">
        <w:rPr>
          <w:lang w:val="fr-CH"/>
        </w:rPr>
        <w:t>Intensité lumineuse variable :</w:t>
      </w:r>
      <w:r w:rsidR="000E6AEC" w:rsidRPr="00D76EB7">
        <w:rPr>
          <w:lang w:val="fr-CH"/>
        </w:rPr>
        <w:tab/>
      </w:r>
      <w:r w:rsidR="00B77B7D" w:rsidRPr="00D76EB7">
        <w:rPr>
          <w:lang w:val="fr-CH"/>
        </w:rPr>
        <w:t>oui/non</w:t>
      </w:r>
      <w:r w:rsidR="00B77B7D" w:rsidRPr="00D76EB7">
        <w:rPr>
          <w:vertAlign w:val="superscript"/>
          <w:lang w:val="fr-CH"/>
        </w:rPr>
        <w:t>1</w:t>
      </w:r>
    </w:p>
    <w:p w:rsidR="00B77B7D" w:rsidRPr="00D76EB7" w:rsidRDefault="009B6632" w:rsidP="009B6632">
      <w:pPr>
        <w:pStyle w:val="SingleTxt"/>
        <w:tabs>
          <w:tab w:val="clear" w:pos="3182"/>
          <w:tab w:val="clear" w:pos="3658"/>
          <w:tab w:val="clear" w:pos="4133"/>
          <w:tab w:val="clear" w:pos="4622"/>
          <w:tab w:val="clear" w:pos="5098"/>
          <w:tab w:val="clear" w:pos="5573"/>
          <w:tab w:val="clear" w:pos="6048"/>
          <w:tab w:val="right" w:leader="dot" w:pos="8784"/>
        </w:tabs>
        <w:ind w:left="2218" w:hanging="951"/>
        <w:rPr>
          <w:b/>
          <w:lang w:val="fr-CH"/>
        </w:rPr>
      </w:pPr>
      <w:r>
        <w:rPr>
          <w:b/>
          <w:bCs/>
          <w:lang w:val="fr-CH"/>
        </w:rPr>
        <w:tab/>
      </w:r>
      <w:r>
        <w:rPr>
          <w:b/>
          <w:bCs/>
          <w:lang w:val="fr-CH"/>
        </w:rPr>
        <w:tab/>
      </w:r>
      <w:r w:rsidR="00B77B7D" w:rsidRPr="00D76EB7">
        <w:rPr>
          <w:b/>
          <w:bCs/>
          <w:lang w:val="fr-CH"/>
        </w:rPr>
        <w:t>Le feu ne peut être utilisé que sur un véhicule équipé d’un témoin indiquant un défaut de fonctionnement</w:t>
      </w:r>
      <w:r w:rsidR="000E6AEC" w:rsidRPr="00D76EB7">
        <w:rPr>
          <w:b/>
          <w:bCs/>
          <w:lang w:val="fr-CH"/>
        </w:rPr>
        <w:t> :</w:t>
      </w:r>
      <w:r w:rsidR="000E6AEC" w:rsidRPr="00D76EB7">
        <w:rPr>
          <w:b/>
          <w:bCs/>
          <w:lang w:val="fr-CH"/>
        </w:rPr>
        <w:tab/>
      </w:r>
      <w:r w:rsidR="00B77B7D" w:rsidRPr="00D76EB7">
        <w:rPr>
          <w:b/>
          <w:bCs/>
          <w:lang w:val="fr-CH"/>
        </w:rPr>
        <w:t>oui/non</w:t>
      </w:r>
      <w:r w:rsidR="00B77B7D" w:rsidRPr="00D76EB7">
        <w:rPr>
          <w:b/>
          <w:bCs/>
          <w:vertAlign w:val="superscript"/>
          <w:lang w:val="fr-CH"/>
        </w:rPr>
        <w:t>1</w:t>
      </w:r>
    </w:p>
    <w:p w:rsidR="00B77B7D" w:rsidRPr="00D76EB7" w:rsidRDefault="00B77B7D" w:rsidP="000E6AEC">
      <w:pPr>
        <w:pStyle w:val="SingleTxt"/>
        <w:ind w:hanging="432"/>
        <w:rPr>
          <w:lang w:val="fr-CH"/>
        </w:rPr>
      </w:pPr>
      <w:r w:rsidRPr="00D76EB7">
        <w:rPr>
          <w:lang w:val="fr-CH"/>
        </w:rPr>
        <w:t>______________</w:t>
      </w:r>
    </w:p>
    <w:p w:rsidR="00B77B7D" w:rsidRPr="00D76EB7" w:rsidRDefault="000E6AEC" w:rsidP="000E6AEC">
      <w:pPr>
        <w:pStyle w:val="FootnoteText"/>
        <w:tabs>
          <w:tab w:val="right" w:pos="1476"/>
          <w:tab w:val="left" w:pos="1548"/>
          <w:tab w:val="right" w:pos="1836"/>
          <w:tab w:val="left" w:pos="1908"/>
        </w:tabs>
        <w:ind w:left="1548" w:right="1267" w:hanging="288"/>
        <w:rPr>
          <w:lang w:val="fr-CH"/>
        </w:rPr>
      </w:pPr>
      <w:r w:rsidRPr="00D76EB7">
        <w:rPr>
          <w:vertAlign w:val="superscript"/>
          <w:lang w:val="fr-CH"/>
        </w:rPr>
        <w:tab/>
      </w:r>
      <w:r w:rsidR="00B77B7D" w:rsidRPr="00D76EB7">
        <w:rPr>
          <w:vertAlign w:val="superscript"/>
          <w:lang w:val="fr-CH"/>
        </w:rPr>
        <w:t>1</w:t>
      </w:r>
      <w:r w:rsidRPr="00D76EB7">
        <w:rPr>
          <w:vertAlign w:val="superscript"/>
          <w:lang w:val="fr-CH"/>
        </w:rPr>
        <w:tab/>
      </w:r>
      <w:r w:rsidR="00B77B7D" w:rsidRPr="00D76EB7">
        <w:rPr>
          <w:lang w:val="fr-CH"/>
        </w:rPr>
        <w:t>Biffer les mentions inutiles.</w:t>
      </w:r>
      <w:r w:rsidRPr="00D76EB7">
        <w:rPr>
          <w:lang w:val="fr-CH"/>
        </w:rPr>
        <w:t> </w:t>
      </w:r>
      <w:r w:rsidRPr="00D76EB7">
        <w:rPr>
          <w:sz w:val="20"/>
          <w:lang w:val="fr-CH"/>
        </w:rPr>
        <w:t>».</w:t>
      </w: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SingleTxt"/>
        <w:spacing w:after="0" w:line="120" w:lineRule="exact"/>
        <w:rPr>
          <w:b/>
          <w:sz w:val="10"/>
          <w:lang w:val="fr-CH"/>
        </w:rPr>
      </w:pPr>
    </w:p>
    <w:p w:rsidR="000E6AEC" w:rsidRPr="00D76EB7" w:rsidRDefault="000E6AEC" w:rsidP="00B77B7D">
      <w:pPr>
        <w:pStyle w:val="SingleTxt"/>
        <w:spacing w:after="0" w:line="120" w:lineRule="exact"/>
        <w:rPr>
          <w:b/>
          <w:sz w:val="10"/>
          <w:lang w:val="fr-CH"/>
        </w:rPr>
      </w:pPr>
    </w:p>
    <w:p w:rsidR="00B77B7D" w:rsidRPr="00D76EB7" w:rsidRDefault="00B77B7D" w:rsidP="00B77B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tab/>
        <w:t>D.</w:t>
      </w:r>
      <w:r w:rsidRPr="00D76EB7">
        <w:rPr>
          <w:lang w:val="fr-CH"/>
        </w:rPr>
        <w:tab/>
        <w:t xml:space="preserve">Complément 17 à la </w:t>
      </w:r>
      <w:r w:rsidRPr="00D76EB7">
        <w:rPr>
          <w:bCs/>
          <w:lang w:val="fr-CH"/>
        </w:rPr>
        <w:t xml:space="preserve">série 00 </w:t>
      </w:r>
      <w:r w:rsidRPr="00D76EB7">
        <w:rPr>
          <w:lang w:val="fr-CH"/>
        </w:rPr>
        <w:t>d’amendements au Règlement n</w:t>
      </w:r>
      <w:r w:rsidRPr="00D76EB7">
        <w:rPr>
          <w:vertAlign w:val="superscript"/>
          <w:lang w:val="fr-CH"/>
        </w:rPr>
        <w:t>o</w:t>
      </w:r>
      <w:r w:rsidRPr="00D76EB7">
        <w:rPr>
          <w:lang w:val="fr-CH"/>
        </w:rPr>
        <w:t> 77 (</w:t>
      </w:r>
      <w:r w:rsidR="00D76EB7" w:rsidRPr="00D76EB7">
        <w:rPr>
          <w:lang w:val="fr-CH"/>
        </w:rPr>
        <w:t xml:space="preserve">Feux </w:t>
      </w:r>
      <w:r w:rsidRPr="00D76EB7">
        <w:rPr>
          <w:lang w:val="fr-CH"/>
        </w:rPr>
        <w:t>de stationnement)</w:t>
      </w: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rPr>
          <w:lang w:val="fr-CH"/>
        </w:rPr>
      </w:pPr>
      <w:r w:rsidRPr="00D76EB7">
        <w:rPr>
          <w:i/>
          <w:iCs/>
          <w:lang w:val="fr-CH"/>
        </w:rPr>
        <w:t>Paragraphe 7.1.3</w:t>
      </w:r>
      <w:r w:rsidR="000E6AEC" w:rsidRPr="00D76EB7">
        <w:rPr>
          <w:lang w:val="fr-CH"/>
        </w:rPr>
        <w:t>, modifier comme suit </w:t>
      </w:r>
      <w:r w:rsidRPr="00D76EB7">
        <w:rPr>
          <w:lang w:val="fr-CH"/>
        </w:rPr>
        <w:t xml:space="preserve">: </w:t>
      </w:r>
    </w:p>
    <w:p w:rsidR="00B77B7D" w:rsidRPr="00D76EB7" w:rsidRDefault="00B77B7D" w:rsidP="00B77B7D">
      <w:pPr>
        <w:pStyle w:val="SingleTxt"/>
        <w:rPr>
          <w:lang w:val="fr-CH"/>
        </w:rPr>
      </w:pPr>
      <w:r w:rsidRPr="00D76EB7">
        <w:rPr>
          <w:lang w:val="fr-CH"/>
        </w:rPr>
        <w:t>« 7.1.3</w:t>
      </w:r>
      <w:r w:rsidRPr="00D76EB7">
        <w:rPr>
          <w:lang w:val="fr-CH"/>
        </w:rPr>
        <w:tab/>
      </w:r>
      <w:r w:rsidRPr="00D76EB7">
        <w:rPr>
          <w:b/>
          <w:bCs/>
          <w:lang w:val="fr-CH"/>
        </w:rPr>
        <w:t>Défaillance d’une source lumineuse</w:t>
      </w:r>
      <w:r w:rsidR="000E6AEC" w:rsidRPr="00D76EB7">
        <w:rPr>
          <w:b/>
          <w:bCs/>
          <w:lang w:val="fr-CH"/>
        </w:rPr>
        <w:t> </w:t>
      </w:r>
      <w:r w:rsidRPr="00D76EB7">
        <w:rPr>
          <w:b/>
          <w:bCs/>
          <w:lang w:val="fr-CH"/>
        </w:rPr>
        <w:t>:</w:t>
      </w:r>
    </w:p>
    <w:p w:rsidR="00B77B7D" w:rsidRPr="00D76EB7" w:rsidRDefault="000E6AEC" w:rsidP="000E6AEC">
      <w:pPr>
        <w:pStyle w:val="SingleTxt"/>
        <w:ind w:left="2218" w:hanging="951"/>
        <w:rPr>
          <w:strike/>
          <w:lang w:val="fr-CH"/>
        </w:rPr>
      </w:pPr>
      <w:r w:rsidRPr="00D76EB7">
        <w:rPr>
          <w:lang w:val="fr-CH"/>
        </w:rPr>
        <w:tab/>
      </w:r>
      <w:r w:rsidR="00B77B7D" w:rsidRPr="00D76EB7">
        <w:rPr>
          <w:lang w:val="fr-CH"/>
        </w:rPr>
        <w:tab/>
      </w:r>
      <w:r w:rsidR="00B77B7D" w:rsidRPr="00D76EB7">
        <w:rPr>
          <w:strike/>
          <w:lang w:val="fr-CH"/>
        </w:rPr>
        <w:t>S’il s’agit d’un feu unique contenant plus d’une source lumineuse, le feu doit avoir l’intensité minimale requise lorsqu’une source lumineuse quelconque est défaillante, et lorsque toutes les sources lumineuses fonctionne</w:t>
      </w:r>
      <w:r w:rsidRPr="00D76EB7">
        <w:rPr>
          <w:strike/>
          <w:lang w:val="fr-CH"/>
        </w:rPr>
        <w:t>ro</w:t>
      </w:r>
      <w:r w:rsidR="00B77B7D" w:rsidRPr="00D76EB7">
        <w:rPr>
          <w:strike/>
          <w:lang w:val="fr-CH"/>
        </w:rPr>
        <w:t xml:space="preserve">nt, les intensités maximales ne doivent pas être dépassées. </w:t>
      </w:r>
    </w:p>
    <w:p w:rsidR="00B77B7D" w:rsidRPr="00D76EB7" w:rsidRDefault="000E6AEC" w:rsidP="000E6AEC">
      <w:pPr>
        <w:pStyle w:val="SingleTxt"/>
        <w:ind w:left="2218" w:hanging="951"/>
        <w:rPr>
          <w:strike/>
          <w:lang w:val="fr-CH"/>
        </w:rPr>
      </w:pPr>
      <w:r w:rsidRPr="00D76EB7">
        <w:rPr>
          <w:lang w:val="fr-CH"/>
        </w:rPr>
        <w:tab/>
      </w:r>
      <w:r w:rsidRPr="00D76EB7">
        <w:rPr>
          <w:lang w:val="fr-CH"/>
        </w:rPr>
        <w:tab/>
      </w:r>
      <w:r w:rsidR="00B77B7D" w:rsidRPr="00D76EB7">
        <w:rPr>
          <w:strike/>
          <w:lang w:val="fr-CH"/>
        </w:rPr>
        <w:t xml:space="preserve">Toutes les sources lumineuses branchées en série sont considérées comme étant une seule source lumineuse. </w:t>
      </w:r>
    </w:p>
    <w:p w:rsidR="00B77B7D" w:rsidRPr="00D76EB7" w:rsidRDefault="00B77B7D" w:rsidP="000E6AEC">
      <w:pPr>
        <w:pStyle w:val="SingleTxt"/>
        <w:ind w:left="2218" w:hanging="951"/>
        <w:rPr>
          <w:lang w:val="fr-CH"/>
        </w:rPr>
      </w:pPr>
      <w:r w:rsidRPr="00D76EB7">
        <w:rPr>
          <w:b/>
          <w:bCs/>
          <w:lang w:val="fr-CH"/>
        </w:rPr>
        <w:t>7.1.3.1</w:t>
      </w:r>
      <w:r w:rsidRPr="00D76EB7">
        <w:rPr>
          <w:lang w:val="fr-CH"/>
        </w:rPr>
        <w:tab/>
      </w:r>
      <w:r w:rsidRPr="00D76EB7">
        <w:rPr>
          <w:b/>
          <w:bCs/>
          <w:lang w:val="fr-CH"/>
        </w:rPr>
        <w:t>Un groupe de sources lumineuses, branchées de manière qu’en cas de défaillance de l’une d’elles toutes les autres s’arrêtent d’émettre de la lumière, doit être considéré comme une seule et même source lumineuse.</w:t>
      </w:r>
      <w:r w:rsidRPr="00D76EB7">
        <w:rPr>
          <w:lang w:val="fr-CH"/>
        </w:rPr>
        <w:t xml:space="preserve"> </w:t>
      </w:r>
    </w:p>
    <w:p w:rsidR="00B77B7D" w:rsidRPr="00D76EB7" w:rsidRDefault="00B77B7D" w:rsidP="000E6AEC">
      <w:pPr>
        <w:pStyle w:val="SingleTxt"/>
        <w:ind w:left="2218" w:hanging="951"/>
        <w:rPr>
          <w:lang w:val="fr-CH"/>
        </w:rPr>
      </w:pPr>
      <w:r w:rsidRPr="00D76EB7">
        <w:rPr>
          <w:b/>
          <w:bCs/>
          <w:lang w:val="fr-CH"/>
        </w:rPr>
        <w:t>7.1.3.2</w:t>
      </w:r>
      <w:r w:rsidRPr="00D76EB7">
        <w:rPr>
          <w:lang w:val="fr-CH"/>
        </w:rPr>
        <w:tab/>
      </w:r>
      <w:r w:rsidRPr="00D76EB7">
        <w:rPr>
          <w:b/>
          <w:bCs/>
          <w:lang w:val="fr-CH"/>
        </w:rPr>
        <w:t>En cas de défaillance de l’une des sources lumineuses d’un feu simple qui en contient plusieurs, l’une des dispositions suivantes s’applique</w:t>
      </w:r>
      <w:r w:rsidR="000E6AEC" w:rsidRPr="00D76EB7">
        <w:rPr>
          <w:b/>
          <w:bCs/>
          <w:lang w:val="fr-CH"/>
        </w:rPr>
        <w:t> </w:t>
      </w:r>
      <w:r w:rsidRPr="00D76EB7">
        <w:rPr>
          <w:b/>
          <w:bCs/>
          <w:lang w:val="fr-CH"/>
        </w:rPr>
        <w:t>:</w:t>
      </w:r>
      <w:r w:rsidRPr="00D76EB7">
        <w:rPr>
          <w:lang w:val="fr-CH"/>
        </w:rPr>
        <w:t xml:space="preserve"> </w:t>
      </w:r>
    </w:p>
    <w:p w:rsidR="00B77B7D" w:rsidRPr="00D76EB7" w:rsidRDefault="000E6AEC" w:rsidP="000E6AEC">
      <w:pPr>
        <w:pStyle w:val="SingleTxt"/>
        <w:ind w:left="2693" w:hanging="1426"/>
        <w:rPr>
          <w:lang w:val="fr-CH"/>
        </w:rPr>
      </w:pPr>
      <w:r w:rsidRPr="00D76EB7">
        <w:rPr>
          <w:b/>
          <w:bCs/>
          <w:lang w:val="fr-CH"/>
        </w:rPr>
        <w:tab/>
      </w:r>
      <w:r w:rsidRPr="00D76EB7">
        <w:rPr>
          <w:b/>
          <w:bCs/>
          <w:lang w:val="fr-CH"/>
        </w:rPr>
        <w:tab/>
      </w:r>
      <w:r w:rsidR="00B77B7D" w:rsidRPr="00D76EB7">
        <w:rPr>
          <w:b/>
          <w:bCs/>
          <w:lang w:val="fr-CH"/>
        </w:rPr>
        <w:t>a)</w:t>
      </w:r>
      <w:r w:rsidR="00B77B7D" w:rsidRPr="00D76EB7">
        <w:rPr>
          <w:lang w:val="fr-CH"/>
        </w:rPr>
        <w:tab/>
      </w:r>
      <w:r w:rsidR="00B77B7D" w:rsidRPr="00D76EB7">
        <w:rPr>
          <w:b/>
          <w:bCs/>
          <w:lang w:val="fr-CH"/>
        </w:rPr>
        <w:t>L’intensité lumineuse doit être conforme à l’intensité minimale prescrite dans le tableau de répartition lumineuse spatiale normalisée de l’</w:t>
      </w:r>
      <w:r w:rsidRPr="00D76EB7">
        <w:rPr>
          <w:b/>
          <w:bCs/>
          <w:lang w:val="fr-CH"/>
        </w:rPr>
        <w:t>annexe </w:t>
      </w:r>
      <w:r w:rsidR="00DD4D6D">
        <w:rPr>
          <w:b/>
          <w:bCs/>
          <w:lang w:val="fr-CH"/>
        </w:rPr>
        <w:t>4;</w:t>
      </w:r>
      <w:r w:rsidR="00B77B7D" w:rsidRPr="00D76EB7">
        <w:rPr>
          <w:b/>
          <w:bCs/>
          <w:lang w:val="fr-CH"/>
        </w:rPr>
        <w:t xml:space="preserve"> ou</w:t>
      </w:r>
    </w:p>
    <w:p w:rsidR="00B77B7D" w:rsidRPr="00D76EB7" w:rsidRDefault="000E6AEC" w:rsidP="000E6AEC">
      <w:pPr>
        <w:pStyle w:val="SingleTxt"/>
        <w:ind w:left="2693" w:hanging="1426"/>
        <w:rPr>
          <w:lang w:val="fr-CH"/>
        </w:rPr>
      </w:pPr>
      <w:r w:rsidRPr="00D76EB7">
        <w:rPr>
          <w:b/>
          <w:bCs/>
          <w:lang w:val="fr-CH"/>
        </w:rPr>
        <w:tab/>
      </w:r>
      <w:r w:rsidRPr="00D76EB7">
        <w:rPr>
          <w:b/>
          <w:bCs/>
          <w:lang w:val="fr-CH"/>
        </w:rPr>
        <w:tab/>
      </w:r>
      <w:r w:rsidR="00B77B7D" w:rsidRPr="00D76EB7">
        <w:rPr>
          <w:b/>
          <w:bCs/>
          <w:lang w:val="fr-CH"/>
        </w:rPr>
        <w:t>b)</w:t>
      </w:r>
      <w:r w:rsidR="00B77B7D" w:rsidRPr="00D76EB7">
        <w:rPr>
          <w:lang w:val="fr-CH"/>
        </w:rPr>
        <w:tab/>
      </w:r>
      <w:r w:rsidR="00B77B7D" w:rsidRPr="00D76EB7">
        <w:rPr>
          <w:b/>
          <w:bCs/>
          <w:lang w:val="fr-CH"/>
        </w:rPr>
        <w:t>L’intensité lumineuse mesurée sur l’axe de</w:t>
      </w:r>
      <w:r w:rsidRPr="00D76EB7">
        <w:rPr>
          <w:b/>
          <w:bCs/>
          <w:lang w:val="fr-CH"/>
        </w:rPr>
        <w:t xml:space="preserve"> référence doit être égale à 50 </w:t>
      </w:r>
      <w:r w:rsidR="00B77B7D" w:rsidRPr="00D76EB7">
        <w:rPr>
          <w:b/>
          <w:bCs/>
          <w:lang w:val="fr-CH"/>
        </w:rPr>
        <w:t xml:space="preserve">% au moins de la valeur minimale d’intensité requise, à condition qu’il soit fait mention dans la fiche de communication que le feu en question ne peut être utilisé que sur un véhicule </w:t>
      </w:r>
      <w:r w:rsidR="00B77B7D" w:rsidRPr="00D76EB7">
        <w:rPr>
          <w:b/>
          <w:bCs/>
          <w:lang w:val="fr-CH"/>
        </w:rPr>
        <w:lastRenderedPageBreak/>
        <w:t>équipé d’un témoin de fonctionnement signalant la défaillance de l’une quelconque des sources lumineuses.</w:t>
      </w:r>
      <w:r w:rsidR="00B77B7D" w:rsidRPr="00D76EB7">
        <w:rPr>
          <w:lang w:val="fr-CH"/>
        </w:rPr>
        <w:t> »</w:t>
      </w:r>
      <w:r w:rsidRPr="00D76EB7">
        <w:rPr>
          <w:lang w:val="fr-CH"/>
        </w:rPr>
        <w:t>.</w:t>
      </w:r>
    </w:p>
    <w:p w:rsidR="00B77B7D" w:rsidRPr="00D76EB7" w:rsidRDefault="00B77B7D" w:rsidP="000E6AEC">
      <w:pPr>
        <w:pStyle w:val="SingleTxt"/>
        <w:rPr>
          <w:lang w:val="fr-CH"/>
        </w:rPr>
      </w:pPr>
      <w:r w:rsidRPr="00D76EB7">
        <w:rPr>
          <w:i/>
          <w:iCs/>
          <w:lang w:val="fr-CH"/>
        </w:rPr>
        <w:t>Annexe 1, point 9</w:t>
      </w:r>
      <w:r w:rsidRPr="00D76EB7">
        <w:rPr>
          <w:lang w:val="fr-CH"/>
        </w:rPr>
        <w:t>, modifier comme suit</w:t>
      </w:r>
      <w:r w:rsidR="000E6AEC" w:rsidRPr="00D76EB7">
        <w:rPr>
          <w:lang w:val="fr-CH"/>
        </w:rPr>
        <w:t> </w:t>
      </w:r>
      <w:r w:rsidRPr="00D76EB7">
        <w:rPr>
          <w:lang w:val="fr-CH"/>
        </w:rPr>
        <w:t>:</w:t>
      </w:r>
    </w:p>
    <w:p w:rsidR="00B77B7D" w:rsidRPr="00D76EB7" w:rsidRDefault="000E6AEC" w:rsidP="00B77B7D">
      <w:pPr>
        <w:pStyle w:val="SingleTxt"/>
        <w:rPr>
          <w:lang w:val="fr-CH"/>
        </w:rPr>
      </w:pPr>
      <w:r w:rsidRPr="00D76EB7">
        <w:rPr>
          <w:lang w:val="fr-CH"/>
        </w:rPr>
        <w:t>« </w:t>
      </w:r>
      <w:r w:rsidR="00B77B7D" w:rsidRPr="00D76EB7">
        <w:rPr>
          <w:lang w:val="fr-CH"/>
        </w:rPr>
        <w:t>9</w:t>
      </w:r>
      <w:r w:rsidR="00D76EB7" w:rsidRPr="00D76EB7">
        <w:rPr>
          <w:lang w:val="fr-CH"/>
        </w:rPr>
        <w:t>.</w:t>
      </w:r>
      <w:r w:rsidR="00B77B7D" w:rsidRPr="00D76EB7">
        <w:rPr>
          <w:lang w:val="fr-CH"/>
        </w:rPr>
        <w:tab/>
      </w:r>
      <w:r w:rsidRPr="00D76EB7">
        <w:rPr>
          <w:lang w:val="fr-CH"/>
        </w:rPr>
        <w:tab/>
      </w:r>
      <w:r w:rsidR="00B77B7D" w:rsidRPr="00D76EB7">
        <w:rPr>
          <w:lang w:val="fr-CH"/>
        </w:rPr>
        <w:t>Description sommaire</w:t>
      </w:r>
      <w:r w:rsidRPr="00D76EB7">
        <w:rPr>
          <w:lang w:val="fr-CH"/>
        </w:rPr>
        <w:t> </w:t>
      </w:r>
      <w:r w:rsidR="00B77B7D" w:rsidRPr="00D76EB7">
        <w:rPr>
          <w:lang w:val="fr-CH"/>
        </w:rPr>
        <w:t>:</w:t>
      </w:r>
    </w:p>
    <w:p w:rsidR="00B77B7D" w:rsidRPr="00D76EB7" w:rsidRDefault="009B6632" w:rsidP="000E6AEC">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ab/>
      </w:r>
      <w:r>
        <w:rPr>
          <w:lang w:val="fr-CH"/>
        </w:rPr>
        <w:tab/>
      </w:r>
      <w:r w:rsidR="00B77B7D" w:rsidRPr="00D76EB7">
        <w:rPr>
          <w:lang w:val="fr-CH"/>
        </w:rPr>
        <w:t>Couleur de la lumière émise</w:t>
      </w:r>
      <w:r w:rsidR="000E6AEC" w:rsidRPr="00D76EB7">
        <w:rPr>
          <w:lang w:val="fr-CH"/>
        </w:rPr>
        <w:t> </w:t>
      </w:r>
      <w:r w:rsidR="00B77B7D" w:rsidRPr="00D76EB7">
        <w:rPr>
          <w:lang w:val="fr-CH"/>
        </w:rPr>
        <w:t>:</w:t>
      </w:r>
      <w:r w:rsidR="000E6AEC" w:rsidRPr="00D76EB7">
        <w:rPr>
          <w:lang w:val="fr-CH"/>
        </w:rPr>
        <w:tab/>
      </w:r>
      <w:r w:rsidR="00B77B7D" w:rsidRPr="00D76EB7">
        <w:rPr>
          <w:lang w:val="fr-CH"/>
        </w:rPr>
        <w:t>rouge/blanc/ambre</w:t>
      </w:r>
      <w:r w:rsidR="00B77B7D" w:rsidRPr="00D76EB7">
        <w:rPr>
          <w:vertAlign w:val="superscript"/>
          <w:lang w:val="fr-CH"/>
        </w:rPr>
        <w:t>1</w:t>
      </w:r>
    </w:p>
    <w:p w:rsidR="00B77B7D" w:rsidRPr="00D76EB7" w:rsidRDefault="009B6632"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ab/>
      </w:r>
      <w:r>
        <w:rPr>
          <w:lang w:val="fr-CH"/>
        </w:rPr>
        <w:tab/>
      </w:r>
      <w:r w:rsidR="00D76EB7" w:rsidRPr="00D76EB7">
        <w:rPr>
          <w:lang w:val="fr-CH"/>
        </w:rPr>
        <w:t>Sources lumineuses – n</w:t>
      </w:r>
      <w:r w:rsidR="00B77B7D" w:rsidRPr="00D76EB7">
        <w:rPr>
          <w:lang w:val="fr-CH"/>
        </w:rPr>
        <w:t>ombre et catégorie</w:t>
      </w:r>
      <w:r w:rsidR="00D76EB7" w:rsidRPr="00D76EB7">
        <w:rPr>
          <w:lang w:val="fr-CH"/>
        </w:rPr>
        <w:t> </w:t>
      </w:r>
      <w:r w:rsidR="00B77B7D" w:rsidRPr="00D76EB7">
        <w:rPr>
          <w:lang w:val="fr-CH"/>
        </w:rPr>
        <w:t>:</w:t>
      </w:r>
      <w:r w:rsidR="00B77B7D" w:rsidRPr="00D76EB7">
        <w:rPr>
          <w:lang w:val="fr-CH"/>
        </w:rPr>
        <w:tab/>
      </w:r>
    </w:p>
    <w:p w:rsidR="00B77B7D" w:rsidRPr="00D76EB7" w:rsidRDefault="009B6632" w:rsidP="000E6AEC">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ab/>
      </w:r>
      <w:r>
        <w:rPr>
          <w:lang w:val="fr-CH"/>
        </w:rPr>
        <w:tab/>
      </w:r>
      <w:r w:rsidR="00B77B7D" w:rsidRPr="00D76EB7">
        <w:rPr>
          <w:lang w:val="fr-CH"/>
        </w:rPr>
        <w:t>Module d’éclairage</w:t>
      </w:r>
      <w:r w:rsidR="000E6AEC" w:rsidRPr="00D76EB7">
        <w:rPr>
          <w:lang w:val="fr-CH"/>
        </w:rPr>
        <w:t> </w:t>
      </w:r>
      <w:r w:rsidR="00B77B7D" w:rsidRPr="00D76EB7">
        <w:rPr>
          <w:lang w:val="fr-CH"/>
        </w:rPr>
        <w:t>:</w:t>
      </w:r>
      <w:r w:rsidR="00B77B7D" w:rsidRPr="00D76EB7">
        <w:rPr>
          <w:lang w:val="fr-CH"/>
        </w:rPr>
        <w:tab/>
      </w:r>
    </w:p>
    <w:p w:rsidR="00B77B7D" w:rsidRPr="00D76EB7" w:rsidRDefault="009B6632" w:rsidP="000E6AEC">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ab/>
      </w:r>
      <w:r>
        <w:rPr>
          <w:lang w:val="fr-CH"/>
        </w:rPr>
        <w:tab/>
      </w:r>
      <w:r w:rsidR="00B77B7D" w:rsidRPr="00D76EB7">
        <w:rPr>
          <w:lang w:val="fr-CH"/>
        </w:rPr>
        <w:t>Code d’identification propre au module d’éclairage</w:t>
      </w:r>
      <w:r w:rsidR="000E6AEC" w:rsidRPr="00D76EB7">
        <w:rPr>
          <w:lang w:val="fr-CH"/>
        </w:rPr>
        <w:t> </w:t>
      </w:r>
      <w:r w:rsidR="00B77B7D" w:rsidRPr="00D76EB7">
        <w:rPr>
          <w:lang w:val="fr-CH"/>
        </w:rPr>
        <w:t>:</w:t>
      </w:r>
      <w:r w:rsidR="00B77B7D" w:rsidRPr="00D76EB7">
        <w:rPr>
          <w:lang w:val="fr-CH"/>
        </w:rPr>
        <w:tab/>
      </w:r>
    </w:p>
    <w:p w:rsidR="00B77B7D" w:rsidRPr="00D76EB7" w:rsidRDefault="009B6632" w:rsidP="000E6AEC">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ab/>
      </w:r>
      <w:r>
        <w:rPr>
          <w:lang w:val="fr-CH"/>
        </w:rPr>
        <w:tab/>
      </w:r>
      <w:r w:rsidR="00B77B7D" w:rsidRPr="00D76EB7">
        <w:rPr>
          <w:lang w:val="fr-CH"/>
        </w:rPr>
        <w:t>Conditions géométriques de montage et variantes éventuelles</w:t>
      </w:r>
      <w:r w:rsidR="000E6AEC" w:rsidRPr="00D76EB7">
        <w:rPr>
          <w:lang w:val="fr-CH"/>
        </w:rPr>
        <w:t> </w:t>
      </w:r>
      <w:r w:rsidR="00B77B7D" w:rsidRPr="00D76EB7">
        <w:rPr>
          <w:lang w:val="fr-CH"/>
        </w:rPr>
        <w:t>:</w:t>
      </w:r>
      <w:r w:rsidR="00B77B7D" w:rsidRPr="00D76EB7">
        <w:rPr>
          <w:lang w:val="fr-CH"/>
        </w:rPr>
        <w:tab/>
      </w:r>
    </w:p>
    <w:p w:rsidR="00B77B7D" w:rsidRPr="00D76EB7" w:rsidRDefault="009B6632" w:rsidP="000E6AEC">
      <w:pPr>
        <w:pStyle w:val="SingleTxt"/>
        <w:ind w:left="2218" w:hanging="951"/>
        <w:rPr>
          <w:lang w:val="fr-CH"/>
        </w:rPr>
      </w:pPr>
      <w:r>
        <w:rPr>
          <w:lang w:val="fr-CH"/>
        </w:rPr>
        <w:tab/>
      </w:r>
      <w:r>
        <w:rPr>
          <w:lang w:val="fr-CH"/>
        </w:rPr>
        <w:tab/>
      </w:r>
      <w:r w:rsidR="00B77B7D" w:rsidRPr="00D76EB7">
        <w:rPr>
          <w:lang w:val="fr-CH"/>
        </w:rPr>
        <w:t>Le dispositif de régulation électronique de la source lumineuse ou du régulateur d’intensité</w:t>
      </w:r>
      <w:r w:rsidR="000E6AEC" w:rsidRPr="00D76EB7">
        <w:rPr>
          <w:lang w:val="fr-CH"/>
        </w:rPr>
        <w:t> </w:t>
      </w:r>
      <w:r w:rsidR="00B77B7D" w:rsidRPr="00D76EB7">
        <w:rPr>
          <w:lang w:val="fr-CH"/>
        </w:rPr>
        <w:t>:</w:t>
      </w:r>
    </w:p>
    <w:p w:rsidR="00B77B7D" w:rsidRPr="00D76EB7" w:rsidRDefault="009B6632" w:rsidP="000E6AEC">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ab/>
      </w:r>
      <w:r>
        <w:rPr>
          <w:lang w:val="fr-CH"/>
        </w:rPr>
        <w:tab/>
      </w:r>
      <w:r w:rsidR="00B77B7D" w:rsidRPr="00D76EB7">
        <w:rPr>
          <w:lang w:val="fr-CH"/>
        </w:rPr>
        <w:t>a)</w:t>
      </w:r>
      <w:r w:rsidR="000E6AEC" w:rsidRPr="00D76EB7">
        <w:rPr>
          <w:lang w:val="fr-CH"/>
        </w:rPr>
        <w:tab/>
      </w:r>
      <w:r w:rsidR="00B77B7D" w:rsidRPr="00D76EB7">
        <w:rPr>
          <w:lang w:val="fr-CH"/>
        </w:rPr>
        <w:t>Fait partie du feu</w:t>
      </w:r>
      <w:r w:rsidR="000E6AEC" w:rsidRPr="00D76EB7">
        <w:rPr>
          <w:lang w:val="fr-CH"/>
        </w:rPr>
        <w:t> </w:t>
      </w:r>
      <w:r w:rsidR="00B77B7D" w:rsidRPr="00D76EB7">
        <w:rPr>
          <w:lang w:val="fr-CH"/>
        </w:rPr>
        <w:t>:</w:t>
      </w:r>
      <w:r w:rsidR="00B77B7D" w:rsidRPr="00D76EB7">
        <w:rPr>
          <w:lang w:val="fr-CH"/>
        </w:rPr>
        <w:tab/>
        <w:t>oui/non/sans objet</w:t>
      </w:r>
      <w:r w:rsidR="00B77B7D" w:rsidRPr="00D76EB7">
        <w:rPr>
          <w:vertAlign w:val="superscript"/>
          <w:lang w:val="fr-CH"/>
        </w:rPr>
        <w:t>1</w:t>
      </w:r>
    </w:p>
    <w:p w:rsidR="00B77B7D" w:rsidRPr="00D76EB7" w:rsidRDefault="009B6632"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ab/>
      </w:r>
      <w:r>
        <w:rPr>
          <w:lang w:val="fr-CH"/>
        </w:rPr>
        <w:tab/>
      </w:r>
      <w:r w:rsidR="00B77B7D" w:rsidRPr="00D76EB7">
        <w:rPr>
          <w:lang w:val="fr-CH"/>
        </w:rPr>
        <w:t>b)</w:t>
      </w:r>
      <w:r w:rsidR="00D76EB7" w:rsidRPr="00D76EB7">
        <w:rPr>
          <w:lang w:val="fr-CH"/>
        </w:rPr>
        <w:tab/>
        <w:t>Ne fait pas partie du feu :</w:t>
      </w:r>
      <w:r w:rsidR="00B77B7D" w:rsidRPr="00D76EB7">
        <w:rPr>
          <w:lang w:val="fr-CH"/>
        </w:rPr>
        <w:tab/>
        <w:t>oui/non/sans objet</w:t>
      </w:r>
      <w:r w:rsidR="00B77B7D" w:rsidRPr="00D76EB7">
        <w:rPr>
          <w:vertAlign w:val="superscript"/>
          <w:lang w:val="fr-CH"/>
        </w:rPr>
        <w:t>1</w:t>
      </w:r>
    </w:p>
    <w:p w:rsidR="00B77B7D" w:rsidRPr="00D76EB7" w:rsidRDefault="009B6632"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ab/>
      </w:r>
      <w:r>
        <w:rPr>
          <w:lang w:val="fr-CH"/>
        </w:rPr>
        <w:tab/>
      </w:r>
      <w:r w:rsidR="00B77B7D" w:rsidRPr="00D76EB7">
        <w:rPr>
          <w:lang w:val="fr-CH"/>
        </w:rPr>
        <w:t>Tension(s) d’alimentation du dispositif de régulation électronique de la source lumineuse ou du régulateur d’intensité</w:t>
      </w:r>
      <w:r w:rsidR="00D76EB7" w:rsidRPr="00D76EB7">
        <w:rPr>
          <w:lang w:val="fr-CH"/>
        </w:rPr>
        <w:t> </w:t>
      </w:r>
      <w:r w:rsidR="00B77B7D" w:rsidRPr="00D76EB7">
        <w:rPr>
          <w:lang w:val="fr-CH"/>
        </w:rPr>
        <w:t>:</w:t>
      </w:r>
      <w:r w:rsidR="00B77B7D" w:rsidRPr="00D76EB7">
        <w:rPr>
          <w:lang w:val="fr-CH"/>
        </w:rPr>
        <w:tab/>
      </w:r>
    </w:p>
    <w:p w:rsidR="00B77B7D" w:rsidRPr="00D76EB7" w:rsidRDefault="009B6632"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ab/>
      </w:r>
      <w:r>
        <w:rPr>
          <w:lang w:val="fr-CH"/>
        </w:rPr>
        <w:tab/>
      </w:r>
      <w:r w:rsidR="00B77B7D" w:rsidRPr="00D76EB7">
        <w:rPr>
          <w:lang w:val="fr-CH"/>
        </w:rPr>
        <w:t>Nom du fabricant et numéro d’identification du dispositif de régulation électronique de la source lumineuse ou du régulateur d’intensité (lorsque le dispositif de régulation de la source lumineuse fait partie du feu mais n’est pas incorporé dans son boîtier)</w:t>
      </w:r>
      <w:r w:rsidR="00D76EB7" w:rsidRPr="00D76EB7">
        <w:rPr>
          <w:lang w:val="fr-CH"/>
        </w:rPr>
        <w:t> </w:t>
      </w:r>
      <w:r w:rsidR="00B77B7D" w:rsidRPr="00D76EB7">
        <w:rPr>
          <w:lang w:val="fr-CH"/>
        </w:rPr>
        <w:t>:</w:t>
      </w:r>
      <w:r w:rsidR="00B77B7D" w:rsidRPr="00D76EB7">
        <w:rPr>
          <w:lang w:val="fr-CH"/>
        </w:rPr>
        <w:tab/>
      </w:r>
    </w:p>
    <w:p w:rsidR="00B77B7D" w:rsidRPr="00D76EB7" w:rsidRDefault="009B6632"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b/>
          <w:lang w:val="fr-CH"/>
        </w:rPr>
      </w:pPr>
      <w:r>
        <w:rPr>
          <w:b/>
          <w:bCs/>
          <w:lang w:val="fr-CH"/>
        </w:rPr>
        <w:tab/>
      </w:r>
      <w:r>
        <w:rPr>
          <w:b/>
          <w:bCs/>
          <w:lang w:val="fr-CH"/>
        </w:rPr>
        <w:tab/>
      </w:r>
      <w:r w:rsidR="00B77B7D" w:rsidRPr="00D76EB7">
        <w:rPr>
          <w:b/>
          <w:bCs/>
          <w:lang w:val="fr-CH"/>
        </w:rPr>
        <w:t>Le feu ne peut être utilisé que sur un véhicule équipé d’un témoin indiqua</w:t>
      </w:r>
      <w:r w:rsidR="00D76EB7" w:rsidRPr="00D76EB7">
        <w:rPr>
          <w:b/>
          <w:bCs/>
          <w:lang w:val="fr-CH"/>
        </w:rPr>
        <w:t>nt un défaut de fonctionnement :</w:t>
      </w:r>
      <w:r w:rsidR="00B77B7D" w:rsidRPr="00D76EB7">
        <w:rPr>
          <w:b/>
          <w:bCs/>
          <w:lang w:val="fr-CH"/>
        </w:rPr>
        <w:tab/>
        <w:t>oui/non</w:t>
      </w:r>
      <w:r w:rsidR="00B77B7D" w:rsidRPr="00D76EB7">
        <w:rPr>
          <w:b/>
          <w:bCs/>
          <w:vertAlign w:val="superscript"/>
          <w:lang w:val="fr-CH"/>
        </w:rPr>
        <w:t>1</w:t>
      </w:r>
    </w:p>
    <w:p w:rsidR="00B77B7D" w:rsidRPr="00D76EB7" w:rsidRDefault="00B77B7D" w:rsidP="00D76EB7">
      <w:pPr>
        <w:pStyle w:val="SingleTxt"/>
        <w:ind w:left="1224" w:hanging="432"/>
        <w:rPr>
          <w:lang w:val="fr-CH"/>
        </w:rPr>
      </w:pPr>
      <w:r w:rsidRPr="00D76EB7">
        <w:rPr>
          <w:lang w:val="fr-CH"/>
        </w:rPr>
        <w:t>______________</w:t>
      </w:r>
    </w:p>
    <w:p w:rsidR="00B77B7D" w:rsidRPr="00D76EB7" w:rsidRDefault="00D76EB7" w:rsidP="00D76EB7">
      <w:pPr>
        <w:pStyle w:val="FootnoteText"/>
        <w:tabs>
          <w:tab w:val="right" w:pos="1476"/>
          <w:tab w:val="left" w:pos="1548"/>
          <w:tab w:val="right" w:pos="1836"/>
          <w:tab w:val="left" w:pos="1908"/>
        </w:tabs>
        <w:ind w:left="1548" w:right="1267" w:hanging="288"/>
        <w:rPr>
          <w:lang w:val="fr-CH"/>
        </w:rPr>
      </w:pPr>
      <w:r w:rsidRPr="00D76EB7">
        <w:rPr>
          <w:vertAlign w:val="superscript"/>
          <w:lang w:val="fr-CH"/>
        </w:rPr>
        <w:tab/>
      </w:r>
      <w:r w:rsidR="00B77B7D" w:rsidRPr="00D76EB7">
        <w:rPr>
          <w:vertAlign w:val="superscript"/>
          <w:lang w:val="fr-CH"/>
        </w:rPr>
        <w:t>1</w:t>
      </w:r>
      <w:r w:rsidRPr="00D76EB7">
        <w:rPr>
          <w:vertAlign w:val="superscript"/>
          <w:lang w:val="fr-CH"/>
        </w:rPr>
        <w:tab/>
      </w:r>
      <w:r w:rsidR="00B77B7D" w:rsidRPr="00D76EB7">
        <w:rPr>
          <w:lang w:val="fr-CH"/>
        </w:rPr>
        <w:t>Biffer les mentions inutiles.</w:t>
      </w:r>
      <w:r w:rsidRPr="00D76EB7">
        <w:rPr>
          <w:lang w:val="fr-CH"/>
        </w:rPr>
        <w:t> </w:t>
      </w:r>
      <w:r w:rsidRPr="00D76EB7">
        <w:rPr>
          <w:sz w:val="20"/>
          <w:lang w:val="fr-CH"/>
        </w:rPr>
        <w:t>».</w:t>
      </w: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tab/>
        <w:t>E.</w:t>
      </w:r>
      <w:r w:rsidRPr="00D76EB7">
        <w:rPr>
          <w:lang w:val="fr-CH"/>
        </w:rPr>
        <w:tab/>
        <w:t xml:space="preserve">Complément 16 à la </w:t>
      </w:r>
      <w:r w:rsidRPr="00D76EB7">
        <w:rPr>
          <w:bCs/>
          <w:lang w:val="fr-CH"/>
        </w:rPr>
        <w:t xml:space="preserve">série 00 </w:t>
      </w:r>
      <w:r w:rsidRPr="00D76EB7">
        <w:rPr>
          <w:lang w:val="fr-CH"/>
        </w:rPr>
        <w:t>d’amendements au Règlement n</w:t>
      </w:r>
      <w:r w:rsidRPr="00D76EB7">
        <w:rPr>
          <w:vertAlign w:val="superscript"/>
          <w:lang w:val="fr-CH"/>
        </w:rPr>
        <w:t>o</w:t>
      </w:r>
      <w:r w:rsidRPr="00D76EB7">
        <w:rPr>
          <w:lang w:val="fr-CH"/>
        </w:rPr>
        <w:t> 91 (</w:t>
      </w:r>
      <w:r w:rsidR="00D76EB7" w:rsidRPr="00D76EB7">
        <w:rPr>
          <w:lang w:val="fr-CH"/>
        </w:rPr>
        <w:t xml:space="preserve">Feux </w:t>
      </w:r>
      <w:r w:rsidRPr="00D76EB7">
        <w:rPr>
          <w:lang w:val="fr-CH"/>
        </w:rPr>
        <w:t>de position latéraux)</w:t>
      </w: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rPr>
          <w:i/>
          <w:lang w:val="fr-CH"/>
        </w:rPr>
      </w:pPr>
      <w:r w:rsidRPr="00D76EB7">
        <w:rPr>
          <w:i/>
          <w:iCs/>
          <w:lang w:val="fr-CH"/>
        </w:rPr>
        <w:t>Paragraphe 7.1.4</w:t>
      </w:r>
      <w:r w:rsidR="00D76EB7" w:rsidRPr="00D76EB7">
        <w:rPr>
          <w:lang w:val="fr-CH"/>
        </w:rPr>
        <w:t>, modifier comme suit </w:t>
      </w:r>
      <w:r w:rsidRPr="00D76EB7">
        <w:rPr>
          <w:lang w:val="fr-CH"/>
        </w:rPr>
        <w:t>:</w:t>
      </w:r>
    </w:p>
    <w:p w:rsidR="00B77B7D" w:rsidRPr="00D76EB7" w:rsidRDefault="00D76EB7" w:rsidP="00B77B7D">
      <w:pPr>
        <w:pStyle w:val="SingleTxt"/>
        <w:rPr>
          <w:lang w:val="fr-CH"/>
        </w:rPr>
      </w:pPr>
      <w:r w:rsidRPr="00D76EB7">
        <w:rPr>
          <w:lang w:val="fr-CH"/>
        </w:rPr>
        <w:t>« </w:t>
      </w:r>
      <w:r w:rsidR="00B77B7D" w:rsidRPr="00D76EB7">
        <w:rPr>
          <w:lang w:val="fr-CH"/>
        </w:rPr>
        <w:t>7.1.4</w:t>
      </w:r>
      <w:r w:rsidR="00B77B7D" w:rsidRPr="00D76EB7">
        <w:rPr>
          <w:lang w:val="fr-CH"/>
        </w:rPr>
        <w:tab/>
      </w:r>
      <w:r w:rsidR="00B77B7D" w:rsidRPr="00D76EB7">
        <w:rPr>
          <w:b/>
          <w:bCs/>
          <w:lang w:val="fr-CH"/>
        </w:rPr>
        <w:t>Défaillance d’une source lumineuse</w:t>
      </w:r>
      <w:r w:rsidRPr="00D76EB7">
        <w:rPr>
          <w:b/>
          <w:bCs/>
          <w:lang w:val="fr-CH"/>
        </w:rPr>
        <w:t> </w:t>
      </w:r>
      <w:r w:rsidR="00B77B7D" w:rsidRPr="00D76EB7">
        <w:rPr>
          <w:b/>
          <w:bCs/>
          <w:lang w:val="fr-CH"/>
        </w:rPr>
        <w:t>:</w:t>
      </w:r>
    </w:p>
    <w:p w:rsidR="00B77B7D" w:rsidRPr="00D76EB7" w:rsidRDefault="00D76EB7" w:rsidP="00D76EB7">
      <w:pPr>
        <w:pStyle w:val="SingleTxt"/>
        <w:ind w:left="2218" w:hanging="951"/>
        <w:rPr>
          <w:strike/>
          <w:lang w:val="fr-CH"/>
        </w:rPr>
      </w:pPr>
      <w:r w:rsidRPr="00D76EB7">
        <w:rPr>
          <w:lang w:val="fr-CH"/>
        </w:rPr>
        <w:tab/>
      </w:r>
      <w:r w:rsidRPr="00D76EB7">
        <w:rPr>
          <w:lang w:val="fr-CH"/>
        </w:rPr>
        <w:tab/>
      </w:r>
      <w:r w:rsidR="00B77B7D" w:rsidRPr="00D76EB7">
        <w:rPr>
          <w:strike/>
          <w:lang w:val="fr-CH"/>
        </w:rPr>
        <w:t>Dans le cas d’un feu comportant plus d’une source lumineuse</w:t>
      </w:r>
      <w:r w:rsidRPr="00D76EB7">
        <w:rPr>
          <w:strike/>
          <w:lang w:val="fr-CH"/>
        </w:rPr>
        <w:t> </w:t>
      </w:r>
      <w:r w:rsidR="00B77B7D" w:rsidRPr="00D76EB7">
        <w:rPr>
          <w:strike/>
          <w:lang w:val="fr-CH"/>
        </w:rPr>
        <w:t xml:space="preserve">: </w:t>
      </w:r>
    </w:p>
    <w:p w:rsidR="00B77B7D" w:rsidRPr="00D76EB7" w:rsidRDefault="00D76EB7" w:rsidP="00D76EB7">
      <w:pPr>
        <w:pStyle w:val="SingleTxt"/>
        <w:ind w:left="2218" w:hanging="951"/>
        <w:rPr>
          <w:strike/>
          <w:lang w:val="fr-CH"/>
        </w:rPr>
      </w:pPr>
      <w:r w:rsidRPr="00D76EB7">
        <w:rPr>
          <w:lang w:val="fr-CH"/>
        </w:rPr>
        <w:tab/>
      </w:r>
      <w:r w:rsidRPr="00D76EB7">
        <w:rPr>
          <w:lang w:val="fr-CH"/>
        </w:rPr>
        <w:tab/>
      </w:r>
      <w:r w:rsidR="00B77B7D" w:rsidRPr="00D76EB7">
        <w:rPr>
          <w:strike/>
          <w:lang w:val="fr-CH"/>
        </w:rPr>
        <w:t>Ce feu doit, en cas de panne de l’une quelconque des sources lumineuses, fournir l’intensité minimale requise;</w:t>
      </w:r>
    </w:p>
    <w:p w:rsidR="00B77B7D" w:rsidRPr="00D76EB7" w:rsidRDefault="00D76EB7" w:rsidP="00D76EB7">
      <w:pPr>
        <w:pStyle w:val="SingleTxt"/>
        <w:ind w:left="2218" w:hanging="951"/>
        <w:rPr>
          <w:strike/>
          <w:lang w:val="fr-CH"/>
        </w:rPr>
      </w:pPr>
      <w:r w:rsidRPr="00D76EB7">
        <w:rPr>
          <w:lang w:val="fr-CH"/>
        </w:rPr>
        <w:tab/>
      </w:r>
      <w:r w:rsidRPr="00D76EB7">
        <w:rPr>
          <w:lang w:val="fr-CH"/>
        </w:rPr>
        <w:tab/>
      </w:r>
      <w:r w:rsidR="00B77B7D" w:rsidRPr="00D76EB7">
        <w:rPr>
          <w:strike/>
          <w:lang w:val="fr-CH"/>
        </w:rPr>
        <w:t>L’intensité maximale ne doit pas être dépassée lorsque toutes les sour</w:t>
      </w:r>
      <w:r w:rsidR="009B6632">
        <w:rPr>
          <w:strike/>
          <w:lang w:val="fr-CH"/>
        </w:rPr>
        <w:t>ces lumineuses sont en fonction.</w:t>
      </w:r>
    </w:p>
    <w:p w:rsidR="00B77B7D" w:rsidRPr="00D76EB7" w:rsidRDefault="00D76EB7" w:rsidP="00D76EB7">
      <w:pPr>
        <w:pStyle w:val="SingleTxt"/>
        <w:ind w:left="2218" w:hanging="951"/>
        <w:rPr>
          <w:b/>
          <w:strike/>
          <w:lang w:val="fr-CH"/>
        </w:rPr>
      </w:pPr>
      <w:r w:rsidRPr="00D76EB7">
        <w:rPr>
          <w:lang w:val="fr-CH"/>
        </w:rPr>
        <w:tab/>
      </w:r>
      <w:r w:rsidRPr="00D76EB7">
        <w:rPr>
          <w:lang w:val="fr-CH"/>
        </w:rPr>
        <w:tab/>
      </w:r>
      <w:r w:rsidR="00B77B7D" w:rsidRPr="00D76EB7">
        <w:rPr>
          <w:strike/>
          <w:lang w:val="fr-CH"/>
        </w:rPr>
        <w:t>Toutes les sources lumineuses branchées en série sont considérées comme une source lumineuse unique.</w:t>
      </w:r>
    </w:p>
    <w:p w:rsidR="00B77B7D" w:rsidRPr="00D76EB7" w:rsidRDefault="00B77B7D" w:rsidP="00D76EB7">
      <w:pPr>
        <w:pStyle w:val="SingleTxt"/>
        <w:ind w:left="2218" w:hanging="951"/>
        <w:rPr>
          <w:b/>
          <w:lang w:val="fr-CH"/>
        </w:rPr>
      </w:pPr>
      <w:r w:rsidRPr="004330BB">
        <w:rPr>
          <w:b/>
          <w:bCs/>
          <w:lang w:val="fr-CH"/>
        </w:rPr>
        <w:t>7.1.4.1</w:t>
      </w:r>
      <w:r w:rsidRPr="00D76EB7">
        <w:rPr>
          <w:lang w:val="fr-CH"/>
        </w:rPr>
        <w:tab/>
      </w:r>
      <w:r w:rsidRPr="00D76EB7">
        <w:rPr>
          <w:b/>
          <w:bCs/>
          <w:lang w:val="fr-CH"/>
        </w:rPr>
        <w:t>Un groupe de sources lumineuses, branchées de manière qu’en cas de défaillance de l’une d’elles toutes les autres s’arrêtent d’émettre de la lumière, doit être considéré comme une seule et même source lumineuse.</w:t>
      </w:r>
    </w:p>
    <w:p w:rsidR="00B77B7D" w:rsidRPr="00D76EB7" w:rsidRDefault="00B77B7D" w:rsidP="00D76EB7">
      <w:pPr>
        <w:pStyle w:val="SingleTxt"/>
        <w:ind w:left="2218" w:hanging="951"/>
        <w:rPr>
          <w:b/>
          <w:lang w:val="fr-CH"/>
        </w:rPr>
      </w:pPr>
      <w:r w:rsidRPr="004330BB">
        <w:rPr>
          <w:b/>
          <w:bCs/>
          <w:lang w:val="fr-CH"/>
        </w:rPr>
        <w:t>7.1.4.2</w:t>
      </w:r>
      <w:r w:rsidRPr="00D76EB7">
        <w:rPr>
          <w:lang w:val="fr-CH"/>
        </w:rPr>
        <w:tab/>
      </w:r>
      <w:r w:rsidRPr="00D76EB7">
        <w:rPr>
          <w:b/>
          <w:bCs/>
          <w:lang w:val="fr-CH"/>
        </w:rPr>
        <w:t>En cas de défaillance de l’une des sources lumineuses d’un feu simple qui en contient plusieurs, l’une des dispositions suivantes s’applique</w:t>
      </w:r>
      <w:r w:rsidR="00D76EB7">
        <w:rPr>
          <w:b/>
          <w:bCs/>
          <w:lang w:val="fr-CH"/>
        </w:rPr>
        <w:t> </w:t>
      </w:r>
      <w:r w:rsidRPr="00D76EB7">
        <w:rPr>
          <w:b/>
          <w:bCs/>
          <w:lang w:val="fr-CH"/>
        </w:rPr>
        <w:t>:</w:t>
      </w:r>
    </w:p>
    <w:p w:rsidR="00B77B7D" w:rsidRPr="00D76EB7" w:rsidRDefault="00D76EB7" w:rsidP="00D76EB7">
      <w:pPr>
        <w:pStyle w:val="SingleTxt"/>
        <w:ind w:left="2693" w:hanging="1426"/>
        <w:rPr>
          <w:b/>
          <w:lang w:val="fr-CH"/>
        </w:rPr>
      </w:pPr>
      <w:r w:rsidRPr="00D76EB7">
        <w:rPr>
          <w:lang w:val="fr-CH"/>
        </w:rPr>
        <w:lastRenderedPageBreak/>
        <w:tab/>
      </w:r>
      <w:r w:rsidRPr="00D76EB7">
        <w:rPr>
          <w:lang w:val="fr-CH"/>
        </w:rPr>
        <w:tab/>
      </w:r>
      <w:r w:rsidR="00B77B7D" w:rsidRPr="00D76EB7">
        <w:rPr>
          <w:b/>
          <w:bCs/>
          <w:lang w:val="fr-CH"/>
        </w:rPr>
        <w:t>a)</w:t>
      </w:r>
      <w:r w:rsidR="00B77B7D" w:rsidRPr="00D76EB7">
        <w:rPr>
          <w:lang w:val="fr-CH"/>
        </w:rPr>
        <w:tab/>
      </w:r>
      <w:r w:rsidR="00B77B7D" w:rsidRPr="00D76EB7">
        <w:rPr>
          <w:b/>
          <w:bCs/>
          <w:lang w:val="fr-CH"/>
        </w:rPr>
        <w:t>L’intensité lumineuse doit être conforme à l’intensité minimale prescrite dans le tableau de répartition lumineuse spatiale norm</w:t>
      </w:r>
      <w:r w:rsidR="00DD4D6D">
        <w:rPr>
          <w:b/>
          <w:bCs/>
          <w:lang w:val="fr-CH"/>
        </w:rPr>
        <w:t>alisée, comme indiqué ci-dessus;</w:t>
      </w:r>
      <w:r w:rsidR="00B77B7D" w:rsidRPr="00D76EB7">
        <w:rPr>
          <w:b/>
          <w:bCs/>
          <w:lang w:val="fr-CH"/>
        </w:rPr>
        <w:t xml:space="preserve"> ou</w:t>
      </w:r>
    </w:p>
    <w:p w:rsidR="00B77B7D" w:rsidRPr="00D76EB7" w:rsidRDefault="00D76EB7" w:rsidP="00D76EB7">
      <w:pPr>
        <w:pStyle w:val="SingleTxt"/>
        <w:ind w:left="2693" w:hanging="1426"/>
        <w:rPr>
          <w:b/>
          <w:lang w:val="fr-CH"/>
        </w:rPr>
      </w:pPr>
      <w:r w:rsidRPr="00D76EB7">
        <w:rPr>
          <w:b/>
          <w:bCs/>
          <w:lang w:val="fr-CH"/>
        </w:rPr>
        <w:tab/>
      </w:r>
      <w:r w:rsidRPr="00D76EB7">
        <w:rPr>
          <w:b/>
          <w:bCs/>
          <w:lang w:val="fr-CH"/>
        </w:rPr>
        <w:tab/>
      </w:r>
      <w:r w:rsidR="00B77B7D" w:rsidRPr="00D76EB7">
        <w:rPr>
          <w:b/>
          <w:bCs/>
          <w:lang w:val="fr-CH"/>
        </w:rPr>
        <w:t>b)</w:t>
      </w:r>
      <w:r w:rsidR="00B77B7D" w:rsidRPr="00D76EB7">
        <w:rPr>
          <w:lang w:val="fr-CH"/>
        </w:rPr>
        <w:tab/>
      </w:r>
      <w:r w:rsidR="00B77B7D" w:rsidRPr="00D76EB7">
        <w:rPr>
          <w:b/>
          <w:bCs/>
          <w:lang w:val="fr-CH"/>
        </w:rPr>
        <w:t>L’intensité lumineuse mesurée sur l’axe de</w:t>
      </w:r>
      <w:r w:rsidR="009B6632">
        <w:rPr>
          <w:b/>
          <w:bCs/>
          <w:lang w:val="fr-CH"/>
        </w:rPr>
        <w:t xml:space="preserve"> référence doit être égale à 50 </w:t>
      </w:r>
      <w:r w:rsidR="00B77B7D" w:rsidRPr="00D76EB7">
        <w:rPr>
          <w:b/>
          <w:bCs/>
          <w:lang w:val="fr-CH"/>
        </w:rPr>
        <w:t>% au moins de la valeur minimale d’intensité requise, à condition qu’il soit fait mention dans la fiche de communication que le feu en question ne peut être utilisé que sur un véhicule équipé d’un témoin de fonctionnement signalant la défaillance de l’une quelconque des sources lumineuses.</w:t>
      </w:r>
      <w:r w:rsidR="00B77B7D" w:rsidRPr="00D76EB7">
        <w:rPr>
          <w:lang w:val="fr-CH"/>
        </w:rPr>
        <w:t> »</w:t>
      </w:r>
      <w:r>
        <w:rPr>
          <w:lang w:val="fr-CH"/>
        </w:rPr>
        <w:t>.</w:t>
      </w:r>
    </w:p>
    <w:p w:rsidR="00B77B7D" w:rsidRPr="00D76EB7" w:rsidRDefault="00B77B7D" w:rsidP="00B77B7D">
      <w:pPr>
        <w:pStyle w:val="SingleTxt"/>
        <w:rPr>
          <w:lang w:val="fr-CH"/>
        </w:rPr>
      </w:pPr>
      <w:r w:rsidRPr="00D76EB7">
        <w:rPr>
          <w:i/>
          <w:iCs/>
          <w:lang w:val="fr-CH"/>
        </w:rPr>
        <w:t>Annexe 2, point 9</w:t>
      </w:r>
      <w:r w:rsidRPr="00D76EB7">
        <w:rPr>
          <w:lang w:val="fr-CH"/>
        </w:rPr>
        <w:t>, modifier comme suit</w:t>
      </w:r>
      <w:r w:rsidR="00D76EB7">
        <w:rPr>
          <w:lang w:val="fr-CH"/>
        </w:rPr>
        <w:t> </w:t>
      </w:r>
      <w:r w:rsidRPr="00D76EB7">
        <w:rPr>
          <w:lang w:val="fr-CH"/>
        </w:rPr>
        <w:t>:</w:t>
      </w:r>
    </w:p>
    <w:p w:rsidR="00B77B7D" w:rsidRPr="00D76EB7" w:rsidRDefault="00B77B7D" w:rsidP="00B77B7D">
      <w:pPr>
        <w:pStyle w:val="SingleTxt"/>
        <w:rPr>
          <w:lang w:val="fr-CH"/>
        </w:rPr>
      </w:pPr>
      <w:r w:rsidRPr="00D76EB7">
        <w:rPr>
          <w:lang w:val="fr-CH"/>
        </w:rPr>
        <w:t>« 9</w:t>
      </w:r>
      <w:r w:rsidR="004330BB">
        <w:rPr>
          <w:lang w:val="fr-CH"/>
        </w:rPr>
        <w:t>.</w:t>
      </w:r>
      <w:r w:rsidRPr="00D76EB7">
        <w:rPr>
          <w:lang w:val="fr-CH"/>
        </w:rPr>
        <w:tab/>
      </w:r>
      <w:r w:rsidR="00D76EB7" w:rsidRPr="00D76EB7">
        <w:rPr>
          <w:lang w:val="fr-CH"/>
        </w:rPr>
        <w:tab/>
      </w:r>
      <w:r w:rsidRPr="00D76EB7">
        <w:rPr>
          <w:lang w:val="fr-CH"/>
        </w:rPr>
        <w:t>Description sommaire</w:t>
      </w:r>
      <w:r w:rsidRPr="00D76EB7">
        <w:rPr>
          <w:vertAlign w:val="superscript"/>
          <w:lang w:val="fr-CH"/>
        </w:rPr>
        <w:t>1</w:t>
      </w:r>
      <w:r w:rsidR="00D76EB7" w:rsidRPr="00D76EB7">
        <w:t> </w:t>
      </w:r>
      <w:r w:rsidRPr="00D76EB7">
        <w:rPr>
          <w:lang w:val="fr-CH"/>
        </w:rPr>
        <w:t>:</w:t>
      </w:r>
    </w:p>
    <w:p w:rsidR="00B77B7D" w:rsidRPr="00D76EB7" w:rsidRDefault="00D76EB7"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Couleur de la lumière émise</w:t>
      </w:r>
      <w:r>
        <w:rPr>
          <w:lang w:val="fr-CH"/>
        </w:rPr>
        <w:t> </w:t>
      </w:r>
      <w:r w:rsidR="00B77B7D" w:rsidRPr="00D76EB7">
        <w:rPr>
          <w:lang w:val="fr-CH"/>
        </w:rPr>
        <w:t>:</w:t>
      </w:r>
      <w:r>
        <w:rPr>
          <w:lang w:val="fr-CH"/>
        </w:rPr>
        <w:tab/>
      </w:r>
      <w:r w:rsidR="00B77B7D" w:rsidRPr="00D76EB7">
        <w:rPr>
          <w:lang w:val="fr-CH"/>
        </w:rPr>
        <w:t>ambre/rouge</w:t>
      </w:r>
      <w:r w:rsidR="00B77B7D" w:rsidRPr="00D76EB7">
        <w:rPr>
          <w:vertAlign w:val="superscript"/>
          <w:lang w:val="fr-CH"/>
        </w:rPr>
        <w:t>2</w:t>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4330BB">
        <w:rPr>
          <w:lang w:val="fr-CH"/>
        </w:rPr>
        <w:t>S</w:t>
      </w:r>
      <w:r w:rsidR="00B77B7D" w:rsidRPr="00D76EB7">
        <w:rPr>
          <w:lang w:val="fr-CH"/>
        </w:rPr>
        <w:t xml:space="preserve">ources lumineuses </w:t>
      </w:r>
      <w:r w:rsidR="004330BB">
        <w:rPr>
          <w:lang w:val="fr-CH"/>
        </w:rPr>
        <w:t>– n</w:t>
      </w:r>
      <w:r w:rsidR="004330BB" w:rsidRPr="00D76EB7">
        <w:rPr>
          <w:lang w:val="fr-CH"/>
        </w:rPr>
        <w:t xml:space="preserve">ombre </w:t>
      </w:r>
      <w:r w:rsidR="00B77B7D" w:rsidRPr="00D76EB7">
        <w:rPr>
          <w:lang w:val="fr-CH"/>
        </w:rPr>
        <w:t>et catégorie</w:t>
      </w:r>
      <w:r w:rsidR="004330BB">
        <w:rPr>
          <w:lang w:val="fr-CH"/>
        </w:rPr>
        <w:t> </w:t>
      </w:r>
      <w:r w:rsidR="00B77B7D" w:rsidRPr="00D76EB7">
        <w:rPr>
          <w:lang w:val="fr-CH"/>
        </w:rPr>
        <w:t>:</w:t>
      </w:r>
      <w:r w:rsidR="00B77B7D" w:rsidRPr="00D76EB7">
        <w:rPr>
          <w:lang w:val="fr-CH"/>
        </w:rPr>
        <w:tab/>
      </w:r>
    </w:p>
    <w:p w:rsidR="00B77B7D" w:rsidRPr="00D76EB7" w:rsidRDefault="00D76EB7" w:rsidP="000E6AEC">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Module d’</w:t>
      </w:r>
      <w:r w:rsidR="004330BB">
        <w:rPr>
          <w:lang w:val="fr-CH"/>
        </w:rPr>
        <w:t>éclairage :</w:t>
      </w:r>
      <w:r w:rsidR="00B77B7D" w:rsidRPr="00D76EB7">
        <w:rPr>
          <w:lang w:val="fr-CH"/>
        </w:rPr>
        <w:tab/>
        <w:t xml:space="preserve"> oui/non</w:t>
      </w:r>
      <w:r w:rsidR="00B77B7D" w:rsidRPr="00D76EB7">
        <w:rPr>
          <w:vertAlign w:val="superscript"/>
          <w:lang w:val="fr-CH"/>
        </w:rPr>
        <w:t>1</w:t>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Code d’identification propre au module d’éclairage</w:t>
      </w:r>
      <w:r w:rsidR="004330BB">
        <w:rPr>
          <w:lang w:val="fr-CH"/>
        </w:rPr>
        <w:t> </w:t>
      </w:r>
      <w:r w:rsidR="00B77B7D" w:rsidRPr="00D76EB7">
        <w:rPr>
          <w:lang w:val="fr-CH"/>
        </w:rPr>
        <w:t>:</w:t>
      </w:r>
      <w:r w:rsidR="00B77B7D" w:rsidRPr="00D76EB7">
        <w:rPr>
          <w:lang w:val="fr-CH"/>
        </w:rPr>
        <w:tab/>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bCs/>
          <w:lang w:val="fr-CH"/>
        </w:rPr>
      </w:pPr>
      <w:r w:rsidRPr="00D76EB7">
        <w:rPr>
          <w:lang w:val="fr-CH"/>
        </w:rPr>
        <w:tab/>
      </w:r>
      <w:r w:rsidRPr="00D76EB7">
        <w:rPr>
          <w:lang w:val="fr-CH"/>
        </w:rPr>
        <w:tab/>
      </w:r>
      <w:r w:rsidR="00B77B7D" w:rsidRPr="00D76EB7">
        <w:rPr>
          <w:lang w:val="fr-CH"/>
        </w:rPr>
        <w:t>Uniquement pour une hauteur de montage lim</w:t>
      </w:r>
      <w:r w:rsidR="004330BB">
        <w:rPr>
          <w:lang w:val="fr-CH"/>
        </w:rPr>
        <w:t>itée, égale ou inférieure à 750 </w:t>
      </w:r>
      <w:r w:rsidR="00B77B7D" w:rsidRPr="00D76EB7">
        <w:rPr>
          <w:lang w:val="fr-CH"/>
        </w:rPr>
        <w:t>mm au-dessus du sol</w:t>
      </w:r>
      <w:r w:rsidR="004330BB">
        <w:rPr>
          <w:lang w:val="fr-CH"/>
        </w:rPr>
        <w:t> :</w:t>
      </w:r>
      <w:r w:rsidR="004330BB">
        <w:rPr>
          <w:lang w:val="fr-CH"/>
        </w:rPr>
        <w:tab/>
      </w:r>
      <w:r w:rsidR="00B77B7D" w:rsidRPr="00D76EB7">
        <w:rPr>
          <w:lang w:val="fr-CH"/>
        </w:rPr>
        <w:t>oui/non</w:t>
      </w:r>
      <w:r w:rsidR="00B77B7D" w:rsidRPr="00D76EB7">
        <w:rPr>
          <w:vertAlign w:val="superscript"/>
          <w:lang w:val="fr-CH"/>
        </w:rPr>
        <w:t>2</w:t>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Conditions géométriques de mo</w:t>
      </w:r>
      <w:r w:rsidR="004330BB">
        <w:rPr>
          <w:lang w:val="fr-CH"/>
        </w:rPr>
        <w:t>ntage et variantes éventuelles :</w:t>
      </w:r>
      <w:r w:rsidR="00B77B7D" w:rsidRPr="00D76EB7">
        <w:rPr>
          <w:lang w:val="fr-CH"/>
        </w:rPr>
        <w:tab/>
      </w:r>
    </w:p>
    <w:p w:rsidR="00B77B7D" w:rsidRPr="00D76EB7" w:rsidRDefault="00D76EB7" w:rsidP="00D76EB7">
      <w:pPr>
        <w:pStyle w:val="SingleTxt"/>
        <w:ind w:left="2218" w:hanging="951"/>
        <w:rPr>
          <w:lang w:val="fr-CH"/>
        </w:rPr>
      </w:pPr>
      <w:r w:rsidRPr="00D76EB7">
        <w:rPr>
          <w:lang w:val="fr-CH"/>
        </w:rPr>
        <w:tab/>
      </w:r>
      <w:r w:rsidRPr="00D76EB7">
        <w:rPr>
          <w:lang w:val="fr-CH"/>
        </w:rPr>
        <w:tab/>
      </w:r>
      <w:r w:rsidR="00B77B7D" w:rsidRPr="00D76EB7">
        <w:rPr>
          <w:lang w:val="fr-CH"/>
        </w:rPr>
        <w:t>Le dispositif de régulation électronique de la source lumineuse ou le régulateur d’intensité</w:t>
      </w:r>
      <w:r w:rsidR="004330BB">
        <w:rPr>
          <w:lang w:val="fr-CH"/>
        </w:rPr>
        <w:t> </w:t>
      </w:r>
      <w:r w:rsidR="00B77B7D" w:rsidRPr="00D76EB7">
        <w:rPr>
          <w:lang w:val="fr-CH"/>
        </w:rPr>
        <w:t>:</w:t>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a)</w:t>
      </w:r>
      <w:r w:rsidRPr="00D76EB7">
        <w:rPr>
          <w:lang w:val="fr-CH"/>
        </w:rPr>
        <w:tab/>
      </w:r>
      <w:r w:rsidR="00B77B7D" w:rsidRPr="00D76EB7">
        <w:rPr>
          <w:lang w:val="fr-CH"/>
        </w:rPr>
        <w:t>Fait partie du feu</w:t>
      </w:r>
      <w:r w:rsidR="004330BB">
        <w:rPr>
          <w:lang w:val="fr-CH"/>
        </w:rPr>
        <w:t> </w:t>
      </w:r>
      <w:r w:rsidR="00B77B7D" w:rsidRPr="00D76EB7">
        <w:rPr>
          <w:lang w:val="fr-CH"/>
        </w:rPr>
        <w:t>:</w:t>
      </w:r>
      <w:r w:rsidR="00B77B7D" w:rsidRPr="00D76EB7">
        <w:rPr>
          <w:lang w:val="fr-CH"/>
        </w:rPr>
        <w:tab/>
        <w:t>oui/non/non applicable</w:t>
      </w:r>
      <w:r w:rsidR="00B77B7D" w:rsidRPr="00D76EB7">
        <w:rPr>
          <w:vertAlign w:val="superscript"/>
          <w:lang w:val="fr-CH"/>
        </w:rPr>
        <w:t>2</w:t>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b)</w:t>
      </w:r>
      <w:r w:rsidRPr="00D76EB7">
        <w:rPr>
          <w:lang w:val="fr-CH"/>
        </w:rPr>
        <w:tab/>
      </w:r>
      <w:r w:rsidR="00B77B7D" w:rsidRPr="00D76EB7">
        <w:rPr>
          <w:lang w:val="fr-CH"/>
        </w:rPr>
        <w:t>Ne fait pas partie du feu</w:t>
      </w:r>
      <w:r w:rsidR="004330BB">
        <w:rPr>
          <w:lang w:val="fr-CH"/>
        </w:rPr>
        <w:t> </w:t>
      </w:r>
      <w:r w:rsidR="00B77B7D" w:rsidRPr="00D76EB7">
        <w:rPr>
          <w:lang w:val="fr-CH"/>
        </w:rPr>
        <w:t>:</w:t>
      </w:r>
      <w:r w:rsidR="00B77B7D" w:rsidRPr="00D76EB7">
        <w:rPr>
          <w:lang w:val="fr-CH"/>
        </w:rPr>
        <w:tab/>
        <w:t>oui/non/non applicable</w:t>
      </w:r>
      <w:r w:rsidR="00B77B7D" w:rsidRPr="00D76EB7">
        <w:rPr>
          <w:vertAlign w:val="superscript"/>
          <w:lang w:val="fr-CH"/>
        </w:rPr>
        <w:t>2</w:t>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Tension(s) d’alimentation du dispositif de régulation électronique de la source lumineuse ou du régulateur d’intensité</w:t>
      </w:r>
      <w:r w:rsidR="004330BB">
        <w:rPr>
          <w:lang w:val="fr-CH"/>
        </w:rPr>
        <w:t> </w:t>
      </w:r>
      <w:r w:rsidR="00B77B7D" w:rsidRPr="00D76EB7">
        <w:rPr>
          <w:lang w:val="fr-CH"/>
        </w:rPr>
        <w:t>:</w:t>
      </w:r>
      <w:r w:rsidR="00B77B7D" w:rsidRPr="00D76EB7">
        <w:rPr>
          <w:lang w:val="fr-CH"/>
        </w:rPr>
        <w:tab/>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Nom du fabricant et numéro d’identification du dispositif de régulation électronique de la source lumineuse ou du régulateur d’intensité (lorsque le dispositif de régulation de la source lumineuse fait partie du feu mais n’est pas incorporé dans son boîtier)</w:t>
      </w:r>
      <w:r w:rsidR="004330BB">
        <w:rPr>
          <w:lang w:val="fr-CH"/>
        </w:rPr>
        <w:t> </w:t>
      </w:r>
      <w:r w:rsidR="00B77B7D" w:rsidRPr="00D76EB7">
        <w:rPr>
          <w:lang w:val="fr-CH"/>
        </w:rPr>
        <w:t>:</w:t>
      </w:r>
      <w:r w:rsidR="00B77B7D" w:rsidRPr="00D76EB7">
        <w:rPr>
          <w:lang w:val="fr-CH"/>
        </w:rPr>
        <w:tab/>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b/>
          <w:lang w:val="fr-CH"/>
        </w:rPr>
      </w:pPr>
      <w:r w:rsidRPr="00D76EB7">
        <w:rPr>
          <w:b/>
          <w:bCs/>
          <w:lang w:val="fr-CH"/>
        </w:rPr>
        <w:tab/>
      </w:r>
      <w:r w:rsidRPr="00D76EB7">
        <w:rPr>
          <w:b/>
          <w:bCs/>
          <w:lang w:val="fr-CH"/>
        </w:rPr>
        <w:tab/>
      </w:r>
      <w:r w:rsidR="00B77B7D" w:rsidRPr="00D76EB7">
        <w:rPr>
          <w:b/>
          <w:bCs/>
          <w:lang w:val="fr-CH"/>
        </w:rPr>
        <w:t>Le feu ne peut être utilisé que sur un véhicule équipé d’un témoin indiquant un défaut de fonctionnement</w:t>
      </w:r>
      <w:r w:rsidR="004330BB">
        <w:rPr>
          <w:b/>
          <w:bCs/>
          <w:lang w:val="fr-CH"/>
        </w:rPr>
        <w:t> </w:t>
      </w:r>
      <w:r w:rsidR="00B77B7D" w:rsidRPr="00D76EB7">
        <w:rPr>
          <w:b/>
          <w:bCs/>
          <w:lang w:val="fr-CH"/>
        </w:rPr>
        <w:t>:</w:t>
      </w:r>
      <w:r w:rsidR="00B77B7D" w:rsidRPr="00D76EB7">
        <w:rPr>
          <w:b/>
          <w:bCs/>
          <w:lang w:val="fr-CH"/>
        </w:rPr>
        <w:tab/>
        <w:t>oui/non</w:t>
      </w:r>
      <w:r w:rsidR="00B77B7D" w:rsidRPr="00D76EB7">
        <w:rPr>
          <w:b/>
          <w:bCs/>
          <w:vertAlign w:val="superscript"/>
          <w:lang w:val="fr-CH"/>
        </w:rPr>
        <w:t>1</w:t>
      </w:r>
    </w:p>
    <w:p w:rsidR="00B77B7D" w:rsidRPr="00D76EB7" w:rsidRDefault="00B77B7D" w:rsidP="00D76EB7">
      <w:pPr>
        <w:pStyle w:val="SingleTxt"/>
        <w:ind w:hanging="432"/>
        <w:rPr>
          <w:lang w:val="fr-CH"/>
        </w:rPr>
      </w:pPr>
      <w:r w:rsidRPr="00D76EB7">
        <w:rPr>
          <w:lang w:val="fr-CH"/>
        </w:rPr>
        <w:t>______________</w:t>
      </w:r>
    </w:p>
    <w:p w:rsidR="00B77B7D" w:rsidRPr="00D76EB7" w:rsidRDefault="00D76EB7" w:rsidP="00D76EB7">
      <w:pPr>
        <w:pStyle w:val="FootnoteText"/>
        <w:tabs>
          <w:tab w:val="right" w:pos="1476"/>
          <w:tab w:val="left" w:pos="1548"/>
          <w:tab w:val="right" w:pos="1836"/>
          <w:tab w:val="left" w:pos="1908"/>
        </w:tabs>
        <w:ind w:left="1548" w:right="1267" w:hanging="288"/>
        <w:rPr>
          <w:lang w:val="fr-CH"/>
        </w:rPr>
      </w:pPr>
      <w:r w:rsidRPr="00D76EB7">
        <w:rPr>
          <w:vertAlign w:val="superscript"/>
          <w:lang w:val="fr-CH"/>
        </w:rPr>
        <w:tab/>
      </w:r>
      <w:r w:rsidR="00B77B7D" w:rsidRPr="00D76EB7">
        <w:rPr>
          <w:vertAlign w:val="superscript"/>
          <w:lang w:val="fr-CH"/>
        </w:rPr>
        <w:t>1</w:t>
      </w:r>
      <w:r w:rsidRPr="00D76EB7">
        <w:rPr>
          <w:lang w:val="fr-CH"/>
        </w:rPr>
        <w:tab/>
      </w:r>
      <w:r w:rsidR="00B77B7D" w:rsidRPr="00D76EB7">
        <w:rPr>
          <w:lang w:val="fr-CH"/>
        </w:rPr>
        <w:t xml:space="preserve">Pour les feux à sources lumineuses non remplaçables, indiquer le nombre et la puissance totale des sources lumineuses. </w:t>
      </w:r>
    </w:p>
    <w:p w:rsidR="00B77B7D" w:rsidRPr="00D76EB7" w:rsidRDefault="00D76EB7" w:rsidP="004330BB">
      <w:pPr>
        <w:pStyle w:val="FootnoteText"/>
        <w:tabs>
          <w:tab w:val="right" w:pos="1476"/>
          <w:tab w:val="left" w:pos="1548"/>
          <w:tab w:val="right" w:pos="1836"/>
          <w:tab w:val="left" w:pos="1908"/>
        </w:tabs>
        <w:ind w:left="1548" w:right="1267" w:hanging="288"/>
        <w:rPr>
          <w:lang w:val="fr-CH"/>
        </w:rPr>
      </w:pPr>
      <w:r w:rsidRPr="00D76EB7">
        <w:rPr>
          <w:vertAlign w:val="superscript"/>
          <w:lang w:val="fr-CH"/>
        </w:rPr>
        <w:tab/>
      </w:r>
      <w:r w:rsidR="00B77B7D" w:rsidRPr="00D76EB7">
        <w:rPr>
          <w:vertAlign w:val="superscript"/>
          <w:lang w:val="fr-CH"/>
        </w:rPr>
        <w:t>2</w:t>
      </w:r>
      <w:r w:rsidRPr="00D76EB7">
        <w:rPr>
          <w:vertAlign w:val="superscript"/>
          <w:lang w:val="fr-CH"/>
        </w:rPr>
        <w:tab/>
      </w:r>
      <w:r w:rsidR="00B77B7D" w:rsidRPr="00D76EB7">
        <w:rPr>
          <w:lang w:val="fr-CH"/>
        </w:rPr>
        <w:t>Biffer l</w:t>
      </w:r>
      <w:r w:rsidR="004330BB">
        <w:rPr>
          <w:lang w:val="fr-CH"/>
        </w:rPr>
        <w:t>es</w:t>
      </w:r>
      <w:r w:rsidR="00B77B7D" w:rsidRPr="00D76EB7">
        <w:rPr>
          <w:lang w:val="fr-CH"/>
        </w:rPr>
        <w:t xml:space="preserve"> mention</w:t>
      </w:r>
      <w:r w:rsidR="004330BB">
        <w:rPr>
          <w:lang w:val="fr-CH"/>
        </w:rPr>
        <w:t>s</w:t>
      </w:r>
      <w:r w:rsidR="00B77B7D" w:rsidRPr="00D76EB7">
        <w:rPr>
          <w:lang w:val="fr-CH"/>
        </w:rPr>
        <w:t xml:space="preserve"> inutile</w:t>
      </w:r>
      <w:r w:rsidR="004330BB">
        <w:rPr>
          <w:lang w:val="fr-CH"/>
        </w:rPr>
        <w:t>s</w:t>
      </w:r>
      <w:r w:rsidR="00B77B7D" w:rsidRPr="00D76EB7">
        <w:rPr>
          <w:lang w:val="fr-CH"/>
        </w:rPr>
        <w:t>.</w:t>
      </w:r>
      <w:r w:rsidRPr="00D76EB7">
        <w:rPr>
          <w:lang w:val="fr-CH"/>
        </w:rPr>
        <w:t> </w:t>
      </w:r>
      <w:r w:rsidRPr="00D76EB7">
        <w:rPr>
          <w:sz w:val="20"/>
          <w:lang w:val="fr-CH"/>
        </w:rPr>
        <w:t>».</w:t>
      </w:r>
    </w:p>
    <w:p w:rsidR="00B77B7D" w:rsidRPr="00D76EB7" w:rsidRDefault="00B77B7D" w:rsidP="00B77B7D">
      <w:pPr>
        <w:pStyle w:val="SingleTxt"/>
        <w:spacing w:after="0" w:line="120" w:lineRule="exact"/>
        <w:rPr>
          <w:b/>
          <w:sz w:val="10"/>
          <w:lang w:val="fr-CH"/>
        </w:rPr>
      </w:pPr>
    </w:p>
    <w:p w:rsidR="00B77B7D" w:rsidRPr="00D76EB7" w:rsidRDefault="00B77B7D" w:rsidP="00B77B7D">
      <w:pPr>
        <w:pStyle w:val="SingleTxt"/>
        <w:spacing w:after="0" w:line="120" w:lineRule="exact"/>
        <w:rPr>
          <w:b/>
          <w:sz w:val="10"/>
          <w:lang w:val="fr-CH"/>
        </w:rPr>
      </w:pPr>
    </w:p>
    <w:p w:rsidR="00D76EB7" w:rsidRPr="00D76EB7" w:rsidRDefault="00D76EB7" w:rsidP="00B77B7D">
      <w:pPr>
        <w:pStyle w:val="SingleTxt"/>
        <w:spacing w:after="0" w:line="120" w:lineRule="exact"/>
        <w:rPr>
          <w:b/>
          <w:sz w:val="10"/>
          <w:lang w:val="fr-CH"/>
        </w:rPr>
      </w:pPr>
    </w:p>
    <w:p w:rsidR="00B77B7D" w:rsidRPr="00D76EB7" w:rsidRDefault="00B77B7D" w:rsidP="00B77B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tab/>
        <w:t>F.</w:t>
      </w:r>
      <w:r w:rsidRPr="00D76EB7">
        <w:rPr>
          <w:lang w:val="fr-CH"/>
        </w:rPr>
        <w:tab/>
        <w:t>Complément 5 à la série 01 d’amendements au Règlement n</w:t>
      </w:r>
      <w:r w:rsidRPr="00D76EB7">
        <w:rPr>
          <w:vertAlign w:val="superscript"/>
          <w:lang w:val="fr-CH"/>
        </w:rPr>
        <w:t>o</w:t>
      </w:r>
      <w:r w:rsidRPr="004330BB">
        <w:rPr>
          <w:lang w:val="fr-CH"/>
        </w:rPr>
        <w:t> </w:t>
      </w:r>
      <w:r w:rsidRPr="00D76EB7">
        <w:rPr>
          <w:lang w:val="fr-CH"/>
        </w:rPr>
        <w:t>119 (</w:t>
      </w:r>
      <w:r w:rsidR="004330BB" w:rsidRPr="00D76EB7">
        <w:rPr>
          <w:lang w:val="fr-CH"/>
        </w:rPr>
        <w:t xml:space="preserve">Feux </w:t>
      </w:r>
      <w:r w:rsidRPr="00D76EB7">
        <w:rPr>
          <w:lang w:val="fr-CH"/>
        </w:rPr>
        <w:t>d’angle)</w:t>
      </w:r>
    </w:p>
    <w:p w:rsidR="00B77B7D" w:rsidRPr="00D76EB7" w:rsidRDefault="00B77B7D" w:rsidP="00B77B7D">
      <w:pPr>
        <w:pStyle w:val="SingleTxt"/>
        <w:spacing w:after="0" w:line="120" w:lineRule="exact"/>
        <w:rPr>
          <w:i/>
          <w:iCs/>
          <w:sz w:val="10"/>
          <w:lang w:val="fr-CH"/>
        </w:rPr>
      </w:pPr>
    </w:p>
    <w:p w:rsidR="00B77B7D" w:rsidRPr="00D76EB7" w:rsidRDefault="00B77B7D" w:rsidP="00B77B7D">
      <w:pPr>
        <w:pStyle w:val="SingleTxt"/>
        <w:spacing w:after="0" w:line="120" w:lineRule="exact"/>
        <w:rPr>
          <w:i/>
          <w:iCs/>
          <w:sz w:val="10"/>
          <w:lang w:val="fr-CH"/>
        </w:rPr>
      </w:pPr>
    </w:p>
    <w:p w:rsidR="00B77B7D" w:rsidRPr="00D76EB7" w:rsidRDefault="00B77B7D" w:rsidP="004330BB">
      <w:pPr>
        <w:pStyle w:val="SingleTxt"/>
        <w:rPr>
          <w:i/>
          <w:lang w:val="fr-CH"/>
        </w:rPr>
      </w:pPr>
      <w:r w:rsidRPr="00D76EB7">
        <w:rPr>
          <w:i/>
          <w:iCs/>
          <w:lang w:val="fr-CH"/>
        </w:rPr>
        <w:t>Paragraphe 6</w:t>
      </w:r>
      <w:r w:rsidR="004330BB">
        <w:rPr>
          <w:i/>
          <w:iCs/>
          <w:lang w:val="fr-CH"/>
        </w:rPr>
        <w:t>.</w:t>
      </w:r>
      <w:r w:rsidRPr="00D76EB7">
        <w:rPr>
          <w:i/>
          <w:iCs/>
          <w:lang w:val="fr-CH"/>
        </w:rPr>
        <w:t>4</w:t>
      </w:r>
      <w:r w:rsidRPr="00D76EB7">
        <w:rPr>
          <w:lang w:val="fr-CH"/>
        </w:rPr>
        <w:t>, modifier comme suit</w:t>
      </w:r>
      <w:r w:rsidR="004330BB">
        <w:rPr>
          <w:lang w:val="fr-CH"/>
        </w:rPr>
        <w:t> </w:t>
      </w:r>
      <w:r w:rsidRPr="00D76EB7">
        <w:rPr>
          <w:lang w:val="fr-CH"/>
        </w:rPr>
        <w:t>:</w:t>
      </w:r>
    </w:p>
    <w:p w:rsidR="00B77B7D" w:rsidRPr="00D76EB7" w:rsidRDefault="00B77B7D" w:rsidP="00B77B7D">
      <w:pPr>
        <w:pStyle w:val="SingleTxt"/>
        <w:rPr>
          <w:lang w:val="fr-CH"/>
        </w:rPr>
      </w:pPr>
      <w:r w:rsidRPr="00D76EB7">
        <w:rPr>
          <w:lang w:val="fr-CH"/>
        </w:rPr>
        <w:t>« 6.4</w:t>
      </w:r>
      <w:r w:rsidRPr="00D76EB7">
        <w:rPr>
          <w:lang w:val="fr-CH"/>
        </w:rPr>
        <w:tab/>
      </w:r>
      <w:r w:rsidR="00D76EB7" w:rsidRPr="00D76EB7">
        <w:rPr>
          <w:lang w:val="fr-CH"/>
        </w:rPr>
        <w:tab/>
      </w:r>
      <w:r w:rsidRPr="00D76EB7">
        <w:rPr>
          <w:b/>
          <w:bCs/>
          <w:lang w:val="fr-CH"/>
        </w:rPr>
        <w:t>Défaillance d’une source lumineuse</w:t>
      </w:r>
      <w:r w:rsidR="004330BB">
        <w:rPr>
          <w:b/>
          <w:bCs/>
          <w:lang w:val="fr-CH"/>
        </w:rPr>
        <w:t> </w:t>
      </w:r>
      <w:r w:rsidRPr="00D76EB7">
        <w:rPr>
          <w:b/>
          <w:bCs/>
          <w:lang w:val="fr-CH"/>
        </w:rPr>
        <w:t>:</w:t>
      </w:r>
    </w:p>
    <w:p w:rsidR="00B77B7D" w:rsidRPr="00D76EB7" w:rsidRDefault="00D76EB7" w:rsidP="004330BB">
      <w:pPr>
        <w:pStyle w:val="SingleTxt"/>
        <w:ind w:left="2218" w:hanging="951"/>
        <w:rPr>
          <w:strike/>
          <w:lang w:val="fr-CH"/>
        </w:rPr>
      </w:pPr>
      <w:r w:rsidRPr="00D76EB7">
        <w:rPr>
          <w:lang w:val="fr-CH"/>
        </w:rPr>
        <w:tab/>
      </w:r>
      <w:r w:rsidRPr="00D76EB7">
        <w:rPr>
          <w:lang w:val="fr-CH"/>
        </w:rPr>
        <w:tab/>
      </w:r>
      <w:r w:rsidR="004330BB">
        <w:rPr>
          <w:strike/>
          <w:lang w:val="fr-CH"/>
        </w:rPr>
        <w:t>Dans le cas</w:t>
      </w:r>
      <w:r w:rsidR="00B77B7D" w:rsidRPr="00D76EB7">
        <w:rPr>
          <w:strike/>
          <w:lang w:val="fr-CH"/>
        </w:rPr>
        <w:t xml:space="preserve"> d’un feu </w:t>
      </w:r>
      <w:r w:rsidR="004330BB">
        <w:rPr>
          <w:strike/>
          <w:lang w:val="fr-CH"/>
        </w:rPr>
        <w:t xml:space="preserve">simple ayant </w:t>
      </w:r>
      <w:r w:rsidR="00B77B7D" w:rsidRPr="00D76EB7">
        <w:rPr>
          <w:strike/>
          <w:lang w:val="fr-CH"/>
        </w:rPr>
        <w:t xml:space="preserve">plus d’une source lumineuse, le feu doit </w:t>
      </w:r>
      <w:r w:rsidR="004330BB">
        <w:rPr>
          <w:strike/>
          <w:lang w:val="fr-CH"/>
        </w:rPr>
        <w:t>satisfaire à</w:t>
      </w:r>
      <w:r w:rsidR="00B77B7D" w:rsidRPr="00D76EB7">
        <w:rPr>
          <w:strike/>
          <w:lang w:val="fr-CH"/>
        </w:rPr>
        <w:t xml:space="preserve"> l’intensité minimale requise </w:t>
      </w:r>
      <w:r w:rsidR="004330BB">
        <w:rPr>
          <w:strike/>
          <w:lang w:val="fr-CH"/>
        </w:rPr>
        <w:t xml:space="preserve">en cas de défaillance de l’une des </w:t>
      </w:r>
      <w:r w:rsidR="00B77B7D" w:rsidRPr="00D76EB7">
        <w:rPr>
          <w:strike/>
          <w:lang w:val="fr-CH"/>
        </w:rPr>
        <w:t>source</w:t>
      </w:r>
      <w:r w:rsidR="004330BB">
        <w:rPr>
          <w:strike/>
          <w:lang w:val="fr-CH"/>
        </w:rPr>
        <w:t>s</w:t>
      </w:r>
      <w:r w:rsidR="00B77B7D" w:rsidRPr="00D76EB7">
        <w:rPr>
          <w:strike/>
          <w:lang w:val="fr-CH"/>
        </w:rPr>
        <w:t xml:space="preserve"> lumineuse</w:t>
      </w:r>
      <w:r w:rsidR="004330BB">
        <w:rPr>
          <w:strike/>
          <w:lang w:val="fr-CH"/>
        </w:rPr>
        <w:t>s</w:t>
      </w:r>
      <w:r w:rsidR="00B77B7D" w:rsidRPr="00D76EB7">
        <w:rPr>
          <w:strike/>
          <w:lang w:val="fr-CH"/>
        </w:rPr>
        <w:t>, et lorsque toutes les sources lumineuses</w:t>
      </w:r>
      <w:r w:rsidR="004330BB">
        <w:rPr>
          <w:strike/>
          <w:lang w:val="fr-CH"/>
        </w:rPr>
        <w:t xml:space="preserve"> sont allumées</w:t>
      </w:r>
      <w:r w:rsidR="00B77B7D" w:rsidRPr="00D76EB7">
        <w:rPr>
          <w:strike/>
          <w:lang w:val="fr-CH"/>
        </w:rPr>
        <w:t xml:space="preserve">, les intensités maximales </w:t>
      </w:r>
      <w:r w:rsidR="004330BB">
        <w:rPr>
          <w:strike/>
          <w:lang w:val="fr-CH"/>
        </w:rPr>
        <w:t xml:space="preserve">prescrites </w:t>
      </w:r>
      <w:r w:rsidR="00B77B7D" w:rsidRPr="00D76EB7">
        <w:rPr>
          <w:strike/>
          <w:lang w:val="fr-CH"/>
        </w:rPr>
        <w:t>ne doivent pas être dépassées.</w:t>
      </w:r>
    </w:p>
    <w:p w:rsidR="00B77B7D" w:rsidRPr="00D76EB7" w:rsidRDefault="00B77B7D" w:rsidP="00D76EB7">
      <w:pPr>
        <w:pStyle w:val="SingleTxt"/>
        <w:ind w:left="2218" w:hanging="951"/>
        <w:rPr>
          <w:b/>
          <w:lang w:val="fr-CH"/>
        </w:rPr>
      </w:pPr>
      <w:r w:rsidRPr="00D76EB7">
        <w:rPr>
          <w:b/>
          <w:bCs/>
          <w:lang w:val="fr-CH"/>
        </w:rPr>
        <w:lastRenderedPageBreak/>
        <w:t>6.4.1</w:t>
      </w:r>
      <w:r w:rsidRPr="00D76EB7">
        <w:rPr>
          <w:lang w:val="fr-CH"/>
        </w:rPr>
        <w:tab/>
      </w:r>
      <w:r w:rsidR="00D76EB7" w:rsidRPr="00D76EB7">
        <w:rPr>
          <w:lang w:val="fr-CH"/>
        </w:rPr>
        <w:tab/>
      </w:r>
      <w:r w:rsidRPr="00D76EB7">
        <w:rPr>
          <w:b/>
          <w:bCs/>
          <w:lang w:val="fr-CH"/>
        </w:rPr>
        <w:t>Un groupe de sources lumineuses, branchées de manière qu’en cas de défaillance de l’une d’elles toutes les autres s’arrêtent d’émettre de la lumière, doit être considéré comme une seule et même source lumineuse.</w:t>
      </w:r>
    </w:p>
    <w:p w:rsidR="00B77B7D" w:rsidRPr="00D76EB7" w:rsidRDefault="00B77B7D" w:rsidP="00D76EB7">
      <w:pPr>
        <w:pStyle w:val="SingleTxt"/>
        <w:ind w:left="2218" w:hanging="951"/>
        <w:rPr>
          <w:b/>
          <w:lang w:val="fr-CH"/>
        </w:rPr>
      </w:pPr>
      <w:r w:rsidRPr="00D76EB7">
        <w:rPr>
          <w:b/>
          <w:bCs/>
          <w:lang w:val="fr-CH"/>
        </w:rPr>
        <w:t>6.4.2</w:t>
      </w:r>
      <w:r w:rsidRPr="00D76EB7">
        <w:rPr>
          <w:lang w:val="fr-CH"/>
        </w:rPr>
        <w:tab/>
      </w:r>
      <w:r w:rsidR="00D76EB7" w:rsidRPr="00D76EB7">
        <w:rPr>
          <w:lang w:val="fr-CH"/>
        </w:rPr>
        <w:tab/>
      </w:r>
      <w:r w:rsidRPr="00D76EB7">
        <w:rPr>
          <w:b/>
          <w:bCs/>
          <w:lang w:val="fr-CH"/>
        </w:rPr>
        <w:t>En cas de défaillance de l’une des sources lumineuses d’un feu simple qui en contient plusieurs, l’une des dispositions suivantes s’applique</w:t>
      </w:r>
      <w:r w:rsidR="004330BB">
        <w:rPr>
          <w:b/>
          <w:bCs/>
          <w:lang w:val="fr-CH"/>
        </w:rPr>
        <w:t> </w:t>
      </w:r>
      <w:r w:rsidRPr="00D76EB7">
        <w:rPr>
          <w:b/>
          <w:bCs/>
          <w:lang w:val="fr-CH"/>
        </w:rPr>
        <w:t>:</w:t>
      </w:r>
    </w:p>
    <w:p w:rsidR="00B77B7D" w:rsidRPr="00D76EB7" w:rsidRDefault="00D76EB7" w:rsidP="00DD4D6D">
      <w:pPr>
        <w:pStyle w:val="SingleTxt"/>
        <w:ind w:left="2693" w:hanging="1426"/>
        <w:rPr>
          <w:b/>
          <w:lang w:val="fr-CH"/>
        </w:rPr>
      </w:pPr>
      <w:r w:rsidRPr="00D76EB7">
        <w:rPr>
          <w:b/>
          <w:bCs/>
          <w:lang w:val="fr-CH"/>
        </w:rPr>
        <w:tab/>
      </w:r>
      <w:r w:rsidRPr="00D76EB7">
        <w:rPr>
          <w:b/>
          <w:bCs/>
          <w:lang w:val="fr-CH"/>
        </w:rPr>
        <w:tab/>
      </w:r>
      <w:r w:rsidR="00B77B7D" w:rsidRPr="00D76EB7">
        <w:rPr>
          <w:b/>
          <w:bCs/>
          <w:lang w:val="fr-CH"/>
        </w:rPr>
        <w:t>a)</w:t>
      </w:r>
      <w:r w:rsidR="00B77B7D" w:rsidRPr="00D76EB7">
        <w:rPr>
          <w:lang w:val="fr-CH"/>
        </w:rPr>
        <w:tab/>
      </w:r>
      <w:r w:rsidR="00B77B7D" w:rsidRPr="00D76EB7">
        <w:rPr>
          <w:b/>
          <w:bCs/>
          <w:lang w:val="fr-CH"/>
        </w:rPr>
        <w:t>L’intensité lumineuse doit être conforme à l’intensité minimale prescrite dans le tableau de répartition lumineuse spatiale normalisée de l’</w:t>
      </w:r>
      <w:r w:rsidR="004330BB">
        <w:rPr>
          <w:b/>
          <w:bCs/>
          <w:lang w:val="fr-CH"/>
        </w:rPr>
        <w:t>annexe 3 (f</w:t>
      </w:r>
      <w:r w:rsidR="00B77B7D" w:rsidRPr="00D76EB7">
        <w:rPr>
          <w:b/>
          <w:bCs/>
          <w:lang w:val="fr-CH"/>
        </w:rPr>
        <w:t>ig</w:t>
      </w:r>
      <w:r w:rsidR="004330BB">
        <w:rPr>
          <w:b/>
          <w:bCs/>
          <w:lang w:val="fr-CH"/>
        </w:rPr>
        <w:t>. </w:t>
      </w:r>
      <w:r w:rsidR="00B77B7D" w:rsidRPr="00D76EB7">
        <w:rPr>
          <w:b/>
          <w:bCs/>
          <w:lang w:val="fr-CH"/>
        </w:rPr>
        <w:t>1)</w:t>
      </w:r>
      <w:r w:rsidR="00DD4D6D">
        <w:rPr>
          <w:b/>
          <w:bCs/>
          <w:lang w:val="fr-CH"/>
        </w:rPr>
        <w:t>;</w:t>
      </w:r>
      <w:r w:rsidR="00B77B7D" w:rsidRPr="00D76EB7">
        <w:rPr>
          <w:b/>
          <w:bCs/>
          <w:lang w:val="fr-CH"/>
        </w:rPr>
        <w:t xml:space="preserve"> ou</w:t>
      </w:r>
    </w:p>
    <w:p w:rsidR="00B77B7D" w:rsidRPr="00D76EB7" w:rsidRDefault="00D76EB7" w:rsidP="009B6632">
      <w:pPr>
        <w:pStyle w:val="SingleTxt"/>
        <w:ind w:left="2693" w:hanging="1426"/>
        <w:rPr>
          <w:lang w:val="fr-CH"/>
        </w:rPr>
      </w:pPr>
      <w:r w:rsidRPr="00D76EB7">
        <w:rPr>
          <w:b/>
          <w:bCs/>
          <w:lang w:val="fr-CH"/>
        </w:rPr>
        <w:tab/>
      </w:r>
      <w:r w:rsidRPr="00D76EB7">
        <w:rPr>
          <w:b/>
          <w:bCs/>
          <w:lang w:val="fr-CH"/>
        </w:rPr>
        <w:tab/>
      </w:r>
      <w:r w:rsidR="00B77B7D" w:rsidRPr="00D76EB7">
        <w:rPr>
          <w:b/>
          <w:bCs/>
          <w:lang w:val="fr-CH"/>
        </w:rPr>
        <w:t>b)</w:t>
      </w:r>
      <w:r w:rsidR="00B77B7D" w:rsidRPr="00D76EB7">
        <w:rPr>
          <w:lang w:val="fr-CH"/>
        </w:rPr>
        <w:tab/>
      </w:r>
      <w:r w:rsidR="00B77B7D" w:rsidRPr="009B6632">
        <w:rPr>
          <w:rFonts w:ascii="Times New Roman Bold" w:hAnsi="Times New Roman Bold"/>
          <w:b/>
          <w:bCs/>
          <w:spacing w:val="0"/>
          <w:lang w:val="fr-CH"/>
        </w:rPr>
        <w:t xml:space="preserve">L’intensité lumineuse à 45°R </w:t>
      </w:r>
      <w:r w:rsidR="004330BB" w:rsidRPr="009B6632">
        <w:rPr>
          <w:rFonts w:ascii="Times New Roman Bold" w:hAnsi="Times New Roman Bold"/>
          <w:b/>
          <w:bCs/>
          <w:spacing w:val="0"/>
          <w:lang w:val="fr-CH"/>
        </w:rPr>
        <w:t>-</w:t>
      </w:r>
      <w:r w:rsidR="00B77B7D" w:rsidRPr="009B6632">
        <w:rPr>
          <w:rFonts w:ascii="Times New Roman Bold" w:hAnsi="Times New Roman Bold"/>
          <w:b/>
          <w:bCs/>
          <w:spacing w:val="0"/>
          <w:lang w:val="fr-CH"/>
        </w:rPr>
        <w:t xml:space="preserve"> 2,5D (pour </w:t>
      </w:r>
      <w:r w:rsidR="004330BB" w:rsidRPr="009B6632">
        <w:rPr>
          <w:rFonts w:ascii="Times New Roman Bold" w:hAnsi="Times New Roman Bold"/>
          <w:b/>
          <w:bCs/>
          <w:spacing w:val="0"/>
          <w:lang w:val="fr-CH"/>
        </w:rPr>
        <w:t xml:space="preserve">le feu </w:t>
      </w:r>
      <w:r w:rsidR="00B77B7D" w:rsidRPr="009B6632">
        <w:rPr>
          <w:rFonts w:ascii="Times New Roman Bold" w:hAnsi="Times New Roman Bold"/>
          <w:b/>
          <w:bCs/>
          <w:spacing w:val="0"/>
          <w:lang w:val="fr-CH"/>
        </w:rPr>
        <w:t>droit) ou 45°L</w:t>
      </w:r>
      <w:r w:rsidR="004330BB" w:rsidRPr="009B6632">
        <w:rPr>
          <w:rFonts w:ascii="Times New Roman Bold" w:hAnsi="Times New Roman Bold"/>
          <w:b/>
          <w:bCs/>
          <w:spacing w:val="0"/>
          <w:lang w:val="fr-CH"/>
        </w:rPr>
        <w:t xml:space="preserve"> -</w:t>
      </w:r>
      <w:r w:rsidR="00B77B7D" w:rsidRPr="009B6632">
        <w:rPr>
          <w:rFonts w:ascii="Times New Roman Bold" w:hAnsi="Times New Roman Bold"/>
          <w:b/>
          <w:bCs/>
          <w:spacing w:val="0"/>
          <w:lang w:val="fr-CH"/>
        </w:rPr>
        <w:t xml:space="preserve"> 2,5D (pour </w:t>
      </w:r>
      <w:r w:rsidR="004330BB" w:rsidRPr="009B6632">
        <w:rPr>
          <w:rFonts w:ascii="Times New Roman Bold" w:hAnsi="Times New Roman Bold"/>
          <w:b/>
          <w:bCs/>
          <w:spacing w:val="0"/>
          <w:lang w:val="fr-CH"/>
        </w:rPr>
        <w:t xml:space="preserve">le feu </w:t>
      </w:r>
      <w:r w:rsidR="00B77B7D" w:rsidRPr="009B6632">
        <w:rPr>
          <w:rFonts w:ascii="Times New Roman Bold" w:hAnsi="Times New Roman Bold"/>
          <w:b/>
          <w:bCs/>
          <w:spacing w:val="0"/>
          <w:lang w:val="fr-CH"/>
        </w:rPr>
        <w:t>gauche</w:t>
      </w:r>
      <w:r w:rsidR="004330BB" w:rsidRPr="009B6632">
        <w:rPr>
          <w:rFonts w:ascii="Times New Roman Bold" w:hAnsi="Times New Roman Bold"/>
          <w:b/>
          <w:bCs/>
          <w:spacing w:val="0"/>
          <w:lang w:val="fr-CH"/>
        </w:rPr>
        <w:t>) doit être au moins égale à 50 </w:t>
      </w:r>
      <w:r w:rsidR="00B77B7D" w:rsidRPr="009B6632">
        <w:rPr>
          <w:rFonts w:ascii="Times New Roman Bold" w:hAnsi="Times New Roman Bold"/>
          <w:b/>
          <w:bCs/>
          <w:spacing w:val="0"/>
          <w:lang w:val="fr-CH"/>
        </w:rPr>
        <w:t>% de la valeur minimale prescrite, à condition qu’il soit fait mention dans la fiche de communication que le feu en question ne peut être utilisé que sur un véhicule équipé d’un témoin de fonctionnement signalant la défaillance de l’une quelconque des sources lumineuses</w:t>
      </w:r>
      <w:r w:rsidR="00B77B7D" w:rsidRPr="00D76EB7">
        <w:rPr>
          <w:b/>
          <w:bCs/>
          <w:lang w:val="fr-CH"/>
        </w:rPr>
        <w:t>.</w:t>
      </w:r>
      <w:r w:rsidR="00B77B7D" w:rsidRPr="00D76EB7">
        <w:rPr>
          <w:lang w:val="fr-CH"/>
        </w:rPr>
        <w:t> »</w:t>
      </w:r>
      <w:r w:rsidR="004330BB">
        <w:rPr>
          <w:lang w:val="fr-CH"/>
        </w:rPr>
        <w:t>.</w:t>
      </w:r>
    </w:p>
    <w:p w:rsidR="00B77B7D" w:rsidRPr="00D76EB7" w:rsidRDefault="00B77B7D" w:rsidP="00B77B7D">
      <w:pPr>
        <w:pStyle w:val="SingleTxt"/>
        <w:rPr>
          <w:lang w:val="fr-CH"/>
        </w:rPr>
      </w:pPr>
      <w:r w:rsidRPr="00D76EB7">
        <w:rPr>
          <w:i/>
          <w:iCs/>
          <w:lang w:val="fr-CH"/>
        </w:rPr>
        <w:t>Annexe 1, point 9</w:t>
      </w:r>
      <w:r w:rsidRPr="00D76EB7">
        <w:rPr>
          <w:lang w:val="fr-CH"/>
        </w:rPr>
        <w:t>, modifier comme suit</w:t>
      </w:r>
      <w:r w:rsidR="004330BB">
        <w:rPr>
          <w:lang w:val="fr-CH"/>
        </w:rPr>
        <w:t> </w:t>
      </w:r>
      <w:r w:rsidRPr="00D76EB7">
        <w:rPr>
          <w:lang w:val="fr-CH"/>
        </w:rPr>
        <w:t>:</w:t>
      </w:r>
    </w:p>
    <w:p w:rsidR="00B77B7D" w:rsidRPr="00D76EB7" w:rsidRDefault="00B77B7D" w:rsidP="00B77B7D">
      <w:pPr>
        <w:pStyle w:val="SingleTxt"/>
        <w:rPr>
          <w:lang w:val="fr-CH"/>
        </w:rPr>
      </w:pPr>
      <w:r w:rsidRPr="00D76EB7">
        <w:rPr>
          <w:lang w:val="fr-CH"/>
        </w:rPr>
        <w:t>« 9</w:t>
      </w:r>
      <w:r w:rsidR="004330BB">
        <w:rPr>
          <w:lang w:val="fr-CH"/>
        </w:rPr>
        <w:t>.</w:t>
      </w:r>
      <w:r w:rsidRPr="00D76EB7">
        <w:rPr>
          <w:lang w:val="fr-CH"/>
        </w:rPr>
        <w:tab/>
      </w:r>
      <w:r w:rsidR="00D76EB7" w:rsidRPr="00D76EB7">
        <w:rPr>
          <w:lang w:val="fr-CH"/>
        </w:rPr>
        <w:tab/>
      </w:r>
      <w:r w:rsidRPr="00D76EB7">
        <w:rPr>
          <w:lang w:val="fr-CH"/>
        </w:rPr>
        <w:t>Description sommaire</w:t>
      </w:r>
      <w:r w:rsidR="004330BB">
        <w:rPr>
          <w:lang w:val="fr-CH"/>
        </w:rPr>
        <w:t> </w:t>
      </w:r>
      <w:r w:rsidRPr="00D76EB7">
        <w:rPr>
          <w:lang w:val="fr-CH"/>
        </w:rPr>
        <w:t>:</w:t>
      </w:r>
    </w:p>
    <w:p w:rsidR="00B77B7D" w:rsidRPr="00D76EB7" w:rsidRDefault="00D76EB7" w:rsidP="00B77B7D">
      <w:pPr>
        <w:pStyle w:val="SingleTxt"/>
        <w:rPr>
          <w:lang w:val="fr-CH"/>
        </w:rPr>
      </w:pPr>
      <w:r w:rsidRPr="00D76EB7">
        <w:rPr>
          <w:lang w:val="fr-CH"/>
        </w:rPr>
        <w:tab/>
      </w:r>
      <w:r w:rsidRPr="00D76EB7">
        <w:rPr>
          <w:lang w:val="fr-CH"/>
        </w:rPr>
        <w:tab/>
      </w:r>
      <w:r w:rsidR="004330BB">
        <w:rPr>
          <w:lang w:val="fr-CH"/>
        </w:rPr>
        <w:t>Par catégorie de feu </w:t>
      </w:r>
      <w:r w:rsidR="00B77B7D" w:rsidRPr="00D76EB7">
        <w:rPr>
          <w:lang w:val="fr-CH"/>
        </w:rPr>
        <w:t>:</w:t>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4330BB">
        <w:rPr>
          <w:lang w:val="fr-CH"/>
        </w:rPr>
        <w:t>S</w:t>
      </w:r>
      <w:r w:rsidR="00B77B7D" w:rsidRPr="00D76EB7">
        <w:rPr>
          <w:lang w:val="fr-CH"/>
        </w:rPr>
        <w:t>ources lumineuses</w:t>
      </w:r>
      <w:r w:rsidR="004330BB">
        <w:rPr>
          <w:lang w:val="fr-CH"/>
        </w:rPr>
        <w:t xml:space="preserve"> – n</w:t>
      </w:r>
      <w:r w:rsidR="004330BB" w:rsidRPr="00D76EB7">
        <w:rPr>
          <w:lang w:val="fr-CH"/>
        </w:rPr>
        <w:t>ombre, catégorie et type</w:t>
      </w:r>
      <w:r w:rsidR="004330BB" w:rsidRPr="004330BB">
        <w:rPr>
          <w:vertAlign w:val="superscript"/>
          <w:lang w:val="fr-CH"/>
        </w:rPr>
        <w:t>1</w:t>
      </w:r>
      <w:r w:rsidR="004330BB" w:rsidRPr="004330BB">
        <w:t> </w:t>
      </w:r>
      <w:r w:rsidR="00B77B7D" w:rsidRPr="00D76EB7">
        <w:rPr>
          <w:lang w:val="fr-CH"/>
        </w:rPr>
        <w:t>:</w:t>
      </w:r>
      <w:r w:rsidR="004330BB">
        <w:rPr>
          <w:lang w:val="fr-CH"/>
        </w:rPr>
        <w:tab/>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Tension et puissance</w:t>
      </w:r>
      <w:r w:rsidR="004330BB">
        <w:rPr>
          <w:lang w:val="fr-CH"/>
        </w:rPr>
        <w:t> :</w:t>
      </w:r>
      <w:r w:rsidR="004330BB">
        <w:rPr>
          <w:lang w:val="fr-CH"/>
        </w:rPr>
        <w:tab/>
      </w:r>
    </w:p>
    <w:p w:rsidR="00B77B7D" w:rsidRPr="00D76EB7" w:rsidRDefault="00D76EB7"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Module d’éclairage</w:t>
      </w:r>
      <w:r w:rsidR="004330BB">
        <w:rPr>
          <w:lang w:val="fr-CH"/>
        </w:rPr>
        <w:t> </w:t>
      </w:r>
      <w:r w:rsidR="00B77B7D" w:rsidRPr="00D76EB7">
        <w:rPr>
          <w:lang w:val="fr-CH"/>
        </w:rPr>
        <w:t>:</w:t>
      </w:r>
      <w:r w:rsidR="00B77B7D" w:rsidRPr="00D76EB7">
        <w:rPr>
          <w:lang w:val="fr-CH"/>
        </w:rPr>
        <w:tab/>
        <w:t>oui/non</w:t>
      </w:r>
      <w:r w:rsidR="00B77B7D" w:rsidRPr="00D76EB7">
        <w:rPr>
          <w:vertAlign w:val="superscript"/>
          <w:lang w:val="fr-CH"/>
        </w:rPr>
        <w:t>2</w:t>
      </w:r>
    </w:p>
    <w:p w:rsidR="00B77B7D" w:rsidRPr="00D76EB7" w:rsidRDefault="00D76EB7" w:rsidP="00F64C02">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Code d’identification du module d’</w:t>
      </w:r>
      <w:r w:rsidR="004330BB">
        <w:rPr>
          <w:lang w:val="fr-CH"/>
        </w:rPr>
        <w:t>éclairage :</w:t>
      </w:r>
      <w:r w:rsidR="00B77B7D" w:rsidRPr="00D76EB7">
        <w:rPr>
          <w:lang w:val="fr-CH"/>
        </w:rPr>
        <w:tab/>
      </w:r>
    </w:p>
    <w:p w:rsidR="00B77B7D" w:rsidRPr="00D76EB7" w:rsidRDefault="00D76EB7" w:rsidP="00F64C02">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Demande concernant un module électronique de régulation</w:t>
      </w:r>
      <w:r w:rsidR="004330BB">
        <w:rPr>
          <w:lang w:val="fr-CH"/>
        </w:rPr>
        <w:t> </w:t>
      </w:r>
      <w:r w:rsidR="00B77B7D" w:rsidRPr="00D76EB7">
        <w:rPr>
          <w:lang w:val="fr-CH"/>
        </w:rPr>
        <w:t>:</w:t>
      </w:r>
    </w:p>
    <w:p w:rsidR="00B77B7D" w:rsidRPr="00D76EB7" w:rsidRDefault="00D76EB7"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t>a</w:t>
      </w:r>
      <w:r w:rsidR="00B77B7D" w:rsidRPr="00D76EB7">
        <w:rPr>
          <w:lang w:val="fr-CH"/>
        </w:rPr>
        <w:t>)</w:t>
      </w:r>
      <w:r w:rsidRPr="00D76EB7">
        <w:rPr>
          <w:lang w:val="fr-CH"/>
        </w:rPr>
        <w:tab/>
      </w:r>
      <w:r w:rsidR="00B77B7D" w:rsidRPr="00D76EB7">
        <w:rPr>
          <w:lang w:val="fr-CH"/>
        </w:rPr>
        <w:t>Faisant partie du feu</w:t>
      </w:r>
      <w:r w:rsidR="004330BB">
        <w:rPr>
          <w:lang w:val="fr-CH"/>
        </w:rPr>
        <w:t> :</w:t>
      </w:r>
      <w:r w:rsidR="00B77B7D" w:rsidRPr="00D76EB7">
        <w:rPr>
          <w:lang w:val="fr-CH"/>
        </w:rPr>
        <w:tab/>
        <w:t>oui/non</w:t>
      </w:r>
      <w:r w:rsidR="00B77B7D" w:rsidRPr="00D76EB7">
        <w:rPr>
          <w:vertAlign w:val="superscript"/>
          <w:lang w:val="fr-CH"/>
        </w:rPr>
        <w:t>2</w:t>
      </w:r>
    </w:p>
    <w:p w:rsidR="00B77B7D" w:rsidRPr="00D76EB7" w:rsidRDefault="00D76EB7"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b)</w:t>
      </w:r>
      <w:r w:rsidRPr="00D76EB7">
        <w:rPr>
          <w:lang w:val="fr-CH"/>
        </w:rPr>
        <w:tab/>
      </w:r>
      <w:r w:rsidR="00B77B7D" w:rsidRPr="00D76EB7">
        <w:rPr>
          <w:lang w:val="fr-CH"/>
        </w:rPr>
        <w:t>Ne faisant pas partie du feu</w:t>
      </w:r>
      <w:r w:rsidR="004330BB">
        <w:rPr>
          <w:lang w:val="fr-CH"/>
        </w:rPr>
        <w:t> :</w:t>
      </w:r>
      <w:r w:rsidR="00B77B7D" w:rsidRPr="00D76EB7">
        <w:rPr>
          <w:lang w:val="fr-CH"/>
        </w:rPr>
        <w:tab/>
        <w:t>oui/non</w:t>
      </w:r>
      <w:r w:rsidR="00B77B7D" w:rsidRPr="00D76EB7">
        <w:rPr>
          <w:vertAlign w:val="superscript"/>
          <w:lang w:val="fr-CH"/>
        </w:rPr>
        <w:t>2</w:t>
      </w:r>
    </w:p>
    <w:p w:rsidR="00B77B7D" w:rsidRPr="00D76EB7" w:rsidRDefault="00D76EB7" w:rsidP="00F64C02">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Tension d’alimentation fournie par le module électronique de régulation</w:t>
      </w:r>
      <w:r w:rsidR="004330BB">
        <w:rPr>
          <w:lang w:val="fr-CH"/>
        </w:rPr>
        <w:t> </w:t>
      </w:r>
      <w:r w:rsidR="00B77B7D" w:rsidRPr="00D76EB7">
        <w:rPr>
          <w:lang w:val="fr-CH"/>
        </w:rPr>
        <w:t xml:space="preserve">: </w:t>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 xml:space="preserve">Fabricant et numéro d’identification </w:t>
      </w:r>
      <w:r w:rsidR="004330BB" w:rsidRPr="00D76EB7">
        <w:rPr>
          <w:lang w:val="fr-CH"/>
        </w:rPr>
        <w:t xml:space="preserve">du module électronique de régulation </w:t>
      </w:r>
      <w:r w:rsidR="00B77B7D" w:rsidRPr="00D76EB7">
        <w:rPr>
          <w:lang w:val="fr-CH"/>
        </w:rPr>
        <w:t>(lorsque le module électronique de régulation fait partie du feu sans être intégré au boîtier)</w:t>
      </w:r>
      <w:r w:rsidR="004330BB">
        <w:rPr>
          <w:lang w:val="fr-CH"/>
        </w:rPr>
        <w:t> </w:t>
      </w:r>
      <w:r w:rsidR="00B77B7D" w:rsidRPr="00D76EB7">
        <w:rPr>
          <w:lang w:val="fr-CH"/>
        </w:rPr>
        <w:t>:</w:t>
      </w:r>
      <w:r w:rsidR="00B77B7D" w:rsidRPr="00D76EB7">
        <w:rPr>
          <w:lang w:val="fr-CH"/>
        </w:rPr>
        <w:tab/>
      </w:r>
    </w:p>
    <w:p w:rsidR="00B77B7D" w:rsidRPr="00D76EB7" w:rsidRDefault="00D76EB7" w:rsidP="004330BB">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lang w:val="fr-CH"/>
        </w:rPr>
        <w:tab/>
      </w:r>
      <w:r w:rsidRPr="00D76EB7">
        <w:rPr>
          <w:lang w:val="fr-CH"/>
        </w:rPr>
        <w:tab/>
      </w:r>
      <w:r w:rsidR="00B77B7D" w:rsidRPr="00D76EB7">
        <w:rPr>
          <w:lang w:val="fr-CH"/>
        </w:rPr>
        <w:t>Conditions géométriques d’installation et variations éventuelles</w:t>
      </w:r>
      <w:r w:rsidR="004330BB">
        <w:rPr>
          <w:lang w:val="fr-CH"/>
        </w:rPr>
        <w:t> </w:t>
      </w:r>
      <w:r w:rsidR="00B77B7D" w:rsidRPr="00D76EB7">
        <w:rPr>
          <w:lang w:val="fr-CH"/>
        </w:rPr>
        <w:t>:</w:t>
      </w:r>
      <w:r w:rsidR="00B77B7D" w:rsidRPr="00D76EB7">
        <w:rPr>
          <w:lang w:val="fr-CH"/>
        </w:rPr>
        <w:tab/>
      </w:r>
    </w:p>
    <w:p w:rsidR="00B77B7D" w:rsidRPr="00D76EB7" w:rsidRDefault="00D76EB7" w:rsidP="00D76EB7">
      <w:pPr>
        <w:pStyle w:val="SingleTxt"/>
        <w:tabs>
          <w:tab w:val="clear" w:pos="3182"/>
          <w:tab w:val="clear" w:pos="3658"/>
          <w:tab w:val="clear" w:pos="4133"/>
          <w:tab w:val="clear" w:pos="4622"/>
          <w:tab w:val="clear" w:pos="5098"/>
          <w:tab w:val="clear" w:pos="5573"/>
          <w:tab w:val="clear" w:pos="6048"/>
          <w:tab w:val="right" w:leader="dot" w:pos="8784"/>
        </w:tabs>
        <w:ind w:left="2217" w:hanging="950"/>
        <w:rPr>
          <w:lang w:val="fr-CH"/>
        </w:rPr>
      </w:pPr>
      <w:r w:rsidRPr="00D76EB7">
        <w:rPr>
          <w:b/>
          <w:bCs/>
          <w:lang w:val="fr-CH"/>
        </w:rPr>
        <w:tab/>
      </w:r>
      <w:r w:rsidRPr="00D76EB7">
        <w:rPr>
          <w:b/>
          <w:bCs/>
          <w:lang w:val="fr-CH"/>
        </w:rPr>
        <w:tab/>
      </w:r>
      <w:r w:rsidR="00B77B7D" w:rsidRPr="00D76EB7">
        <w:rPr>
          <w:b/>
          <w:bCs/>
          <w:lang w:val="fr-CH"/>
        </w:rPr>
        <w:t>Le feu ne peut être utilisé que sur un véhicule équipé d’un témoin indiqua</w:t>
      </w:r>
      <w:r w:rsidRPr="00D76EB7">
        <w:rPr>
          <w:b/>
          <w:bCs/>
          <w:lang w:val="fr-CH"/>
        </w:rPr>
        <w:t>nt un défaut de fonctionnement :</w:t>
      </w:r>
      <w:r w:rsidRPr="00D76EB7">
        <w:rPr>
          <w:b/>
          <w:bCs/>
          <w:lang w:val="fr-CH"/>
        </w:rPr>
        <w:tab/>
      </w:r>
      <w:r w:rsidR="00B77B7D" w:rsidRPr="00D76EB7">
        <w:rPr>
          <w:b/>
          <w:bCs/>
          <w:lang w:val="fr-CH"/>
        </w:rPr>
        <w:t>oui/non</w:t>
      </w:r>
      <w:r w:rsidR="00B77B7D" w:rsidRPr="00D76EB7">
        <w:rPr>
          <w:b/>
          <w:bCs/>
          <w:vertAlign w:val="superscript"/>
          <w:lang w:val="fr-CH"/>
        </w:rPr>
        <w:t>2</w:t>
      </w:r>
    </w:p>
    <w:p w:rsidR="00B77B7D" w:rsidRPr="00D76EB7" w:rsidRDefault="00D76EB7" w:rsidP="00D76EB7">
      <w:pPr>
        <w:pStyle w:val="SingleTxt"/>
        <w:ind w:hanging="432"/>
        <w:rPr>
          <w:lang w:val="fr-CH"/>
        </w:rPr>
      </w:pPr>
      <w:r w:rsidRPr="00D76EB7">
        <w:rPr>
          <w:lang w:val="fr-CH"/>
        </w:rPr>
        <w:t>______________</w:t>
      </w:r>
    </w:p>
    <w:p w:rsidR="00B77B7D" w:rsidRPr="00D76EB7" w:rsidRDefault="00D76EB7" w:rsidP="00D76EB7">
      <w:pPr>
        <w:pStyle w:val="FootnoteText"/>
        <w:tabs>
          <w:tab w:val="right" w:pos="1476"/>
          <w:tab w:val="left" w:pos="1548"/>
          <w:tab w:val="right" w:pos="1836"/>
          <w:tab w:val="left" w:pos="1908"/>
        </w:tabs>
        <w:ind w:left="1548" w:right="1267" w:hanging="288"/>
        <w:rPr>
          <w:lang w:val="fr-CH"/>
        </w:rPr>
      </w:pPr>
      <w:r w:rsidRPr="00D76EB7">
        <w:rPr>
          <w:vertAlign w:val="superscript"/>
          <w:lang w:val="fr-CH"/>
        </w:rPr>
        <w:tab/>
      </w:r>
      <w:r w:rsidR="00B77B7D" w:rsidRPr="00D76EB7">
        <w:rPr>
          <w:vertAlign w:val="superscript"/>
          <w:lang w:val="fr-CH"/>
        </w:rPr>
        <w:t>1</w:t>
      </w:r>
      <w:r w:rsidRPr="00D76EB7">
        <w:rPr>
          <w:vertAlign w:val="superscript"/>
          <w:lang w:val="fr-CH"/>
        </w:rPr>
        <w:tab/>
      </w:r>
      <w:r w:rsidR="00B77B7D" w:rsidRPr="00D76EB7">
        <w:rPr>
          <w:lang w:val="fr-CH"/>
        </w:rPr>
        <w:t>Pour les feux d’angle à sources lumineuses non remplaçables, indiquer le nombre et la puissance totale des sources lumineuses utilisées.</w:t>
      </w:r>
    </w:p>
    <w:p w:rsidR="00B77B7D" w:rsidRPr="00D76EB7" w:rsidRDefault="00D76EB7" w:rsidP="00D76EB7">
      <w:pPr>
        <w:pStyle w:val="FootnoteText"/>
        <w:tabs>
          <w:tab w:val="right" w:pos="1476"/>
          <w:tab w:val="left" w:pos="1548"/>
          <w:tab w:val="right" w:pos="1836"/>
          <w:tab w:val="left" w:pos="1908"/>
        </w:tabs>
        <w:ind w:left="1548" w:right="1267" w:hanging="288"/>
        <w:rPr>
          <w:lang w:val="fr-CH"/>
        </w:rPr>
      </w:pPr>
      <w:r w:rsidRPr="00D76EB7">
        <w:rPr>
          <w:vertAlign w:val="superscript"/>
          <w:lang w:val="fr-CH"/>
        </w:rPr>
        <w:tab/>
      </w:r>
      <w:r w:rsidR="00B77B7D" w:rsidRPr="00D76EB7">
        <w:rPr>
          <w:vertAlign w:val="superscript"/>
          <w:lang w:val="fr-CH"/>
        </w:rPr>
        <w:t>2</w:t>
      </w:r>
      <w:r w:rsidRPr="00D76EB7">
        <w:rPr>
          <w:vertAlign w:val="superscript"/>
          <w:lang w:val="fr-CH"/>
        </w:rPr>
        <w:tab/>
      </w:r>
      <w:r w:rsidR="00B77B7D" w:rsidRPr="00D76EB7">
        <w:rPr>
          <w:lang w:val="fr-CH"/>
        </w:rPr>
        <w:t>Biffer la mention inutile.</w:t>
      </w:r>
      <w:r w:rsidRPr="00D76EB7">
        <w:rPr>
          <w:lang w:val="fr-CH"/>
        </w:rPr>
        <w:t> </w:t>
      </w:r>
      <w:r w:rsidRPr="00D76EB7">
        <w:rPr>
          <w:sz w:val="20"/>
          <w:lang w:val="fr-CH"/>
        </w:rPr>
        <w:t>».</w:t>
      </w:r>
    </w:p>
    <w:p w:rsidR="00B77B7D" w:rsidRPr="00D76EB7" w:rsidRDefault="00B77B7D" w:rsidP="00B77B7D">
      <w:pPr>
        <w:pStyle w:val="SingleTxt"/>
        <w:spacing w:after="0" w:line="120" w:lineRule="exact"/>
        <w:rPr>
          <w:sz w:val="10"/>
          <w:lang w:val="fr-CH"/>
        </w:rPr>
      </w:pPr>
    </w:p>
    <w:p w:rsidR="00D76EB7" w:rsidRPr="00D76EB7" w:rsidRDefault="00D76EB7" w:rsidP="00B77B7D">
      <w:pPr>
        <w:pStyle w:val="SingleTxt"/>
        <w:spacing w:after="0" w:line="120" w:lineRule="exact"/>
        <w:rPr>
          <w:sz w:val="10"/>
          <w:lang w:val="fr-CH"/>
        </w:rPr>
      </w:pPr>
    </w:p>
    <w:p w:rsidR="00D76EB7" w:rsidRPr="00D76EB7" w:rsidRDefault="00D76EB7" w:rsidP="00B77B7D">
      <w:pPr>
        <w:pStyle w:val="SingleTxt"/>
        <w:spacing w:after="0" w:line="120" w:lineRule="exact"/>
        <w:rPr>
          <w:sz w:val="10"/>
          <w:lang w:val="fr-CH"/>
        </w:rPr>
      </w:pPr>
    </w:p>
    <w:p w:rsidR="00B77B7D" w:rsidRPr="00D76EB7" w:rsidRDefault="00B77B7D" w:rsidP="00B77B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76EB7">
        <w:rPr>
          <w:lang w:val="fr-CH"/>
        </w:rPr>
        <w:tab/>
        <w:t>II.</w:t>
      </w:r>
      <w:r w:rsidRPr="00D76EB7">
        <w:rPr>
          <w:lang w:val="fr-CH"/>
        </w:rPr>
        <w:tab/>
        <w:t>Justification</w:t>
      </w:r>
    </w:p>
    <w:p w:rsidR="00B77B7D" w:rsidRPr="00D76EB7" w:rsidRDefault="00B77B7D" w:rsidP="00DD4D6D">
      <w:pPr>
        <w:pStyle w:val="SingleTxt"/>
        <w:keepNext/>
        <w:spacing w:after="0" w:line="120" w:lineRule="exact"/>
        <w:rPr>
          <w:bCs/>
          <w:sz w:val="10"/>
          <w:lang w:val="fr-CH"/>
        </w:rPr>
      </w:pPr>
    </w:p>
    <w:p w:rsidR="00B77B7D" w:rsidRPr="00D76EB7" w:rsidRDefault="00B77B7D" w:rsidP="00DD4D6D">
      <w:pPr>
        <w:pStyle w:val="SingleTxt"/>
        <w:keepNext/>
        <w:spacing w:after="0" w:line="120" w:lineRule="exact"/>
        <w:rPr>
          <w:bCs/>
          <w:sz w:val="10"/>
          <w:lang w:val="fr-CH"/>
        </w:rPr>
      </w:pPr>
    </w:p>
    <w:p w:rsidR="00B77B7D" w:rsidRPr="00D76EB7" w:rsidRDefault="00B77B7D" w:rsidP="00DD4D6D">
      <w:pPr>
        <w:pStyle w:val="SingleTxt"/>
        <w:keepLines/>
        <w:numPr>
          <w:ilvl w:val="0"/>
          <w:numId w:val="6"/>
        </w:numPr>
        <w:tabs>
          <w:tab w:val="clear" w:pos="475"/>
          <w:tab w:val="num" w:pos="1742"/>
        </w:tabs>
        <w:ind w:left="1267"/>
        <w:rPr>
          <w:bCs/>
          <w:lang w:val="fr-CH"/>
        </w:rPr>
      </w:pPr>
      <w:r w:rsidRPr="00D76EB7">
        <w:rPr>
          <w:lang w:val="fr-CH"/>
        </w:rPr>
        <w:t>La présente proposition porte sur les feux comportant plusieurs sources lumineuses et équipés d’un témoin de fonctionnement pour signaler toute défaillance de l’une d’entre elles. Les prescriptions actuelles pour le cas de la défaillance d’une source lumineuse (prescription « N-1 ») sont difficiles à appliquer, car il faut effectuer un contrôle photométrique complet pour tous les cas possibles de défaillance de source lumineuse.</w:t>
      </w:r>
    </w:p>
    <w:p w:rsidR="00B77B7D" w:rsidRPr="00D76EB7" w:rsidRDefault="00B77B7D" w:rsidP="00B77B7D">
      <w:pPr>
        <w:pStyle w:val="SingleTxt"/>
        <w:numPr>
          <w:ilvl w:val="0"/>
          <w:numId w:val="6"/>
        </w:numPr>
        <w:tabs>
          <w:tab w:val="clear" w:pos="475"/>
          <w:tab w:val="num" w:pos="1742"/>
        </w:tabs>
        <w:ind w:left="1267"/>
        <w:rPr>
          <w:bCs/>
          <w:lang w:val="fr-CH"/>
        </w:rPr>
      </w:pPr>
      <w:r w:rsidRPr="00D76EB7">
        <w:rPr>
          <w:lang w:val="fr-CH"/>
        </w:rPr>
        <w:lastRenderedPageBreak/>
        <w:t>Une proposition précédente (ECE/TRANS/WP.29/GRE/2015/8, ECE/TRANS/</w:t>
      </w:r>
      <w:r w:rsidR="00DD4D6D">
        <w:rPr>
          <w:lang w:val="fr-CH"/>
        </w:rPr>
        <w:br/>
      </w:r>
      <w:r w:rsidRPr="00D76EB7">
        <w:rPr>
          <w:lang w:val="fr-CH"/>
        </w:rPr>
        <w:t>WP.29/GRE/2015/10, ECE/TRANS/WP.29/GRE/2015/11, ECE/TRANS/WP.29/GRE/</w:t>
      </w:r>
      <w:r w:rsidR="00DD4D6D">
        <w:rPr>
          <w:lang w:val="fr-CH"/>
        </w:rPr>
        <w:br/>
      </w:r>
      <w:r w:rsidRPr="00D76EB7">
        <w:rPr>
          <w:lang w:val="fr-CH"/>
        </w:rPr>
        <w:t>2015/12, ECE/TRANS/WP.29/GRE/2015/14 et ECE/TRANS/WP.29/GRE/2015/18) a déjà fait l’objet d’un débat au GRE à sa soixante-treizième session. À la suite d’observations formulées par les experts de l’Allemagne et des Pays-Bas, le GRE a prié le GTB de réviser la proposition afin de répondre aux préoccupations suscitées par la visibilité géométrique des feux en cas de défaillance d’une source lumineuse. Les experts de l’Allemagne et des Pays-Bas s’inquiétaient du fait que la seule vérification de la conformité aux prescriptions photométriques par rapport à l’axe du véhicule, en cas de défaillance d’une source lumineuse, ne saurait garantir une visibilité géométrique suffisante. La proposition a donc été modifiée de telle façon que la conformité soit exigée à tous les points de la grille photométrique.</w:t>
      </w:r>
    </w:p>
    <w:p w:rsidR="00B77B7D" w:rsidRPr="00D76EB7" w:rsidRDefault="00B77B7D" w:rsidP="00B77B7D">
      <w:pPr>
        <w:pStyle w:val="SingleTxt"/>
        <w:numPr>
          <w:ilvl w:val="0"/>
          <w:numId w:val="6"/>
        </w:numPr>
        <w:tabs>
          <w:tab w:val="clear" w:pos="475"/>
          <w:tab w:val="num" w:pos="1742"/>
        </w:tabs>
        <w:ind w:left="1267"/>
        <w:rPr>
          <w:bCs/>
          <w:lang w:val="fr-CH"/>
        </w:rPr>
      </w:pPr>
      <w:r w:rsidRPr="00D76EB7">
        <w:rPr>
          <w:lang w:val="fr-CH"/>
        </w:rPr>
        <w:t>Le texte révisé, qui prend en compte les préoccupations des experts de l’Allemagne et des Pays-Bas, applique les principes suivants</w:t>
      </w:r>
      <w:r w:rsidR="00DD4D6D">
        <w:rPr>
          <w:lang w:val="fr-CH"/>
        </w:rPr>
        <w:t> </w:t>
      </w:r>
      <w:r w:rsidRPr="00D76EB7">
        <w:rPr>
          <w:lang w:val="fr-CH"/>
        </w:rPr>
        <w:t>:</w:t>
      </w:r>
    </w:p>
    <w:p w:rsidR="00B77B7D" w:rsidRPr="00D76EB7" w:rsidRDefault="00B77B7D" w:rsidP="00B77B7D">
      <w:pPr>
        <w:pStyle w:val="SingleTxt"/>
        <w:rPr>
          <w:bCs/>
          <w:lang w:val="fr-CH"/>
        </w:rPr>
      </w:pPr>
      <w:r w:rsidRPr="00D76EB7">
        <w:rPr>
          <w:lang w:val="fr-CH"/>
        </w:rPr>
        <w:tab/>
        <w:t>a)</w:t>
      </w:r>
      <w:r w:rsidRPr="00D76EB7">
        <w:rPr>
          <w:lang w:val="fr-CH"/>
        </w:rPr>
        <w:tab/>
        <w:t>En cas de défaillance de l’une des sources lumineuses d’un feu simple qui en contient plusieurs, l’une des dispositions suivantes s’applique</w:t>
      </w:r>
      <w:r w:rsidR="00DD4D6D">
        <w:rPr>
          <w:lang w:val="fr-CH"/>
        </w:rPr>
        <w:t> </w:t>
      </w:r>
      <w:r w:rsidRPr="00D76EB7">
        <w:rPr>
          <w:lang w:val="fr-CH"/>
        </w:rPr>
        <w:t>:</w:t>
      </w:r>
    </w:p>
    <w:p w:rsidR="00B77B7D" w:rsidRPr="00D76EB7" w:rsidRDefault="00B77B7D" w:rsidP="00B77B7D">
      <w:pPr>
        <w:pStyle w:val="Bullet1"/>
        <w:rPr>
          <w:bCs/>
          <w:lang w:val="fr-CH"/>
        </w:rPr>
      </w:pPr>
      <w:r w:rsidRPr="00D76EB7">
        <w:rPr>
          <w:lang w:val="fr-CH"/>
        </w:rPr>
        <w:t>L’intensité lumineuse doit être conforme à l’intensité minimale prescrite dans le tableau de répartitio</w:t>
      </w:r>
      <w:r w:rsidR="00DD4D6D">
        <w:rPr>
          <w:lang w:val="fr-CH"/>
        </w:rPr>
        <w:t>n lumineuse spatiale normalisée;</w:t>
      </w:r>
      <w:r w:rsidRPr="00D76EB7">
        <w:rPr>
          <w:lang w:val="fr-CH"/>
        </w:rPr>
        <w:t xml:space="preserve"> ou</w:t>
      </w:r>
    </w:p>
    <w:p w:rsidR="00B77B7D" w:rsidRPr="00D76EB7" w:rsidRDefault="00B77B7D" w:rsidP="00DD4D6D">
      <w:pPr>
        <w:pStyle w:val="Bullet1"/>
        <w:rPr>
          <w:bCs/>
          <w:lang w:val="fr-CH"/>
        </w:rPr>
      </w:pPr>
      <w:r w:rsidRPr="00D76EB7">
        <w:rPr>
          <w:lang w:val="fr-CH"/>
        </w:rPr>
        <w:t>L’intensité lumineuse mesurée sur l’axe de référence doit être égale à 50</w:t>
      </w:r>
      <w:r w:rsidR="00DD4D6D">
        <w:rPr>
          <w:lang w:val="fr-CH"/>
        </w:rPr>
        <w:t> </w:t>
      </w:r>
      <w:r w:rsidRPr="00D76EB7">
        <w:rPr>
          <w:lang w:val="fr-CH"/>
        </w:rPr>
        <w:t>% au moins de la valeur minimale d’intensité requise, à condition qu’il soit fait mention dans la fiche de communication que le feu en question ne peut être utilisé que sur un véhicule équipé d’un témoin de fonctionnement signalant la défaillance de l’une qu</w:t>
      </w:r>
      <w:r w:rsidR="00DD4D6D">
        <w:rPr>
          <w:lang w:val="fr-CH"/>
        </w:rPr>
        <w:t>elconque des sources lumineuses;</w:t>
      </w:r>
    </w:p>
    <w:p w:rsidR="00B77B7D" w:rsidRPr="00D76EB7" w:rsidRDefault="00B77B7D" w:rsidP="005B1C57">
      <w:pPr>
        <w:pStyle w:val="SingleTxt"/>
        <w:rPr>
          <w:bCs/>
          <w:lang w:val="fr-CH"/>
        </w:rPr>
      </w:pPr>
      <w:r w:rsidRPr="00D76EB7">
        <w:rPr>
          <w:lang w:val="fr-CH"/>
        </w:rPr>
        <w:tab/>
        <w:t>b)</w:t>
      </w:r>
      <w:r w:rsidRPr="00D76EB7">
        <w:rPr>
          <w:lang w:val="fr-CH"/>
        </w:rPr>
        <w:tab/>
        <w:t xml:space="preserve">On considère que lorsqu’une défaillance </w:t>
      </w:r>
      <w:r w:rsidR="00DD4D6D">
        <w:rPr>
          <w:lang w:val="fr-CH"/>
        </w:rPr>
        <w:t>se produit dans</w:t>
      </w:r>
      <w:r w:rsidRPr="00D76EB7">
        <w:rPr>
          <w:lang w:val="fr-CH"/>
        </w:rPr>
        <w:t xml:space="preserve"> un feu </w:t>
      </w:r>
      <w:r w:rsidR="00DD4D6D">
        <w:rPr>
          <w:lang w:val="fr-CH"/>
        </w:rPr>
        <w:t xml:space="preserve">simple </w:t>
      </w:r>
      <w:r w:rsidRPr="00D76EB7">
        <w:rPr>
          <w:lang w:val="fr-CH"/>
        </w:rPr>
        <w:t xml:space="preserve">comportant plusieurs sources lumineuses, il est plus sûr de le laisser fonctionner en émettant une lumière réduite que </w:t>
      </w:r>
      <w:r w:rsidR="00DD4D6D">
        <w:rPr>
          <w:lang w:val="fr-CH"/>
        </w:rPr>
        <w:t>de</w:t>
      </w:r>
      <w:r w:rsidRPr="00D76EB7">
        <w:rPr>
          <w:lang w:val="fr-CH"/>
        </w:rPr>
        <w:t xml:space="preserve"> déconnecter toutes les sources lumineuses. Le témoin informe le conducteur de la défaillance et invite à remplacer le feu</w:t>
      </w:r>
      <w:r w:rsidR="00DD4D6D">
        <w:rPr>
          <w:lang w:val="fr-CH"/>
        </w:rPr>
        <w:t>,</w:t>
      </w:r>
      <w:r w:rsidRPr="00D76EB7">
        <w:rPr>
          <w:lang w:val="fr-CH"/>
        </w:rPr>
        <w:t xml:space="preserve"> mais, dans l’intervalle, les sources lumineuses restantes continuent de signaler la présence du véhicule aux autres usagers de la route.</w:t>
      </w:r>
    </w:p>
    <w:p w:rsidR="0019596D" w:rsidRPr="00D76EB7" w:rsidRDefault="00B77B7D" w:rsidP="00B77B7D">
      <w:pPr>
        <w:pStyle w:val="SingleTxt"/>
        <w:spacing w:after="0" w:line="240" w:lineRule="auto"/>
        <w:rPr>
          <w:lang w:val="fr-CH"/>
        </w:rPr>
      </w:pPr>
      <w:r w:rsidRPr="00D76EB7">
        <w:rPr>
          <w:noProof/>
          <w:w w:val="100"/>
          <w:lang w:val="en-GB" w:eastAsia="en-GB"/>
        </w:rPr>
        <mc:AlternateContent>
          <mc:Choice Requires="wps">
            <w:drawing>
              <wp:anchor distT="0" distB="0" distL="114300" distR="114300" simplePos="0" relativeHeight="251659264" behindDoc="0" locked="0" layoutInCell="1" allowOverlap="1" wp14:anchorId="034C651B" wp14:editId="24CF7F46">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9596D" w:rsidRPr="00D76EB7" w:rsidSect="0019596D">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BB" w:rsidRDefault="004330BB" w:rsidP="00F3330B">
      <w:pPr>
        <w:spacing w:line="240" w:lineRule="auto"/>
      </w:pPr>
      <w:r>
        <w:separator/>
      </w:r>
    </w:p>
  </w:endnote>
  <w:endnote w:type="continuationSeparator" w:id="0">
    <w:p w:rsidR="004330BB" w:rsidRDefault="004330B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4330BB" w:rsidTr="0019596D">
      <w:trPr>
        <w:jc w:val="center"/>
      </w:trPr>
      <w:tc>
        <w:tcPr>
          <w:tcW w:w="5088" w:type="dxa"/>
          <w:shd w:val="clear" w:color="auto" w:fill="auto"/>
        </w:tcPr>
        <w:p w:rsidR="004330BB" w:rsidRPr="0019596D" w:rsidRDefault="004330BB" w:rsidP="001959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63971">
            <w:rPr>
              <w:b w:val="0"/>
              <w:w w:val="103"/>
              <w:sz w:val="14"/>
            </w:rPr>
            <w:t>GE.16-00843</w:t>
          </w:r>
          <w:r>
            <w:rPr>
              <w:b w:val="0"/>
              <w:w w:val="103"/>
              <w:sz w:val="14"/>
            </w:rPr>
            <w:fldChar w:fldCharType="end"/>
          </w:r>
        </w:p>
      </w:tc>
      <w:tc>
        <w:tcPr>
          <w:tcW w:w="5089" w:type="dxa"/>
          <w:shd w:val="clear" w:color="auto" w:fill="auto"/>
        </w:tcPr>
        <w:p w:rsidR="004330BB" w:rsidRPr="0019596D" w:rsidRDefault="004330BB" w:rsidP="0019596D">
          <w:pPr>
            <w:pStyle w:val="Footer"/>
            <w:rPr>
              <w:w w:val="103"/>
            </w:rPr>
          </w:pPr>
          <w:r>
            <w:rPr>
              <w:w w:val="103"/>
            </w:rPr>
            <w:fldChar w:fldCharType="begin"/>
          </w:r>
          <w:r>
            <w:rPr>
              <w:w w:val="103"/>
            </w:rPr>
            <w:instrText xml:space="preserve"> PAGE  \* Arabic  \* MERGEFORMAT </w:instrText>
          </w:r>
          <w:r>
            <w:rPr>
              <w:w w:val="103"/>
            </w:rPr>
            <w:fldChar w:fldCharType="separate"/>
          </w:r>
          <w:r w:rsidR="0082668B">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2668B">
            <w:rPr>
              <w:noProof/>
              <w:w w:val="103"/>
            </w:rPr>
            <w:t>8</w:t>
          </w:r>
          <w:r>
            <w:rPr>
              <w:w w:val="103"/>
            </w:rPr>
            <w:fldChar w:fldCharType="end"/>
          </w:r>
        </w:p>
      </w:tc>
    </w:tr>
  </w:tbl>
  <w:p w:rsidR="004330BB" w:rsidRPr="0019596D" w:rsidRDefault="004330BB" w:rsidP="00195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4330BB" w:rsidTr="0019596D">
      <w:trPr>
        <w:jc w:val="center"/>
      </w:trPr>
      <w:tc>
        <w:tcPr>
          <w:tcW w:w="5088" w:type="dxa"/>
          <w:shd w:val="clear" w:color="auto" w:fill="auto"/>
        </w:tcPr>
        <w:p w:rsidR="004330BB" w:rsidRPr="0019596D" w:rsidRDefault="004330BB" w:rsidP="0019596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2668B">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2668B">
            <w:rPr>
              <w:noProof/>
              <w:w w:val="103"/>
            </w:rPr>
            <w:t>9</w:t>
          </w:r>
          <w:r>
            <w:rPr>
              <w:w w:val="103"/>
            </w:rPr>
            <w:fldChar w:fldCharType="end"/>
          </w:r>
        </w:p>
      </w:tc>
      <w:tc>
        <w:tcPr>
          <w:tcW w:w="5089" w:type="dxa"/>
          <w:shd w:val="clear" w:color="auto" w:fill="auto"/>
        </w:tcPr>
        <w:p w:rsidR="004330BB" w:rsidRPr="0019596D" w:rsidRDefault="004330BB" w:rsidP="001959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63971">
            <w:rPr>
              <w:b w:val="0"/>
              <w:w w:val="103"/>
              <w:sz w:val="14"/>
            </w:rPr>
            <w:t>GE.16-00843</w:t>
          </w:r>
          <w:r>
            <w:rPr>
              <w:b w:val="0"/>
              <w:w w:val="103"/>
              <w:sz w:val="14"/>
            </w:rPr>
            <w:fldChar w:fldCharType="end"/>
          </w:r>
        </w:p>
      </w:tc>
    </w:tr>
  </w:tbl>
  <w:p w:rsidR="004330BB" w:rsidRPr="0019596D" w:rsidRDefault="004330BB" w:rsidP="001959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BB" w:rsidRDefault="004330BB">
    <w:pPr>
      <w:pStyle w:val="Footer"/>
    </w:pPr>
    <w:r>
      <w:rPr>
        <w:noProof/>
        <w:lang w:val="en-GB" w:eastAsia="en-GB"/>
      </w:rPr>
      <w:drawing>
        <wp:anchor distT="0" distB="0" distL="114300" distR="114300" simplePos="0" relativeHeight="251658240" behindDoc="0" locked="0" layoutInCell="1" allowOverlap="1" wp14:anchorId="7B42F98E" wp14:editId="536CBFC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4330BB" w:rsidTr="0019596D">
      <w:tc>
        <w:tcPr>
          <w:tcW w:w="3859" w:type="dxa"/>
        </w:tcPr>
        <w:p w:rsidR="004330BB" w:rsidRDefault="004330BB" w:rsidP="0019596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63971">
            <w:rPr>
              <w:b w:val="0"/>
              <w:sz w:val="20"/>
            </w:rPr>
            <w:t>GE.16-00843 (F)</w:t>
          </w:r>
          <w:r>
            <w:rPr>
              <w:b w:val="0"/>
              <w:sz w:val="20"/>
            </w:rPr>
            <w:fldChar w:fldCharType="end"/>
          </w:r>
          <w:r>
            <w:rPr>
              <w:b w:val="0"/>
              <w:sz w:val="20"/>
            </w:rPr>
            <w:t xml:space="preserve">    230216    230216</w:t>
          </w:r>
        </w:p>
        <w:p w:rsidR="004330BB" w:rsidRPr="0019596D" w:rsidRDefault="004330BB" w:rsidP="0019596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63971">
            <w:rPr>
              <w:rFonts w:ascii="Barcode 3 of 9 by request" w:hAnsi="Barcode 3 of 9 by request"/>
              <w:b w:val="0"/>
              <w:spacing w:val="0"/>
              <w:w w:val="100"/>
              <w:sz w:val="24"/>
            </w:rPr>
            <w:t>*1600843*</w:t>
          </w:r>
          <w:r>
            <w:rPr>
              <w:rFonts w:ascii="Barcode 3 of 9 by request" w:hAnsi="Barcode 3 of 9 by request"/>
              <w:b w:val="0"/>
              <w:spacing w:val="0"/>
              <w:w w:val="100"/>
              <w:sz w:val="24"/>
            </w:rPr>
            <w:fldChar w:fldCharType="end"/>
          </w:r>
        </w:p>
      </w:tc>
      <w:tc>
        <w:tcPr>
          <w:tcW w:w="5089" w:type="dxa"/>
        </w:tcPr>
        <w:p w:rsidR="004330BB" w:rsidRDefault="004330BB" w:rsidP="0019596D">
          <w:pPr>
            <w:pStyle w:val="Footer"/>
            <w:spacing w:line="240" w:lineRule="atLeast"/>
            <w:jc w:val="right"/>
            <w:rPr>
              <w:b w:val="0"/>
              <w:sz w:val="20"/>
            </w:rPr>
          </w:pPr>
          <w:r>
            <w:rPr>
              <w:b w:val="0"/>
              <w:noProof/>
              <w:sz w:val="20"/>
              <w:lang w:val="en-GB" w:eastAsia="en-GB"/>
            </w:rPr>
            <w:drawing>
              <wp:inline distT="0" distB="0" distL="0" distR="0" wp14:anchorId="0E065DF6" wp14:editId="254F54F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330BB" w:rsidRPr="0019596D" w:rsidRDefault="004330BB" w:rsidP="0019596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BB" w:rsidRPr="00F64C02" w:rsidRDefault="004330BB" w:rsidP="00F64C02">
      <w:pPr>
        <w:pStyle w:val="Footer"/>
        <w:spacing w:after="80"/>
        <w:ind w:left="792"/>
        <w:rPr>
          <w:sz w:val="16"/>
        </w:rPr>
      </w:pPr>
      <w:r w:rsidRPr="00F64C02">
        <w:rPr>
          <w:sz w:val="16"/>
        </w:rPr>
        <w:t>__________________</w:t>
      </w:r>
    </w:p>
  </w:footnote>
  <w:footnote w:type="continuationSeparator" w:id="0">
    <w:p w:rsidR="004330BB" w:rsidRPr="00F64C02" w:rsidRDefault="004330BB" w:rsidP="00F64C02">
      <w:pPr>
        <w:pStyle w:val="Footer"/>
        <w:spacing w:after="80"/>
        <w:ind w:left="792"/>
        <w:rPr>
          <w:sz w:val="16"/>
        </w:rPr>
      </w:pPr>
      <w:r w:rsidRPr="00F64C02">
        <w:rPr>
          <w:sz w:val="16"/>
        </w:rPr>
        <w:t>__________________</w:t>
      </w:r>
    </w:p>
  </w:footnote>
  <w:footnote w:id="1">
    <w:p w:rsidR="004330BB" w:rsidRPr="00B77B7D" w:rsidRDefault="004330BB" w:rsidP="00F64C02">
      <w:pPr>
        <w:pStyle w:val="FootnoteText"/>
        <w:tabs>
          <w:tab w:val="right" w:pos="1195"/>
          <w:tab w:val="left" w:pos="1267"/>
          <w:tab w:val="left" w:pos="1742"/>
          <w:tab w:val="left" w:pos="2218"/>
          <w:tab w:val="left" w:pos="2693"/>
        </w:tabs>
        <w:ind w:left="1267" w:right="1260" w:hanging="432"/>
        <w:rPr>
          <w:spacing w:val="2"/>
          <w:lang w:val="fr-CH"/>
        </w:rPr>
      </w:pPr>
      <w:r w:rsidRPr="00B77B7D">
        <w:rPr>
          <w:rStyle w:val="FootnoteReference"/>
          <w:spacing w:val="4"/>
          <w:vertAlign w:val="baseline"/>
        </w:rPr>
        <w:tab/>
        <w:t>*</w:t>
      </w:r>
      <w:r w:rsidRPr="00B77B7D">
        <w:rPr>
          <w:lang w:val="fr-CH"/>
        </w:rPr>
        <w:tab/>
      </w:r>
      <w:r w:rsidRPr="00B77B7D">
        <w:rPr>
          <w:spacing w:val="2"/>
          <w:lang w:val="fr-FR"/>
        </w:rPr>
        <w:t>Conformément au programme de travail du Comité des transports intérieurs pour la période 2014-2018 (ECE/TRANS/240, par.</w:t>
      </w:r>
      <w:r>
        <w:rPr>
          <w:spacing w:val="2"/>
          <w:lang w:val="fr-FR"/>
        </w:rPr>
        <w:t> </w:t>
      </w:r>
      <w:r w:rsidRPr="00B77B7D">
        <w:rPr>
          <w:spacing w:val="2"/>
          <w:lang w:val="fr-FR"/>
        </w:rPr>
        <w:t>105, et ECE/TRANS/2014/26, activité 02.4), le Forum mondial a pour mission d</w:t>
      </w:r>
      <w:r>
        <w:rPr>
          <w:spacing w:val="2"/>
          <w:lang w:val="fr-FR"/>
        </w:rPr>
        <w:t>’</w:t>
      </w:r>
      <w:r w:rsidRPr="00B77B7D">
        <w:rPr>
          <w:spacing w:val="2"/>
          <w:lang w:val="fr-FR"/>
        </w:rPr>
        <w:t>élaborer, d</w:t>
      </w:r>
      <w:r>
        <w:rPr>
          <w:spacing w:val="2"/>
          <w:lang w:val="fr-FR"/>
        </w:rPr>
        <w:t>’</w:t>
      </w:r>
      <w:r w:rsidRPr="00B77B7D">
        <w:rPr>
          <w:spacing w:val="2"/>
          <w:lang w:val="fr-FR"/>
        </w:rPr>
        <w:t>harmoniser et de mettre à jour les Règlements en vue d</w:t>
      </w:r>
      <w:r>
        <w:rPr>
          <w:spacing w:val="2"/>
          <w:lang w:val="fr-FR"/>
        </w:rPr>
        <w:t>’</w:t>
      </w:r>
      <w:r w:rsidRPr="00B77B7D">
        <w:rPr>
          <w:spacing w:val="2"/>
          <w:lang w:val="fr-FR"/>
        </w:rPr>
        <w:t>améliorer les caractéristiques fonctionnelles des véhicules. Le présent document est soumis dans le cadre de ce mandat.</w:t>
      </w:r>
    </w:p>
  </w:footnote>
  <w:footnote w:id="2">
    <w:p w:rsidR="004330BB" w:rsidRPr="00F64C02" w:rsidRDefault="004330BB" w:rsidP="00F64C02">
      <w:pPr>
        <w:pStyle w:val="FootnoteText"/>
        <w:tabs>
          <w:tab w:val="right" w:pos="1195"/>
          <w:tab w:val="left" w:pos="1267"/>
          <w:tab w:val="left" w:pos="1742"/>
          <w:tab w:val="left" w:pos="2218"/>
          <w:tab w:val="left" w:pos="2693"/>
        </w:tabs>
        <w:ind w:left="1267" w:right="1260" w:hanging="432"/>
        <w:rPr>
          <w:lang w:val="fr-CH"/>
        </w:rPr>
      </w:pPr>
      <w:r w:rsidRPr="00F64C02">
        <w:rPr>
          <w:rStyle w:val="FootnoteReference"/>
          <w:spacing w:val="4"/>
          <w:vertAlign w:val="baseline"/>
        </w:rPr>
        <w:tab/>
        <w:t>**</w:t>
      </w:r>
      <w:r w:rsidRPr="00F64C02">
        <w:rPr>
          <w:lang w:val="fr-CH"/>
        </w:rPr>
        <w:tab/>
      </w:r>
      <w:r w:rsidRPr="00F64C02">
        <w:rPr>
          <w:u w:val="single"/>
          <w:lang w:val="fr-FR"/>
        </w:rPr>
        <w:t>Note du secrétariat</w:t>
      </w:r>
      <w:r>
        <w:rPr>
          <w:lang w:val="fr-FR"/>
        </w:rPr>
        <w:t> </w:t>
      </w:r>
      <w:r w:rsidRPr="00F64C02">
        <w:rPr>
          <w:lang w:val="fr-FR"/>
        </w:rPr>
        <w:t>: la fin du point 9.1 (ci-dessus entre crochets) semble avoir été supprimée par erreur dans le complément 22 à la série 02 d’amendements au Règlement n</w:t>
      </w:r>
      <w:r w:rsidRPr="00F64C02">
        <w:rPr>
          <w:vertAlign w:val="superscript"/>
          <w:lang w:val="fr-FR"/>
        </w:rPr>
        <w:t>o</w:t>
      </w:r>
      <w:r>
        <w:rPr>
          <w:lang w:val="fr-FR"/>
        </w:rPr>
        <w:t> </w:t>
      </w:r>
      <w:r w:rsidRPr="00F64C02">
        <w:rPr>
          <w:lang w:val="fr-FR"/>
        </w:rPr>
        <w:t>7 (ECE/TRANS/WP.29/2013/15) et doit être rétablie.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4330BB" w:rsidTr="0019596D">
      <w:trPr>
        <w:trHeight w:hRule="exact" w:val="864"/>
        <w:jc w:val="center"/>
      </w:trPr>
      <w:tc>
        <w:tcPr>
          <w:tcW w:w="4882" w:type="dxa"/>
          <w:shd w:val="clear" w:color="auto" w:fill="auto"/>
          <w:vAlign w:val="bottom"/>
        </w:tcPr>
        <w:p w:rsidR="004330BB" w:rsidRPr="0019596D" w:rsidRDefault="004330BB" w:rsidP="0019596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63971">
            <w:rPr>
              <w:b/>
              <w:color w:val="000000"/>
            </w:rPr>
            <w:t>ECE/TRANS/WP.29/GRE/2016/13</w:t>
          </w:r>
          <w:r>
            <w:rPr>
              <w:b/>
              <w:color w:val="000000"/>
            </w:rPr>
            <w:fldChar w:fldCharType="end"/>
          </w:r>
        </w:p>
      </w:tc>
      <w:tc>
        <w:tcPr>
          <w:tcW w:w="5089" w:type="dxa"/>
          <w:shd w:val="clear" w:color="auto" w:fill="auto"/>
          <w:vAlign w:val="bottom"/>
        </w:tcPr>
        <w:p w:rsidR="004330BB" w:rsidRDefault="004330BB" w:rsidP="0019596D">
          <w:pPr>
            <w:pStyle w:val="Header"/>
          </w:pPr>
        </w:p>
      </w:tc>
    </w:tr>
  </w:tbl>
  <w:p w:rsidR="004330BB" w:rsidRPr="0019596D" w:rsidRDefault="004330BB" w:rsidP="0019596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4330BB" w:rsidTr="0019596D">
      <w:trPr>
        <w:trHeight w:hRule="exact" w:val="864"/>
        <w:jc w:val="center"/>
      </w:trPr>
      <w:tc>
        <w:tcPr>
          <w:tcW w:w="4882" w:type="dxa"/>
          <w:shd w:val="clear" w:color="auto" w:fill="auto"/>
          <w:vAlign w:val="bottom"/>
        </w:tcPr>
        <w:p w:rsidR="004330BB" w:rsidRDefault="004330BB" w:rsidP="0019596D">
          <w:pPr>
            <w:pStyle w:val="Header"/>
          </w:pPr>
        </w:p>
      </w:tc>
      <w:tc>
        <w:tcPr>
          <w:tcW w:w="5089" w:type="dxa"/>
          <w:shd w:val="clear" w:color="auto" w:fill="auto"/>
          <w:vAlign w:val="bottom"/>
        </w:tcPr>
        <w:p w:rsidR="004330BB" w:rsidRPr="0019596D" w:rsidRDefault="004330BB" w:rsidP="0019596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63971">
            <w:rPr>
              <w:b/>
              <w:color w:val="000000"/>
            </w:rPr>
            <w:t>ECE/TRANS/WP.29/GRE/2016/13</w:t>
          </w:r>
          <w:r>
            <w:rPr>
              <w:b/>
              <w:color w:val="000000"/>
            </w:rPr>
            <w:fldChar w:fldCharType="end"/>
          </w:r>
        </w:p>
      </w:tc>
    </w:tr>
  </w:tbl>
  <w:p w:rsidR="004330BB" w:rsidRPr="0019596D" w:rsidRDefault="004330BB" w:rsidP="0019596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330BB" w:rsidTr="0019596D">
      <w:trPr>
        <w:trHeight w:hRule="exact" w:val="864"/>
      </w:trPr>
      <w:tc>
        <w:tcPr>
          <w:tcW w:w="1267" w:type="dxa"/>
          <w:tcBorders>
            <w:bottom w:val="single" w:sz="4" w:space="0" w:color="auto"/>
          </w:tcBorders>
          <w:shd w:val="clear" w:color="auto" w:fill="auto"/>
          <w:vAlign w:val="bottom"/>
        </w:tcPr>
        <w:p w:rsidR="004330BB" w:rsidRDefault="004330BB" w:rsidP="0019596D">
          <w:pPr>
            <w:pStyle w:val="Header"/>
            <w:spacing w:after="120"/>
          </w:pPr>
        </w:p>
      </w:tc>
      <w:tc>
        <w:tcPr>
          <w:tcW w:w="2059" w:type="dxa"/>
          <w:tcBorders>
            <w:bottom w:val="single" w:sz="4" w:space="0" w:color="auto"/>
          </w:tcBorders>
          <w:shd w:val="clear" w:color="auto" w:fill="auto"/>
          <w:vAlign w:val="bottom"/>
        </w:tcPr>
        <w:p w:rsidR="004330BB" w:rsidRPr="0019596D" w:rsidRDefault="004330BB" w:rsidP="0019596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330BB" w:rsidRDefault="004330BB" w:rsidP="0019596D">
          <w:pPr>
            <w:pStyle w:val="Header"/>
            <w:spacing w:after="120"/>
          </w:pPr>
        </w:p>
      </w:tc>
      <w:tc>
        <w:tcPr>
          <w:tcW w:w="6653" w:type="dxa"/>
          <w:gridSpan w:val="4"/>
          <w:tcBorders>
            <w:bottom w:val="single" w:sz="4" w:space="0" w:color="auto"/>
          </w:tcBorders>
          <w:shd w:val="clear" w:color="auto" w:fill="auto"/>
          <w:vAlign w:val="bottom"/>
        </w:tcPr>
        <w:p w:rsidR="004330BB" w:rsidRPr="0019596D" w:rsidRDefault="004330BB" w:rsidP="0019596D">
          <w:pPr>
            <w:spacing w:after="80" w:line="240" w:lineRule="auto"/>
            <w:jc w:val="right"/>
            <w:rPr>
              <w:position w:val="-4"/>
            </w:rPr>
          </w:pPr>
          <w:r>
            <w:rPr>
              <w:position w:val="-4"/>
              <w:sz w:val="40"/>
            </w:rPr>
            <w:t>ECE</w:t>
          </w:r>
          <w:r>
            <w:rPr>
              <w:position w:val="-4"/>
            </w:rPr>
            <w:t>/TRANS/WP.29/GRE/2016/13</w:t>
          </w:r>
        </w:p>
      </w:tc>
    </w:tr>
    <w:tr w:rsidR="004330BB" w:rsidRPr="0019596D" w:rsidTr="0019596D">
      <w:trPr>
        <w:gridAfter w:val="1"/>
        <w:wAfter w:w="18" w:type="dxa"/>
        <w:trHeight w:hRule="exact" w:val="2880"/>
      </w:trPr>
      <w:tc>
        <w:tcPr>
          <w:tcW w:w="1267" w:type="dxa"/>
          <w:tcBorders>
            <w:top w:val="single" w:sz="4" w:space="0" w:color="auto"/>
            <w:bottom w:val="single" w:sz="12" w:space="0" w:color="auto"/>
          </w:tcBorders>
          <w:shd w:val="clear" w:color="auto" w:fill="auto"/>
        </w:tcPr>
        <w:p w:rsidR="004330BB" w:rsidRPr="0019596D" w:rsidRDefault="004330BB" w:rsidP="0019596D">
          <w:pPr>
            <w:pStyle w:val="Header"/>
            <w:spacing w:before="120" w:line="240" w:lineRule="auto"/>
            <w:ind w:left="-72"/>
            <w:jc w:val="center"/>
          </w:pPr>
          <w:r>
            <w:t xml:space="preserve">  </w:t>
          </w:r>
          <w:r>
            <w:rPr>
              <w:noProof/>
              <w:lang w:val="en-GB" w:eastAsia="en-GB"/>
            </w:rPr>
            <w:drawing>
              <wp:inline distT="0" distB="0" distL="0" distR="0" wp14:anchorId="23FD73C7" wp14:editId="4D4F6E3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330BB" w:rsidRPr="0019596D" w:rsidRDefault="004330BB" w:rsidP="0019596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330BB" w:rsidRPr="0019596D" w:rsidRDefault="004330BB" w:rsidP="0019596D">
          <w:pPr>
            <w:pStyle w:val="Header"/>
            <w:spacing w:before="109"/>
          </w:pPr>
        </w:p>
      </w:tc>
      <w:tc>
        <w:tcPr>
          <w:tcW w:w="3280" w:type="dxa"/>
          <w:tcBorders>
            <w:top w:val="single" w:sz="4" w:space="0" w:color="auto"/>
            <w:bottom w:val="single" w:sz="12" w:space="0" w:color="auto"/>
          </w:tcBorders>
          <w:shd w:val="clear" w:color="auto" w:fill="auto"/>
        </w:tcPr>
        <w:p w:rsidR="004330BB" w:rsidRDefault="004330BB" w:rsidP="0019596D">
          <w:pPr>
            <w:pStyle w:val="Distribution"/>
            <w:rPr>
              <w:color w:val="000000"/>
            </w:rPr>
          </w:pPr>
          <w:r>
            <w:rPr>
              <w:color w:val="000000"/>
            </w:rPr>
            <w:t>Distr. générale</w:t>
          </w:r>
        </w:p>
        <w:p w:rsidR="004330BB" w:rsidRDefault="004330BB" w:rsidP="009B6632">
          <w:pPr>
            <w:pStyle w:val="Publication"/>
            <w:rPr>
              <w:color w:val="000000"/>
            </w:rPr>
          </w:pPr>
          <w:r>
            <w:rPr>
              <w:color w:val="000000"/>
            </w:rPr>
            <w:t>2</w:t>
          </w:r>
          <w:r w:rsidR="009B6632">
            <w:rPr>
              <w:color w:val="000000"/>
            </w:rPr>
            <w:t>1</w:t>
          </w:r>
          <w:r>
            <w:rPr>
              <w:color w:val="000000"/>
            </w:rPr>
            <w:t xml:space="preserve"> janvier 2016</w:t>
          </w:r>
        </w:p>
        <w:p w:rsidR="004330BB" w:rsidRDefault="004330BB" w:rsidP="0019596D">
          <w:pPr>
            <w:rPr>
              <w:lang w:val="en-US"/>
            </w:rPr>
          </w:pPr>
          <w:r>
            <w:rPr>
              <w:lang w:val="en-US"/>
            </w:rPr>
            <w:t>Français</w:t>
          </w:r>
        </w:p>
        <w:p w:rsidR="004330BB" w:rsidRPr="0019596D" w:rsidRDefault="004330BB" w:rsidP="0019596D">
          <w:pPr>
            <w:pStyle w:val="Original"/>
            <w:rPr>
              <w:color w:val="000000"/>
            </w:rPr>
          </w:pPr>
          <w:r>
            <w:rPr>
              <w:color w:val="000000"/>
            </w:rPr>
            <w:t>Original : anglais</w:t>
          </w:r>
        </w:p>
      </w:tc>
    </w:tr>
  </w:tbl>
  <w:p w:rsidR="004330BB" w:rsidRPr="0019596D" w:rsidRDefault="004330BB" w:rsidP="0019596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532527F"/>
    <w:multiLevelType w:val="singleLevel"/>
    <w:tmpl w:val="2DC6791C"/>
    <w:lvl w:ilvl="0">
      <w:start w:val="1"/>
      <w:numFmt w:val="decimal"/>
      <w:lvlRestart w:val="0"/>
      <w:lvlText w:val="%1."/>
      <w:lvlJc w:val="left"/>
      <w:pPr>
        <w:tabs>
          <w:tab w:val="num" w:pos="475"/>
        </w:tabs>
        <w:ind w:left="0"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SortMethod w:val="0003"/>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843*"/>
    <w:docVar w:name="CreationDt" w:val="2/23/2016 2:50: PM"/>
    <w:docVar w:name="DocCategory" w:val="Doc"/>
    <w:docVar w:name="DocType" w:val="Final"/>
    <w:docVar w:name="DutyStation" w:val="Geneva"/>
    <w:docVar w:name="FooterJN" w:val="GE.16-00843"/>
    <w:docVar w:name="jobn" w:val="GE.16-00843 (F)"/>
    <w:docVar w:name="jobnDT" w:val="GE.16-00843 (F)   230216"/>
    <w:docVar w:name="jobnDTDT" w:val="GE.16-00843 (F)   230216   230216"/>
    <w:docVar w:name="JobNo" w:val="GE.1600843F"/>
    <w:docVar w:name="JobNo2" w:val="GE.1600966F"/>
    <w:docVar w:name="LocalDrive" w:val="0"/>
    <w:docVar w:name="OandT" w:val="N.Morin"/>
    <w:docVar w:name="PaperSize" w:val="A4"/>
    <w:docVar w:name="sss1" w:val="ECE/TRANS/WP.29/GRE/2016/13"/>
    <w:docVar w:name="sss2" w:val="-"/>
    <w:docVar w:name="Symbol1" w:val="ECE/TRANS/WP.29/GRE/2016/13"/>
    <w:docVar w:name="Symbol2" w:val="-"/>
  </w:docVars>
  <w:rsids>
    <w:rsidRoot w:val="0018438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6AEC"/>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4383"/>
    <w:rsid w:val="00186793"/>
    <w:rsid w:val="0019082C"/>
    <w:rsid w:val="00192D05"/>
    <w:rsid w:val="00193A8C"/>
    <w:rsid w:val="0019596D"/>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3971"/>
    <w:rsid w:val="003640A0"/>
    <w:rsid w:val="0036447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18A5"/>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0BB"/>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1C57"/>
    <w:rsid w:val="005B33A4"/>
    <w:rsid w:val="005B3C4C"/>
    <w:rsid w:val="005B50F0"/>
    <w:rsid w:val="005B5D99"/>
    <w:rsid w:val="005B74B8"/>
    <w:rsid w:val="005C101A"/>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2668B"/>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B6632"/>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57DC8"/>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15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B7D"/>
    <w:rsid w:val="00B77EB8"/>
    <w:rsid w:val="00B81A2A"/>
    <w:rsid w:val="00B82E95"/>
    <w:rsid w:val="00B84109"/>
    <w:rsid w:val="00B85BDA"/>
    <w:rsid w:val="00B85BF5"/>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B5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76EB7"/>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4558"/>
    <w:rsid w:val="00DD4D6D"/>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C02"/>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9596D"/>
    <w:rPr>
      <w:sz w:val="16"/>
      <w:szCs w:val="16"/>
    </w:rPr>
  </w:style>
  <w:style w:type="paragraph" w:styleId="CommentText">
    <w:name w:val="annotation text"/>
    <w:basedOn w:val="Normal"/>
    <w:link w:val="CommentTextChar"/>
    <w:uiPriority w:val="99"/>
    <w:semiHidden/>
    <w:unhideWhenUsed/>
    <w:rsid w:val="0019596D"/>
    <w:pPr>
      <w:spacing w:line="240" w:lineRule="auto"/>
    </w:pPr>
    <w:rPr>
      <w:szCs w:val="20"/>
    </w:rPr>
  </w:style>
  <w:style w:type="character" w:customStyle="1" w:styleId="CommentTextChar">
    <w:name w:val="Comment Text Char"/>
    <w:basedOn w:val="DefaultParagraphFont"/>
    <w:link w:val="CommentText"/>
    <w:uiPriority w:val="99"/>
    <w:semiHidden/>
    <w:rsid w:val="0019596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9596D"/>
    <w:rPr>
      <w:b/>
      <w:bCs/>
    </w:rPr>
  </w:style>
  <w:style w:type="character" w:customStyle="1" w:styleId="CommentSubjectChar">
    <w:name w:val="Comment Subject Char"/>
    <w:basedOn w:val="CommentTextChar"/>
    <w:link w:val="CommentSubject"/>
    <w:uiPriority w:val="99"/>
    <w:semiHidden/>
    <w:rsid w:val="0019596D"/>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9596D"/>
    <w:rPr>
      <w:sz w:val="16"/>
      <w:szCs w:val="16"/>
    </w:rPr>
  </w:style>
  <w:style w:type="paragraph" w:styleId="CommentText">
    <w:name w:val="annotation text"/>
    <w:basedOn w:val="Normal"/>
    <w:link w:val="CommentTextChar"/>
    <w:uiPriority w:val="99"/>
    <w:semiHidden/>
    <w:unhideWhenUsed/>
    <w:rsid w:val="0019596D"/>
    <w:pPr>
      <w:spacing w:line="240" w:lineRule="auto"/>
    </w:pPr>
    <w:rPr>
      <w:szCs w:val="20"/>
    </w:rPr>
  </w:style>
  <w:style w:type="character" w:customStyle="1" w:styleId="CommentTextChar">
    <w:name w:val="Comment Text Char"/>
    <w:basedOn w:val="DefaultParagraphFont"/>
    <w:link w:val="CommentText"/>
    <w:uiPriority w:val="99"/>
    <w:semiHidden/>
    <w:rsid w:val="0019596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9596D"/>
    <w:rPr>
      <w:b/>
      <w:bCs/>
    </w:rPr>
  </w:style>
  <w:style w:type="character" w:customStyle="1" w:styleId="CommentSubjectChar">
    <w:name w:val="Comment Subject Char"/>
    <w:basedOn w:val="CommentTextChar"/>
    <w:link w:val="CommentSubject"/>
    <w:uiPriority w:val="99"/>
    <w:semiHidden/>
    <w:rsid w:val="0019596D"/>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B21E-3E85-4244-BB70-86CE8446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2</cp:revision>
  <cp:lastPrinted>2016-02-23T15:52:00Z</cp:lastPrinted>
  <dcterms:created xsi:type="dcterms:W3CDTF">2016-02-24T10:53:00Z</dcterms:created>
  <dcterms:modified xsi:type="dcterms:W3CDTF">2016-02-24T10:53:00Z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1600843F</vt:lpwstr>
  </property>
  <property fmtid="{D5CDD505-2E9C-101B-9397-08002B2CF9AE}" pid="3" name="ODSRefJobNo">
    <vt:lpwstr>1600966F</vt:lpwstr>
  </property>
  <property fmtid="{D5CDD505-2E9C-101B-9397-08002B2CF9AE}" pid="4" name="Symbol1">
    <vt:lpwstr>ECE/TRANS/WP.29/GRE/2016/13</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janvier 2016</vt:lpwstr>
  </property>
  <property fmtid="{D5CDD505-2E9C-101B-9397-08002B2CF9AE}" pid="12" name="Original">
    <vt:lpwstr>anglais</vt:lpwstr>
  </property>
  <property fmtid="{D5CDD505-2E9C-101B-9397-08002B2CF9AE}" pid="13" name="Release Date">
    <vt:lpwstr>230216</vt:lpwstr>
  </property>
</Properties>
</file>