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50D2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50D26" w:rsidP="00750D26">
            <w:pPr>
              <w:jc w:val="right"/>
            </w:pPr>
            <w:r w:rsidRPr="00750D26">
              <w:rPr>
                <w:sz w:val="40"/>
              </w:rPr>
              <w:t>ECE</w:t>
            </w:r>
            <w:r>
              <w:t>/TRANS/WP.29/2016/79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50D26" w:rsidP="00892A2F">
            <w:pPr>
              <w:spacing w:before="240"/>
            </w:pPr>
            <w:r>
              <w:t>Distr. générale</w:t>
            </w:r>
          </w:p>
          <w:p w:rsidR="00750D26" w:rsidRDefault="00750D26" w:rsidP="00750D26">
            <w:pPr>
              <w:spacing w:line="240" w:lineRule="exact"/>
            </w:pPr>
            <w:r>
              <w:t>31 août 2016</w:t>
            </w:r>
          </w:p>
          <w:p w:rsidR="00750D26" w:rsidRDefault="00750D26" w:rsidP="00750D26">
            <w:pPr>
              <w:spacing w:line="240" w:lineRule="exact"/>
            </w:pPr>
            <w:r>
              <w:t>Français</w:t>
            </w:r>
          </w:p>
          <w:p w:rsidR="00750D26" w:rsidRPr="00DB58B5" w:rsidRDefault="00750D26" w:rsidP="00750D2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50D26" w:rsidRPr="00750D26" w:rsidRDefault="00750D26" w:rsidP="00E34D3E">
      <w:pPr>
        <w:spacing w:before="120"/>
        <w:rPr>
          <w:b/>
          <w:sz w:val="24"/>
          <w:szCs w:val="24"/>
          <w:lang w:bidi="fr-CH"/>
        </w:rPr>
      </w:pPr>
      <w:r w:rsidRPr="00750D26">
        <w:rPr>
          <w:b/>
          <w:sz w:val="24"/>
          <w:szCs w:val="24"/>
          <w:lang w:bidi="fr-CH"/>
        </w:rPr>
        <w:t>Forum mondial de l’harmonisation</w:t>
      </w:r>
      <w:r w:rsidRPr="00750D26">
        <w:rPr>
          <w:b/>
          <w:sz w:val="24"/>
          <w:szCs w:val="24"/>
          <w:lang w:bidi="fr-CH"/>
        </w:rPr>
        <w:br/>
        <w:t>des Règlements concernant les véhicules</w:t>
      </w:r>
    </w:p>
    <w:p w:rsidR="00750D26" w:rsidRPr="00750D26" w:rsidRDefault="00750D26" w:rsidP="00750D26">
      <w:pPr>
        <w:spacing w:before="120"/>
        <w:rPr>
          <w:b/>
          <w:lang w:bidi="fr-CH"/>
        </w:rPr>
      </w:pPr>
      <w:r w:rsidRPr="00750D26">
        <w:rPr>
          <w:b/>
          <w:lang w:bidi="fr-CH"/>
        </w:rPr>
        <w:t>170</w:t>
      </w:r>
      <w:r w:rsidRPr="00750D26">
        <w:rPr>
          <w:b/>
          <w:vertAlign w:val="superscript"/>
          <w:lang w:bidi="fr-CH"/>
        </w:rPr>
        <w:t>e</w:t>
      </w:r>
      <w:r w:rsidR="0002072C">
        <w:rPr>
          <w:b/>
          <w:lang w:bidi="fr-CH"/>
        </w:rPr>
        <w:t> </w:t>
      </w:r>
      <w:r w:rsidRPr="00750D26">
        <w:rPr>
          <w:b/>
          <w:lang w:bidi="fr-CH"/>
        </w:rPr>
        <w:t>session</w:t>
      </w:r>
    </w:p>
    <w:p w:rsidR="00750D26" w:rsidRPr="00750D26" w:rsidRDefault="00750D26" w:rsidP="00750D26">
      <w:pPr>
        <w:rPr>
          <w:lang w:bidi="fr-CH"/>
        </w:rPr>
      </w:pPr>
      <w:r w:rsidRPr="00750D26">
        <w:rPr>
          <w:lang w:bidi="fr-CH"/>
        </w:rPr>
        <w:t>Genève, 15-18 novembre 2016</w:t>
      </w:r>
    </w:p>
    <w:p w:rsidR="00750D26" w:rsidRPr="00750D26" w:rsidRDefault="00750D26" w:rsidP="00750D26">
      <w:pPr>
        <w:rPr>
          <w:lang w:bidi="fr-CH"/>
        </w:rPr>
      </w:pPr>
      <w:r w:rsidRPr="00750D26">
        <w:rPr>
          <w:lang w:bidi="fr-CH"/>
        </w:rPr>
        <w:t>Point 4.6.5 de l’ordre du jour provisoire</w:t>
      </w:r>
    </w:p>
    <w:p w:rsidR="00750D26" w:rsidRPr="00750D26" w:rsidRDefault="00750D26" w:rsidP="00750D26">
      <w:pPr>
        <w:rPr>
          <w:b/>
          <w:lang w:bidi="fr-CH"/>
        </w:rPr>
      </w:pPr>
      <w:r w:rsidRPr="00750D26">
        <w:rPr>
          <w:b/>
          <w:lang w:bidi="fr-CH"/>
        </w:rPr>
        <w:t xml:space="preserve">Accord de 1958 </w:t>
      </w:r>
      <w:r w:rsidR="0002072C">
        <w:rPr>
          <w:b/>
          <w:lang w:bidi="fr-CH"/>
        </w:rPr>
        <w:t>−</w:t>
      </w:r>
      <w:r w:rsidRPr="00750D26">
        <w:rPr>
          <w:b/>
          <w:lang w:bidi="fr-CH"/>
        </w:rPr>
        <w:t xml:space="preserve"> Examen de projets d’amendements</w:t>
      </w:r>
    </w:p>
    <w:p w:rsidR="00750D26" w:rsidRPr="00750D26" w:rsidRDefault="00750D26" w:rsidP="00750D26">
      <w:pPr>
        <w:rPr>
          <w:b/>
          <w:lang w:bidi="fr-CH"/>
        </w:rPr>
      </w:pPr>
      <w:r w:rsidRPr="00750D26">
        <w:rPr>
          <w:b/>
          <w:lang w:bidi="fr-CH"/>
        </w:rPr>
        <w:t>à des Règlements existants, soumis par le GRE</w:t>
      </w:r>
    </w:p>
    <w:p w:rsidR="00750D26" w:rsidRPr="00750D26" w:rsidRDefault="00750D26" w:rsidP="00750D26">
      <w:pPr>
        <w:pStyle w:val="HChG"/>
        <w:rPr>
          <w:lang w:bidi="fr-CH"/>
        </w:rPr>
      </w:pPr>
      <w:r>
        <w:rPr>
          <w:lang w:bidi="fr-CH"/>
        </w:rPr>
        <w:tab/>
      </w:r>
      <w:r>
        <w:rPr>
          <w:lang w:bidi="fr-CH"/>
        </w:rPr>
        <w:tab/>
      </w:r>
      <w:r w:rsidRPr="00750D26">
        <w:rPr>
          <w:lang w:bidi="fr-CH"/>
        </w:rPr>
        <w:t>Proposition de complément 10 à la série 05 d’</w:t>
      </w:r>
      <w:r>
        <w:rPr>
          <w:lang w:bidi="fr-CH"/>
        </w:rPr>
        <w:t>amendements</w:t>
      </w:r>
      <w:r>
        <w:rPr>
          <w:lang w:bidi="fr-CH"/>
        </w:rPr>
        <w:br/>
        <w:t xml:space="preserve">au Règlement </w:t>
      </w:r>
      <w:r w:rsidRPr="00750D26">
        <w:rPr>
          <w:rFonts w:eastAsia="MS Mincho"/>
          <w:lang w:bidi="fr-CH"/>
        </w:rPr>
        <w:t>n</w:t>
      </w:r>
      <w:r w:rsidRPr="00750D26">
        <w:rPr>
          <w:rFonts w:eastAsia="MS Mincho"/>
          <w:vertAlign w:val="superscript"/>
          <w:lang w:bidi="fr-CH"/>
        </w:rPr>
        <w:t>o</w:t>
      </w:r>
      <w:r>
        <w:rPr>
          <w:lang w:bidi="fr-CH"/>
        </w:rPr>
        <w:t> </w:t>
      </w:r>
      <w:r w:rsidRPr="00750D26">
        <w:rPr>
          <w:lang w:bidi="fr-CH"/>
        </w:rPr>
        <w:t>48 (Installation des dispositifs d’</w:t>
      </w:r>
      <w:r>
        <w:rPr>
          <w:lang w:bidi="fr-CH"/>
        </w:rPr>
        <w:t>éclairage</w:t>
      </w:r>
      <w:r>
        <w:rPr>
          <w:lang w:bidi="fr-CH"/>
        </w:rPr>
        <w:br/>
      </w:r>
      <w:r w:rsidRPr="00750D26">
        <w:rPr>
          <w:lang w:bidi="fr-CH"/>
        </w:rPr>
        <w:t xml:space="preserve">et de signalisation lumineuse) </w:t>
      </w:r>
    </w:p>
    <w:p w:rsidR="00750D26" w:rsidRPr="00750D26" w:rsidRDefault="00750D26" w:rsidP="00750D26">
      <w:pPr>
        <w:pStyle w:val="H1G"/>
        <w:rPr>
          <w:lang w:bidi="fr-CH"/>
        </w:rPr>
      </w:pPr>
      <w:r>
        <w:rPr>
          <w:lang w:bidi="fr-CH"/>
        </w:rPr>
        <w:tab/>
      </w:r>
      <w:r>
        <w:rPr>
          <w:lang w:bidi="fr-CH"/>
        </w:rPr>
        <w:tab/>
      </w:r>
      <w:r w:rsidRPr="00750D26">
        <w:rPr>
          <w:lang w:bidi="fr-CH"/>
        </w:rPr>
        <w:t>Communication du Groupe de travail de l’</w:t>
      </w:r>
      <w:r>
        <w:rPr>
          <w:lang w:bidi="fr-CH"/>
        </w:rPr>
        <w:t>éclairage</w:t>
      </w:r>
      <w:r>
        <w:rPr>
          <w:lang w:bidi="fr-CH"/>
        </w:rPr>
        <w:br/>
      </w:r>
      <w:r w:rsidRPr="00750D26">
        <w:rPr>
          <w:lang w:bidi="fr-CH"/>
        </w:rPr>
        <w:t>et de la signalisation lumineuse</w:t>
      </w:r>
      <w:r w:rsidRPr="0002072C">
        <w:rPr>
          <w:b w:val="0"/>
          <w:sz w:val="20"/>
          <w:lang w:bidi="fr-CH"/>
        </w:rPr>
        <w:footnoteReference w:customMarkFollows="1" w:id="2"/>
        <w:t>*</w:t>
      </w:r>
    </w:p>
    <w:p w:rsidR="00750D26" w:rsidRDefault="00750D26" w:rsidP="00750D26">
      <w:pPr>
        <w:pStyle w:val="SingleTxtG"/>
        <w:ind w:firstLine="567"/>
        <w:rPr>
          <w:lang w:bidi="fr-CH"/>
        </w:rPr>
      </w:pPr>
      <w:r w:rsidRPr="00750D26">
        <w:rPr>
          <w:lang w:bidi="fr-CH"/>
        </w:rPr>
        <w:t>Le texte ci-après, adopté par le Groupe de travail de l’éclairage et de la signalisation lumineuse (GRE) à sa soixante-quinzième sessio</w:t>
      </w:r>
      <w:r>
        <w:rPr>
          <w:lang w:bidi="fr-CH"/>
        </w:rPr>
        <w:t>n (ECE/TRANS/WP.29/GRE/75, par. </w:t>
      </w:r>
      <w:r w:rsidRPr="00750D26">
        <w:rPr>
          <w:lang w:bidi="fr-CH"/>
        </w:rPr>
        <w:t>16 et 19), est fondé sur les versions initiales des documents ECE/TRANS/WP.29/GRE/2016/7 et ECE/TRANS/WP.29/GRE/2016/9. Il est soumis au Forum mondial de l’harmonisation des Règlements concernant les véhicules (WP.29) et au Comité d’administration de l’Accord de 1958 (AC.1) pour examen à leurs sessions de novembre 2016.</w:t>
      </w:r>
    </w:p>
    <w:p w:rsidR="00750D26" w:rsidRPr="00750D26" w:rsidRDefault="00750D26" w:rsidP="00750D26">
      <w:pPr>
        <w:pStyle w:val="HChG"/>
        <w:rPr>
          <w:lang w:bidi="fr-CH"/>
        </w:rPr>
      </w:pPr>
      <w:r w:rsidRPr="00750D26">
        <w:rPr>
          <w:lang w:bidi="fr-CH"/>
        </w:rPr>
        <w:br w:type="page"/>
      </w:r>
      <w:r>
        <w:rPr>
          <w:lang w:bidi="fr-CH"/>
        </w:rPr>
        <w:lastRenderedPageBreak/>
        <w:tab/>
      </w:r>
      <w:r>
        <w:rPr>
          <w:lang w:bidi="fr-CH"/>
        </w:rPr>
        <w:tab/>
      </w:r>
      <w:r w:rsidRPr="00750D26">
        <w:rPr>
          <w:lang w:bidi="fr-CH"/>
        </w:rPr>
        <w:t>Complément 10 à la série 05 d’</w:t>
      </w:r>
      <w:r w:rsidR="00655BC5">
        <w:rPr>
          <w:lang w:bidi="fr-CH"/>
        </w:rPr>
        <w:t>amendements</w:t>
      </w:r>
      <w:r w:rsidR="00655BC5">
        <w:rPr>
          <w:lang w:bidi="fr-CH"/>
        </w:rPr>
        <w:br/>
      </w:r>
      <w:r w:rsidRPr="00750D26">
        <w:rPr>
          <w:lang w:bidi="fr-CH"/>
        </w:rPr>
        <w:t>au</w:t>
      </w:r>
      <w:r>
        <w:rPr>
          <w:lang w:bidi="fr-CH"/>
        </w:rPr>
        <w:t xml:space="preserve"> Règlement</w:t>
      </w:r>
      <w:r w:rsidR="00655BC5">
        <w:rPr>
          <w:lang w:bidi="fr-CH"/>
        </w:rPr>
        <w:t xml:space="preserve"> </w:t>
      </w:r>
      <w:r w:rsidR="00E34D3E" w:rsidRPr="00E34D3E">
        <w:rPr>
          <w:rFonts w:eastAsia="MS Mincho"/>
          <w:lang w:bidi="fr-CH"/>
        </w:rPr>
        <w:t>n</w:t>
      </w:r>
      <w:r w:rsidR="00E34D3E" w:rsidRPr="00E34D3E">
        <w:rPr>
          <w:rFonts w:eastAsia="MS Mincho"/>
          <w:vertAlign w:val="superscript"/>
          <w:lang w:bidi="fr-CH"/>
        </w:rPr>
        <w:t>o</w:t>
      </w:r>
      <w:r w:rsidRPr="00750D26">
        <w:rPr>
          <w:lang w:bidi="fr-CH"/>
        </w:rPr>
        <w:t> 4</w:t>
      </w:r>
      <w:r w:rsidR="00655BC5">
        <w:rPr>
          <w:lang w:bidi="fr-CH"/>
        </w:rPr>
        <w:t>8 (Installation des dispositifs</w:t>
      </w:r>
      <w:r w:rsidR="00655BC5">
        <w:rPr>
          <w:lang w:bidi="fr-CH"/>
        </w:rPr>
        <w:br/>
      </w:r>
      <w:r w:rsidRPr="00750D26">
        <w:rPr>
          <w:lang w:bidi="fr-CH"/>
        </w:rPr>
        <w:t>d’</w:t>
      </w:r>
      <w:r>
        <w:rPr>
          <w:lang w:bidi="fr-CH"/>
        </w:rPr>
        <w:t>éclairage</w:t>
      </w:r>
      <w:r w:rsidR="00655BC5">
        <w:rPr>
          <w:lang w:bidi="fr-CH"/>
        </w:rPr>
        <w:t xml:space="preserve"> </w:t>
      </w:r>
      <w:r w:rsidRPr="00750D26">
        <w:rPr>
          <w:lang w:bidi="fr-CH"/>
        </w:rPr>
        <w:t xml:space="preserve">et de signalisation lumineuse) </w:t>
      </w:r>
    </w:p>
    <w:p w:rsidR="00750D26" w:rsidRPr="00750D26" w:rsidRDefault="00750D26" w:rsidP="00750D26">
      <w:pPr>
        <w:pStyle w:val="SingleTxtG"/>
        <w:rPr>
          <w:iCs/>
          <w:lang w:bidi="fr-CH"/>
        </w:rPr>
      </w:pPr>
      <w:r w:rsidRPr="00750D26">
        <w:rPr>
          <w:i/>
          <w:lang w:bidi="fr-CH"/>
        </w:rPr>
        <w:t>Paragraphe 6.7.8</w:t>
      </w:r>
      <w:r w:rsidRPr="00750D26">
        <w:rPr>
          <w:lang w:bidi="fr-CH"/>
        </w:rPr>
        <w:t>, lire</w:t>
      </w:r>
      <w:r w:rsidR="00E93498">
        <w:rPr>
          <w:lang w:bidi="fr-CH"/>
        </w:rPr>
        <w:t> </w:t>
      </w:r>
      <w:r w:rsidRPr="00750D26">
        <w:rPr>
          <w:lang w:bidi="fr-CH"/>
        </w:rPr>
        <w:t>:</w:t>
      </w:r>
    </w:p>
    <w:p w:rsidR="00750D26" w:rsidRPr="00750D26" w:rsidRDefault="00750D26" w:rsidP="00750D26">
      <w:pPr>
        <w:pStyle w:val="SingleTxtG"/>
        <w:ind w:left="2268" w:hanging="1134"/>
        <w:rPr>
          <w:iCs/>
          <w:lang w:bidi="fr-CH"/>
        </w:rPr>
      </w:pPr>
      <w:r w:rsidRPr="00750D26">
        <w:rPr>
          <w:lang w:bidi="fr-CH"/>
        </w:rPr>
        <w:t>«</w:t>
      </w:r>
      <w:r>
        <w:rPr>
          <w:lang w:bidi="fr-CH"/>
        </w:rPr>
        <w:t> 6.7.8</w:t>
      </w:r>
      <w:r>
        <w:rPr>
          <w:lang w:bidi="fr-CH"/>
        </w:rPr>
        <w:tab/>
      </w:r>
      <w:r w:rsidRPr="00750D26">
        <w:rPr>
          <w:lang w:bidi="fr-CH"/>
        </w:rPr>
        <w:tab/>
        <w:t>Témoin</w:t>
      </w:r>
    </w:p>
    <w:p w:rsidR="00750D26" w:rsidRPr="00750D26" w:rsidRDefault="00750D26" w:rsidP="00750D26">
      <w:pPr>
        <w:pStyle w:val="SingleTxtG"/>
        <w:ind w:left="2268"/>
        <w:rPr>
          <w:iCs/>
          <w:lang w:bidi="fr-CH"/>
        </w:rPr>
      </w:pPr>
      <w:r w:rsidRPr="00750D26">
        <w:rPr>
          <w:lang w:bidi="fr-CH"/>
        </w:rPr>
        <w:t>Facultatif, mais un témoin de défaut de fonctionnement est obligatoire s’il est prescrit par le règlement applicable au dispositif.</w:t>
      </w:r>
    </w:p>
    <w:p w:rsidR="00750D26" w:rsidRPr="00750D26" w:rsidRDefault="00750D26" w:rsidP="00750D26">
      <w:pPr>
        <w:pStyle w:val="SingleTxtG"/>
        <w:ind w:left="2268"/>
        <w:rPr>
          <w:iCs/>
          <w:lang w:bidi="fr-CH"/>
        </w:rPr>
      </w:pPr>
      <w:r w:rsidRPr="00750D26">
        <w:rPr>
          <w:lang w:bidi="fr-CH"/>
        </w:rPr>
        <w:t>Si ce témoin existe, il doit s’agir d’un témoin de fonctionnement constitué d’un voyant non clignotant qui s’allume en cas de fonctionnement défectueux des feux-stop.</w:t>
      </w:r>
      <w:r w:rsidR="0002072C">
        <w:rPr>
          <w:lang w:bidi="fr-CH"/>
        </w:rPr>
        <w:t> </w:t>
      </w:r>
      <w:r w:rsidRPr="00750D26">
        <w:rPr>
          <w:lang w:bidi="fr-CH"/>
        </w:rPr>
        <w:t>».</w:t>
      </w:r>
    </w:p>
    <w:p w:rsidR="00750D26" w:rsidRPr="00750D26" w:rsidRDefault="00750D26" w:rsidP="00E93498">
      <w:pPr>
        <w:pStyle w:val="SingleTxtG"/>
        <w:rPr>
          <w:lang w:bidi="fr-CH"/>
        </w:rPr>
      </w:pPr>
      <w:r w:rsidRPr="00750D26">
        <w:rPr>
          <w:i/>
          <w:lang w:bidi="fr-CH"/>
        </w:rPr>
        <w:t>Paragraphe 6.9.8</w:t>
      </w:r>
      <w:r w:rsidRPr="00750D26">
        <w:rPr>
          <w:lang w:bidi="fr-CH"/>
        </w:rPr>
        <w:t>,</w:t>
      </w:r>
      <w:r w:rsidRPr="00750D26">
        <w:rPr>
          <w:i/>
          <w:lang w:bidi="fr-CH"/>
        </w:rPr>
        <w:t xml:space="preserve"> </w:t>
      </w:r>
      <w:r w:rsidRPr="00750D26">
        <w:rPr>
          <w:lang w:bidi="fr-CH"/>
        </w:rPr>
        <w:t>lire</w:t>
      </w:r>
      <w:r w:rsidR="00E93498">
        <w:rPr>
          <w:lang w:bidi="fr-CH"/>
        </w:rPr>
        <w:t> </w:t>
      </w:r>
      <w:r w:rsidRPr="00750D26">
        <w:rPr>
          <w:lang w:bidi="fr-CH"/>
        </w:rPr>
        <w:t>:</w:t>
      </w:r>
    </w:p>
    <w:p w:rsidR="00750D26" w:rsidRPr="00750D26" w:rsidRDefault="00750D26" w:rsidP="00750D26">
      <w:pPr>
        <w:pStyle w:val="SingleTxtG"/>
        <w:ind w:left="2268" w:hanging="1134"/>
        <w:rPr>
          <w:iCs/>
          <w:lang w:bidi="fr-CH"/>
        </w:rPr>
      </w:pPr>
      <w:r w:rsidRPr="00750D26">
        <w:rPr>
          <w:lang w:bidi="fr-CH"/>
        </w:rPr>
        <w:t>«</w:t>
      </w:r>
      <w:r w:rsidR="0002072C">
        <w:rPr>
          <w:lang w:bidi="fr-CH"/>
        </w:rPr>
        <w:t> </w:t>
      </w:r>
      <w:r w:rsidRPr="00750D26">
        <w:rPr>
          <w:lang w:bidi="fr-CH"/>
        </w:rPr>
        <w:t xml:space="preserve">6.9.8 </w:t>
      </w:r>
      <w:r w:rsidRPr="00750D26">
        <w:rPr>
          <w:lang w:bidi="fr-CH"/>
        </w:rPr>
        <w:tab/>
        <w:t>Témoin</w:t>
      </w:r>
    </w:p>
    <w:p w:rsidR="00750D26" w:rsidRPr="00750D26" w:rsidRDefault="00750D26" w:rsidP="00750D26">
      <w:pPr>
        <w:pStyle w:val="SingleTxtG"/>
        <w:ind w:left="2268"/>
        <w:rPr>
          <w:lang w:bidi="fr-CH"/>
        </w:rPr>
      </w:pPr>
      <w:r w:rsidRPr="00750D26">
        <w:rPr>
          <w:lang w:bidi="fr-CH"/>
        </w:rPr>
        <w:t xml:space="preserve">Témoin d’enclenchement obligatoire. </w:t>
      </w:r>
    </w:p>
    <w:p w:rsidR="00750D26" w:rsidRPr="00750D26" w:rsidRDefault="00750D26" w:rsidP="00750D26">
      <w:pPr>
        <w:pStyle w:val="SingleTxtG"/>
        <w:ind w:left="2268"/>
        <w:rPr>
          <w:lang w:bidi="fr-CH"/>
        </w:rPr>
      </w:pPr>
      <w:r w:rsidRPr="00750D26">
        <w:rPr>
          <w:lang w:bidi="fr-CH"/>
        </w:rPr>
        <w:t xml:space="preserve">Ce témoin ne doit pas être clignotant. Il n’est pas exigé si le dispositif d’éclairage du tableau de bord ne peut être allumé que simultanément avec les feux de position avant. </w:t>
      </w:r>
    </w:p>
    <w:p w:rsidR="00750D26" w:rsidRPr="00750D26" w:rsidRDefault="00750D26" w:rsidP="00750D26">
      <w:pPr>
        <w:pStyle w:val="SingleTxtG"/>
        <w:ind w:left="2268"/>
        <w:rPr>
          <w:lang w:bidi="fr-CH"/>
        </w:rPr>
      </w:pPr>
      <w:r w:rsidRPr="00750D26">
        <w:rPr>
          <w:lang w:bidi="fr-CH"/>
        </w:rPr>
        <w:t>Cette prescription ne s’applique pas lorsque le système de signalisation lumineuse fonctionne conformément au paragraphe 6.2.7.6.2.</w:t>
      </w:r>
    </w:p>
    <w:p w:rsidR="00750D26" w:rsidRPr="00750D26" w:rsidRDefault="00750D26" w:rsidP="00750D26">
      <w:pPr>
        <w:pStyle w:val="SingleTxtG"/>
        <w:ind w:left="2268"/>
        <w:rPr>
          <w:lang w:bidi="fr-CH"/>
        </w:rPr>
      </w:pPr>
      <w:r w:rsidRPr="00750D26">
        <w:rPr>
          <w:lang w:bidi="fr-CH"/>
        </w:rPr>
        <w:t>Toutefois un témoin de défaut de fonctionnement est obligatoire s’il est prescrit par le règlement applicable au dispositif.</w:t>
      </w:r>
      <w:r w:rsidR="0002072C">
        <w:rPr>
          <w:lang w:bidi="fr-CH"/>
        </w:rPr>
        <w:t> </w:t>
      </w:r>
      <w:r w:rsidRPr="00750D26">
        <w:rPr>
          <w:lang w:bidi="fr-CH"/>
        </w:rPr>
        <w:t>».</w:t>
      </w:r>
    </w:p>
    <w:p w:rsidR="00750D26" w:rsidRPr="00750D26" w:rsidRDefault="00750D26" w:rsidP="00750D26">
      <w:pPr>
        <w:pStyle w:val="SingleTxtG"/>
        <w:ind w:left="2268" w:hanging="1134"/>
        <w:rPr>
          <w:lang w:bidi="fr-CH"/>
        </w:rPr>
      </w:pPr>
      <w:r w:rsidRPr="00750D26">
        <w:rPr>
          <w:i/>
          <w:lang w:bidi="fr-CH"/>
        </w:rPr>
        <w:t>Paragraphe 6.10.8</w:t>
      </w:r>
      <w:r w:rsidRPr="00750D26">
        <w:rPr>
          <w:lang w:bidi="fr-CH"/>
        </w:rPr>
        <w:t>,</w:t>
      </w:r>
      <w:r w:rsidRPr="00750D26">
        <w:rPr>
          <w:i/>
          <w:lang w:bidi="fr-CH"/>
        </w:rPr>
        <w:t xml:space="preserve"> </w:t>
      </w:r>
      <w:r w:rsidRPr="00750D26">
        <w:rPr>
          <w:lang w:bidi="fr-CH"/>
        </w:rPr>
        <w:t>lire</w:t>
      </w:r>
      <w:r w:rsidR="00E93498">
        <w:rPr>
          <w:lang w:bidi="fr-CH"/>
        </w:rPr>
        <w:t> </w:t>
      </w:r>
      <w:r w:rsidRPr="00750D26">
        <w:rPr>
          <w:lang w:bidi="fr-CH"/>
        </w:rPr>
        <w:t>:</w:t>
      </w:r>
    </w:p>
    <w:p w:rsidR="00750D26" w:rsidRPr="00750D26" w:rsidRDefault="00750D26" w:rsidP="00750D26">
      <w:pPr>
        <w:pStyle w:val="SingleTxtG"/>
        <w:ind w:left="2268" w:hanging="1134"/>
        <w:rPr>
          <w:iCs/>
          <w:lang w:bidi="fr-CH"/>
        </w:rPr>
      </w:pPr>
      <w:r w:rsidRPr="00750D26">
        <w:rPr>
          <w:lang w:bidi="fr-CH"/>
        </w:rPr>
        <w:t>«</w:t>
      </w:r>
      <w:r w:rsidR="0002072C">
        <w:rPr>
          <w:lang w:bidi="fr-CH"/>
        </w:rPr>
        <w:t> </w:t>
      </w:r>
      <w:r w:rsidRPr="00750D26">
        <w:rPr>
          <w:lang w:bidi="fr-CH"/>
        </w:rPr>
        <w:t xml:space="preserve">6.10.8 </w:t>
      </w:r>
      <w:r w:rsidRPr="00750D26">
        <w:rPr>
          <w:lang w:bidi="fr-CH"/>
        </w:rPr>
        <w:tab/>
        <w:t>Témoin</w:t>
      </w:r>
    </w:p>
    <w:p w:rsidR="00750D26" w:rsidRPr="00750D26" w:rsidRDefault="00750D26" w:rsidP="00750D26">
      <w:pPr>
        <w:pStyle w:val="SingleTxtG"/>
        <w:ind w:left="2268"/>
        <w:rPr>
          <w:lang w:bidi="fr-CH"/>
        </w:rPr>
      </w:pPr>
      <w:r w:rsidRPr="00750D26">
        <w:rPr>
          <w:lang w:bidi="fr-CH"/>
        </w:rPr>
        <w:t>Témoin d’enclenchement obligatoire. Il doit être confondu avec celui des feux de position avant.</w:t>
      </w:r>
    </w:p>
    <w:p w:rsidR="00750D26" w:rsidRPr="00750D26" w:rsidRDefault="00750D26" w:rsidP="00750D26">
      <w:pPr>
        <w:pStyle w:val="SingleTxtG"/>
        <w:ind w:left="2268"/>
        <w:rPr>
          <w:i/>
          <w:iCs/>
          <w:lang w:bidi="fr-CH"/>
        </w:rPr>
      </w:pPr>
      <w:r w:rsidRPr="00750D26">
        <w:rPr>
          <w:lang w:bidi="fr-CH"/>
        </w:rPr>
        <w:t>Cette prescription ne s’applique pas lorsque le système de signalisation lumineuse fonctionne conformément au paragraphe 6.2.7.6.2.</w:t>
      </w:r>
    </w:p>
    <w:p w:rsidR="00750D26" w:rsidRPr="00750D26" w:rsidRDefault="00750D26" w:rsidP="00750D26">
      <w:pPr>
        <w:pStyle w:val="SingleTxtG"/>
        <w:ind w:left="2268"/>
        <w:rPr>
          <w:lang w:bidi="fr-CH"/>
        </w:rPr>
      </w:pPr>
      <w:r w:rsidRPr="00750D26">
        <w:rPr>
          <w:lang w:bidi="fr-CH"/>
        </w:rPr>
        <w:t>Toutefois un témoin de défaut de fonctionnement est obligatoire s’il est prescrit par le règlement applicable au dispositif.</w:t>
      </w:r>
      <w:r w:rsidR="0002072C">
        <w:rPr>
          <w:lang w:bidi="fr-CH"/>
        </w:rPr>
        <w:t> </w:t>
      </w:r>
      <w:r w:rsidRPr="00750D26">
        <w:rPr>
          <w:lang w:bidi="fr-CH"/>
        </w:rPr>
        <w:t xml:space="preserve">». </w:t>
      </w:r>
    </w:p>
    <w:p w:rsidR="00750D26" w:rsidRPr="00750D26" w:rsidRDefault="00750D26" w:rsidP="00E93498">
      <w:pPr>
        <w:pStyle w:val="SingleTxtG"/>
        <w:ind w:left="2268" w:hanging="1134"/>
        <w:rPr>
          <w:lang w:bidi="fr-CH"/>
        </w:rPr>
      </w:pPr>
      <w:r w:rsidRPr="00750D26">
        <w:rPr>
          <w:i/>
          <w:lang w:bidi="fr-CH"/>
        </w:rPr>
        <w:t>Paragraphe 6.13.8</w:t>
      </w:r>
      <w:r w:rsidRPr="00750D26">
        <w:rPr>
          <w:lang w:bidi="fr-CH"/>
        </w:rPr>
        <w:t>,</w:t>
      </w:r>
      <w:r w:rsidRPr="00750D26">
        <w:rPr>
          <w:i/>
          <w:lang w:bidi="fr-CH"/>
        </w:rPr>
        <w:t xml:space="preserve"> </w:t>
      </w:r>
      <w:r w:rsidRPr="00750D26">
        <w:rPr>
          <w:lang w:bidi="fr-CH"/>
        </w:rPr>
        <w:t>lire</w:t>
      </w:r>
      <w:r w:rsidR="00E93498">
        <w:rPr>
          <w:lang w:bidi="fr-CH"/>
        </w:rPr>
        <w:t> </w:t>
      </w:r>
      <w:r w:rsidRPr="00750D26">
        <w:rPr>
          <w:lang w:bidi="fr-CH"/>
        </w:rPr>
        <w:t>:</w:t>
      </w:r>
    </w:p>
    <w:p w:rsidR="00750D26" w:rsidRPr="00750D26" w:rsidRDefault="00750D26" w:rsidP="00750D26">
      <w:pPr>
        <w:pStyle w:val="SingleTxtG"/>
        <w:ind w:left="2268" w:hanging="1134"/>
        <w:rPr>
          <w:i/>
          <w:iCs/>
          <w:lang w:bidi="fr-CH"/>
        </w:rPr>
      </w:pPr>
      <w:r w:rsidRPr="00750D26">
        <w:rPr>
          <w:lang w:bidi="fr-CH"/>
        </w:rPr>
        <w:t>«</w:t>
      </w:r>
      <w:r w:rsidR="0002072C">
        <w:rPr>
          <w:lang w:bidi="fr-CH"/>
        </w:rPr>
        <w:t> </w:t>
      </w:r>
      <w:r w:rsidRPr="00750D26">
        <w:rPr>
          <w:lang w:bidi="fr-CH"/>
        </w:rPr>
        <w:t>6.13.8</w:t>
      </w:r>
      <w:r w:rsidRPr="00750D26">
        <w:rPr>
          <w:lang w:bidi="fr-CH"/>
        </w:rPr>
        <w:tab/>
        <w:t>Témoin</w:t>
      </w:r>
    </w:p>
    <w:p w:rsidR="00750D26" w:rsidRPr="00750D26" w:rsidRDefault="00750D26" w:rsidP="00750D26">
      <w:pPr>
        <w:pStyle w:val="SingleTxtG"/>
        <w:ind w:left="2268"/>
        <w:rPr>
          <w:lang w:bidi="fr-CH"/>
        </w:rPr>
      </w:pPr>
      <w:r w:rsidRPr="00750D26">
        <w:rPr>
          <w:lang w:bidi="fr-CH"/>
        </w:rPr>
        <w:t>Facultatif. S’il existe, sa fonction doit être assurée par le témoin prescrit pour les feux de position.</w:t>
      </w:r>
    </w:p>
    <w:p w:rsidR="00750D26" w:rsidRPr="00750D26" w:rsidRDefault="00750D26" w:rsidP="00750D26">
      <w:pPr>
        <w:pStyle w:val="SingleTxtG"/>
        <w:ind w:left="2268"/>
        <w:rPr>
          <w:lang w:bidi="fr-CH"/>
        </w:rPr>
      </w:pPr>
      <w:r w:rsidRPr="00750D26">
        <w:rPr>
          <w:lang w:bidi="fr-CH"/>
        </w:rPr>
        <w:t>Toutefois un témoin de défaut de fonctionnement est obligatoire s’il est prescrit par le règlement applicable au dispositif.</w:t>
      </w:r>
      <w:r w:rsidR="0002072C">
        <w:rPr>
          <w:lang w:bidi="fr-CH"/>
        </w:rPr>
        <w:t> </w:t>
      </w:r>
      <w:r w:rsidRPr="00750D26">
        <w:rPr>
          <w:lang w:bidi="fr-CH"/>
        </w:rPr>
        <w:t xml:space="preserve">». </w:t>
      </w:r>
    </w:p>
    <w:p w:rsidR="00750D26" w:rsidRPr="00750D26" w:rsidRDefault="00750D26" w:rsidP="00750D26">
      <w:pPr>
        <w:pStyle w:val="SingleTxtG"/>
        <w:ind w:left="2268" w:hanging="1134"/>
        <w:rPr>
          <w:iCs/>
          <w:lang w:bidi="fr-CH"/>
        </w:rPr>
      </w:pPr>
      <w:r w:rsidRPr="00750D26">
        <w:rPr>
          <w:i/>
          <w:lang w:bidi="fr-CH"/>
        </w:rPr>
        <w:t>Paragraphe 6.19.8</w:t>
      </w:r>
      <w:r w:rsidRPr="00750D26">
        <w:rPr>
          <w:lang w:bidi="fr-CH"/>
        </w:rPr>
        <w:t>,</w:t>
      </w:r>
      <w:r w:rsidRPr="00750D26">
        <w:rPr>
          <w:i/>
          <w:lang w:bidi="fr-CH"/>
        </w:rPr>
        <w:t xml:space="preserve"> </w:t>
      </w:r>
      <w:r w:rsidRPr="00750D26">
        <w:rPr>
          <w:lang w:bidi="fr-CH"/>
        </w:rPr>
        <w:t>lire</w:t>
      </w:r>
      <w:r w:rsidR="0002072C">
        <w:rPr>
          <w:lang w:bidi="fr-CH"/>
        </w:rPr>
        <w:t> </w:t>
      </w:r>
      <w:r w:rsidRPr="00750D26">
        <w:rPr>
          <w:lang w:bidi="fr-CH"/>
        </w:rPr>
        <w:t>:</w:t>
      </w:r>
    </w:p>
    <w:p w:rsidR="00750D26" w:rsidRPr="00750D26" w:rsidRDefault="0002072C" w:rsidP="00750D26">
      <w:pPr>
        <w:pStyle w:val="SingleTxtG"/>
        <w:ind w:left="2268" w:hanging="1134"/>
        <w:rPr>
          <w:iCs/>
          <w:lang w:bidi="fr-CH"/>
        </w:rPr>
      </w:pPr>
      <w:r>
        <w:rPr>
          <w:lang w:bidi="fr-CH"/>
        </w:rPr>
        <w:t>« 6.19.8</w:t>
      </w:r>
      <w:r w:rsidR="00750D26" w:rsidRPr="00750D26">
        <w:rPr>
          <w:lang w:bidi="fr-CH"/>
        </w:rPr>
        <w:tab/>
        <w:t>Témoin</w:t>
      </w:r>
    </w:p>
    <w:p w:rsidR="00750D26" w:rsidRPr="00750D26" w:rsidRDefault="00750D26" w:rsidP="00750D26">
      <w:pPr>
        <w:pStyle w:val="SingleTxtG"/>
        <w:ind w:left="2268"/>
        <w:rPr>
          <w:iCs/>
          <w:lang w:bidi="fr-CH"/>
        </w:rPr>
      </w:pPr>
      <w:r w:rsidRPr="00750D26">
        <w:rPr>
          <w:lang w:bidi="fr-CH"/>
        </w:rPr>
        <w:t>Témoin d’enclenchement facultatif, mais un témoin de défaut de fonctionnement est obligatoire s’il est prescrit par le règlement applicable au dispositif.</w:t>
      </w:r>
      <w:r w:rsidR="00E34D3E">
        <w:rPr>
          <w:lang w:bidi="fr-CH"/>
        </w:rPr>
        <w:t> ».</w:t>
      </w:r>
    </w:p>
    <w:p w:rsidR="00750D26" w:rsidRPr="00750D26" w:rsidRDefault="00750D26" w:rsidP="00750D26">
      <w:pPr>
        <w:pStyle w:val="SingleTxtG"/>
        <w:ind w:left="2268" w:hanging="1134"/>
        <w:rPr>
          <w:lang w:bidi="fr-CH"/>
        </w:rPr>
      </w:pPr>
      <w:r w:rsidRPr="00750D26">
        <w:rPr>
          <w:i/>
          <w:lang w:bidi="fr-CH"/>
        </w:rPr>
        <w:lastRenderedPageBreak/>
        <w:t>Paragraphe 6.21.1.2.4</w:t>
      </w:r>
      <w:r w:rsidRPr="00750D26">
        <w:rPr>
          <w:lang w:bidi="fr-CH"/>
        </w:rPr>
        <w:t>, lire</w:t>
      </w:r>
      <w:r>
        <w:rPr>
          <w:lang w:bidi="fr-CH"/>
        </w:rPr>
        <w:t> </w:t>
      </w:r>
      <w:r w:rsidRPr="00750D26">
        <w:rPr>
          <w:lang w:bidi="fr-CH"/>
        </w:rPr>
        <w:t>:</w:t>
      </w:r>
    </w:p>
    <w:p w:rsidR="00750D26" w:rsidRPr="00750D26" w:rsidRDefault="00750D26" w:rsidP="00E93498">
      <w:pPr>
        <w:pStyle w:val="SingleTxtG"/>
        <w:ind w:left="2268" w:hanging="1134"/>
        <w:rPr>
          <w:lang w:bidi="fr-CH"/>
        </w:rPr>
      </w:pPr>
      <w:r w:rsidRPr="00750D26">
        <w:rPr>
          <w:lang w:bidi="fr-CH"/>
        </w:rPr>
        <w:t>«</w:t>
      </w:r>
      <w:r>
        <w:rPr>
          <w:lang w:bidi="fr-CH"/>
        </w:rPr>
        <w:t> </w:t>
      </w:r>
      <w:r w:rsidRPr="00750D26">
        <w:rPr>
          <w:lang w:bidi="fr-CH"/>
        </w:rPr>
        <w:t>6.21.1.2.4</w:t>
      </w:r>
      <w:r w:rsidRPr="00750D26">
        <w:rPr>
          <w:lang w:bidi="fr-CH"/>
        </w:rPr>
        <w:tab/>
        <w:t>Si les surfaces extérieures de la carrosserie sont partiellement constituées d’un matériau souple, ce marquage linéaire doit être installé sur une (des) partie(s) rigide(s) du véhicule. Les marquages à grande visibilité restants peuvent être installés sur les parties souples. Si les surfaces extérieures de la carrosserie sont entièrement constituées d’un matériau souple, ce marquage linéaire peut être installé sur les parties souples.</w:t>
      </w:r>
      <w:r w:rsidR="0002072C">
        <w:rPr>
          <w:lang w:bidi="fr-CH"/>
        </w:rPr>
        <w:t> </w:t>
      </w:r>
      <w:r w:rsidRPr="00750D26">
        <w:rPr>
          <w:lang w:bidi="fr-CH"/>
        </w:rPr>
        <w:t>».</w:t>
      </w:r>
    </w:p>
    <w:p w:rsidR="00750D26" w:rsidRPr="00750D26" w:rsidRDefault="00750D26" w:rsidP="0002072C">
      <w:pPr>
        <w:pStyle w:val="SingleTxtG"/>
        <w:rPr>
          <w:lang w:bidi="fr-CH"/>
        </w:rPr>
      </w:pPr>
      <w:r w:rsidRPr="0002072C">
        <w:rPr>
          <w:i/>
          <w:lang w:bidi="fr-CH"/>
        </w:rPr>
        <w:t>Annexe 1, point 9</w:t>
      </w:r>
      <w:r w:rsidRPr="00750D26">
        <w:rPr>
          <w:lang w:bidi="fr-CH"/>
        </w:rPr>
        <w:t xml:space="preserve">, </w:t>
      </w:r>
      <w:r w:rsidRPr="00CE74D0">
        <w:rPr>
          <w:i/>
          <w:lang w:bidi="fr-CH"/>
        </w:rPr>
        <w:t>ajouter les nouveaux sous-points 9.9.1, 9.11.1,9.12.1, 9.15.1 et 9.21.1</w:t>
      </w:r>
      <w:r w:rsidRPr="00750D26">
        <w:rPr>
          <w:lang w:bidi="fr-CH"/>
        </w:rPr>
        <w:t>, libellés comme suit</w:t>
      </w:r>
      <w:r w:rsidR="0002072C">
        <w:rPr>
          <w:lang w:bidi="fr-CH"/>
        </w:rPr>
        <w:t> </w:t>
      </w:r>
      <w:r w:rsidRPr="00750D26">
        <w:rPr>
          <w:lang w:bidi="fr-CH"/>
        </w:rPr>
        <w:t>:</w:t>
      </w:r>
    </w:p>
    <w:p w:rsidR="00750D26" w:rsidRPr="00750D26" w:rsidRDefault="00750D26" w:rsidP="00E34D3E">
      <w:pPr>
        <w:pStyle w:val="SingleTxtG"/>
        <w:rPr>
          <w:lang w:bidi="fr-CH"/>
        </w:rPr>
      </w:pPr>
      <w:r w:rsidRPr="00750D26">
        <w:rPr>
          <w:lang w:bidi="fr-CH"/>
        </w:rPr>
        <w:t>«</w:t>
      </w:r>
      <w:r w:rsidR="0002072C">
        <w:rPr>
          <w:lang w:bidi="fr-CH"/>
        </w:rPr>
        <w:t> </w:t>
      </w:r>
      <w:r w:rsidRPr="00750D26">
        <w:rPr>
          <w:lang w:bidi="fr-CH"/>
        </w:rPr>
        <w:t>(...)</w:t>
      </w:r>
    </w:p>
    <w:p w:rsidR="00750D26" w:rsidRPr="00750D26" w:rsidRDefault="00750D26" w:rsidP="00E93498">
      <w:pPr>
        <w:pStyle w:val="SingleTxtG"/>
        <w:ind w:left="2268" w:hanging="1134"/>
        <w:rPr>
          <w:lang w:bidi="fr-CH"/>
        </w:rPr>
      </w:pPr>
      <w:r w:rsidRPr="00750D26">
        <w:rPr>
          <w:lang w:bidi="fr-CH"/>
        </w:rPr>
        <w:t>9.9.1</w:t>
      </w:r>
      <w:r w:rsidRPr="00750D26">
        <w:rPr>
          <w:lang w:bidi="fr-CH"/>
        </w:rPr>
        <w:tab/>
        <w:t>Témoin de défaut de fonctionnement prescrit par le règ</w:t>
      </w:r>
      <w:r w:rsidR="0002072C">
        <w:rPr>
          <w:lang w:bidi="fr-CH"/>
        </w:rPr>
        <w:t>lement applicable au dispositif </w:t>
      </w:r>
      <w:r w:rsidRPr="00750D26">
        <w:rPr>
          <w:lang w:bidi="fr-CH"/>
        </w:rPr>
        <w:t>: oui/non</w:t>
      </w:r>
      <w:r w:rsidRPr="00750D26">
        <w:rPr>
          <w:vertAlign w:val="superscript"/>
          <w:lang w:bidi="fr-CH"/>
        </w:rPr>
        <w:t>2</w:t>
      </w:r>
      <w:r w:rsidR="0002072C">
        <w:rPr>
          <w:lang w:bidi="fr-CH"/>
        </w:rPr>
        <w:t xml:space="preserve"> ...</w:t>
      </w:r>
    </w:p>
    <w:p w:rsidR="00750D26" w:rsidRPr="00750D26" w:rsidRDefault="00750D26" w:rsidP="00E34D3E">
      <w:pPr>
        <w:pStyle w:val="SingleTxtG"/>
        <w:rPr>
          <w:lang w:bidi="fr-CH"/>
        </w:rPr>
      </w:pPr>
      <w:r w:rsidRPr="00750D26">
        <w:rPr>
          <w:lang w:bidi="fr-CH"/>
        </w:rPr>
        <w:t>…</w:t>
      </w:r>
    </w:p>
    <w:p w:rsidR="00750D26" w:rsidRPr="00750D26" w:rsidRDefault="0002072C" w:rsidP="00E93498">
      <w:pPr>
        <w:pStyle w:val="SingleTxtG"/>
        <w:ind w:left="2268" w:hanging="1134"/>
        <w:rPr>
          <w:lang w:bidi="fr-CH"/>
        </w:rPr>
      </w:pPr>
      <w:r>
        <w:rPr>
          <w:lang w:bidi="fr-CH"/>
        </w:rPr>
        <w:t>9.11.1</w:t>
      </w:r>
      <w:r w:rsidR="00750D26" w:rsidRPr="00750D26">
        <w:rPr>
          <w:lang w:bidi="fr-CH"/>
        </w:rPr>
        <w:tab/>
        <w:t>Témoin de défaut de fonctionnement prescrit par le règ</w:t>
      </w:r>
      <w:r>
        <w:rPr>
          <w:lang w:bidi="fr-CH"/>
        </w:rPr>
        <w:t>lement applicable au dispositif </w:t>
      </w:r>
      <w:r w:rsidR="00750D26" w:rsidRPr="00750D26">
        <w:rPr>
          <w:lang w:bidi="fr-CH"/>
        </w:rPr>
        <w:t>: oui/non</w:t>
      </w:r>
      <w:r w:rsidR="00750D26" w:rsidRPr="00750D26">
        <w:rPr>
          <w:vertAlign w:val="superscript"/>
          <w:lang w:bidi="fr-CH"/>
        </w:rPr>
        <w:t>2</w:t>
      </w:r>
      <w:r w:rsidR="00750D26" w:rsidRPr="00750D26">
        <w:rPr>
          <w:lang w:bidi="fr-CH"/>
        </w:rPr>
        <w:t xml:space="preserve"> ...</w:t>
      </w:r>
    </w:p>
    <w:p w:rsidR="00750D26" w:rsidRPr="00750D26" w:rsidRDefault="00750D26" w:rsidP="00E34D3E">
      <w:pPr>
        <w:pStyle w:val="SingleTxtG"/>
        <w:rPr>
          <w:lang w:bidi="fr-CH"/>
        </w:rPr>
      </w:pPr>
      <w:r w:rsidRPr="00750D26">
        <w:rPr>
          <w:lang w:bidi="fr-CH"/>
        </w:rPr>
        <w:t>…</w:t>
      </w:r>
    </w:p>
    <w:p w:rsidR="00750D26" w:rsidRPr="00750D26" w:rsidRDefault="00750D26" w:rsidP="00E93498">
      <w:pPr>
        <w:pStyle w:val="SingleTxtG"/>
        <w:ind w:left="2268" w:hanging="1134"/>
        <w:rPr>
          <w:lang w:bidi="fr-CH"/>
        </w:rPr>
      </w:pPr>
      <w:r w:rsidRPr="00750D26">
        <w:rPr>
          <w:lang w:bidi="fr-CH"/>
        </w:rPr>
        <w:t>9.12.1</w:t>
      </w:r>
      <w:r w:rsidRPr="00750D26">
        <w:rPr>
          <w:lang w:bidi="fr-CH"/>
        </w:rPr>
        <w:tab/>
        <w:t>Témoin de défaut de fonctionnement prescrit par le règ</w:t>
      </w:r>
      <w:r w:rsidR="0002072C">
        <w:rPr>
          <w:lang w:bidi="fr-CH"/>
        </w:rPr>
        <w:t>lement applicable au dispositif </w:t>
      </w:r>
      <w:r w:rsidRPr="00750D26">
        <w:rPr>
          <w:lang w:bidi="fr-CH"/>
        </w:rPr>
        <w:t>: oui/non</w:t>
      </w:r>
      <w:r w:rsidRPr="00750D26">
        <w:rPr>
          <w:vertAlign w:val="superscript"/>
          <w:lang w:bidi="fr-CH"/>
        </w:rPr>
        <w:t>2</w:t>
      </w:r>
      <w:r w:rsidRPr="00750D26">
        <w:rPr>
          <w:lang w:bidi="fr-CH"/>
        </w:rPr>
        <w:t xml:space="preserve"> ...</w:t>
      </w:r>
    </w:p>
    <w:p w:rsidR="00750D26" w:rsidRPr="00750D26" w:rsidRDefault="00750D26" w:rsidP="00E34D3E">
      <w:pPr>
        <w:pStyle w:val="SingleTxtG"/>
        <w:rPr>
          <w:lang w:bidi="fr-CH"/>
        </w:rPr>
      </w:pPr>
      <w:r w:rsidRPr="00750D26">
        <w:rPr>
          <w:lang w:bidi="fr-CH"/>
        </w:rPr>
        <w:t>…</w:t>
      </w:r>
    </w:p>
    <w:p w:rsidR="00750D26" w:rsidRPr="00750D26" w:rsidRDefault="00750D26" w:rsidP="00E93498">
      <w:pPr>
        <w:pStyle w:val="SingleTxtG"/>
        <w:ind w:left="2268" w:hanging="1134"/>
        <w:rPr>
          <w:lang w:bidi="fr-CH"/>
        </w:rPr>
      </w:pPr>
      <w:r w:rsidRPr="00750D26">
        <w:rPr>
          <w:lang w:bidi="fr-CH"/>
        </w:rPr>
        <w:t>9.15.1</w:t>
      </w:r>
      <w:r w:rsidRPr="00750D26">
        <w:rPr>
          <w:lang w:bidi="fr-CH"/>
        </w:rPr>
        <w:tab/>
        <w:t>Témoin de défaut de fonctionnement prescrit par le règ</w:t>
      </w:r>
      <w:r w:rsidR="0002072C">
        <w:rPr>
          <w:lang w:bidi="fr-CH"/>
        </w:rPr>
        <w:t>lement applicable au dispositif </w:t>
      </w:r>
      <w:r w:rsidRPr="00750D26">
        <w:rPr>
          <w:lang w:bidi="fr-CH"/>
        </w:rPr>
        <w:t>: oui/non</w:t>
      </w:r>
      <w:r w:rsidRPr="00750D26">
        <w:rPr>
          <w:vertAlign w:val="superscript"/>
          <w:lang w:bidi="fr-CH"/>
        </w:rPr>
        <w:t>2</w:t>
      </w:r>
      <w:r w:rsidRPr="00750D26">
        <w:rPr>
          <w:lang w:bidi="fr-CH"/>
        </w:rPr>
        <w:t xml:space="preserve"> ...</w:t>
      </w:r>
    </w:p>
    <w:p w:rsidR="00750D26" w:rsidRPr="00750D26" w:rsidRDefault="00750D26" w:rsidP="00E34D3E">
      <w:pPr>
        <w:pStyle w:val="SingleTxtG"/>
        <w:rPr>
          <w:lang w:bidi="fr-CH"/>
        </w:rPr>
      </w:pPr>
      <w:r w:rsidRPr="00750D26">
        <w:rPr>
          <w:lang w:bidi="fr-CH"/>
        </w:rPr>
        <w:t>…</w:t>
      </w:r>
    </w:p>
    <w:p w:rsidR="00750D26" w:rsidRPr="00750D26" w:rsidRDefault="00750D26" w:rsidP="00E93498">
      <w:pPr>
        <w:pStyle w:val="SingleTxtG"/>
        <w:ind w:left="2268" w:hanging="1134"/>
        <w:rPr>
          <w:lang w:bidi="fr-CH"/>
        </w:rPr>
      </w:pPr>
      <w:r w:rsidRPr="00750D26">
        <w:rPr>
          <w:lang w:bidi="fr-CH"/>
        </w:rPr>
        <w:t>9.21.1</w:t>
      </w:r>
      <w:r w:rsidRPr="00750D26">
        <w:rPr>
          <w:lang w:bidi="fr-CH"/>
        </w:rPr>
        <w:tab/>
        <w:t>Témoin de défaut de fonctionnement prescrit par le règ</w:t>
      </w:r>
      <w:r w:rsidR="0002072C">
        <w:rPr>
          <w:lang w:bidi="fr-CH"/>
        </w:rPr>
        <w:t>lement applicable au dispositif </w:t>
      </w:r>
      <w:r w:rsidRPr="00750D26">
        <w:rPr>
          <w:lang w:bidi="fr-CH"/>
        </w:rPr>
        <w:t>: oui/non</w:t>
      </w:r>
      <w:r w:rsidRPr="00750D26">
        <w:rPr>
          <w:vertAlign w:val="superscript"/>
          <w:lang w:bidi="fr-CH"/>
        </w:rPr>
        <w:t>2</w:t>
      </w:r>
      <w:r w:rsidRPr="00750D26">
        <w:rPr>
          <w:lang w:bidi="fr-CH"/>
        </w:rPr>
        <w:t xml:space="preserve"> ...</w:t>
      </w:r>
    </w:p>
    <w:p w:rsidR="00750D26" w:rsidRPr="00750D26" w:rsidRDefault="00750D26" w:rsidP="00750D26">
      <w:pPr>
        <w:pStyle w:val="SingleTxtG"/>
        <w:ind w:left="2268"/>
        <w:rPr>
          <w:lang w:bidi="fr-CH"/>
        </w:rPr>
      </w:pPr>
      <w:r w:rsidRPr="00750D26">
        <w:rPr>
          <w:lang w:bidi="fr-CH"/>
        </w:rPr>
        <w:t>…</w:t>
      </w:r>
    </w:p>
    <w:p w:rsidR="00750D26" w:rsidRPr="00750D26" w:rsidRDefault="00750D26" w:rsidP="00750D26">
      <w:pPr>
        <w:rPr>
          <w:vertAlign w:val="superscript"/>
          <w:lang w:bidi="fr-CH"/>
        </w:rPr>
      </w:pPr>
      <w:r w:rsidRPr="00750D26">
        <w:rPr>
          <w:vertAlign w:val="superscript"/>
          <w:lang w:bidi="fr-CH"/>
        </w:rPr>
        <w:t>_________________________</w:t>
      </w:r>
    </w:p>
    <w:p w:rsidR="00750D26" w:rsidRPr="00750D26" w:rsidRDefault="00750D26" w:rsidP="0002072C">
      <w:pPr>
        <w:pStyle w:val="FootnoteText"/>
        <w:rPr>
          <w:lang w:bidi="fr-CH"/>
        </w:rPr>
      </w:pPr>
      <w:r w:rsidRPr="00750D26">
        <w:rPr>
          <w:lang w:bidi="fr-CH"/>
        </w:rPr>
        <w:tab/>
      </w:r>
      <w:r w:rsidRPr="00750D26">
        <w:rPr>
          <w:vertAlign w:val="superscript"/>
          <w:lang w:bidi="fr-CH"/>
        </w:rPr>
        <w:t>2</w:t>
      </w:r>
      <w:r w:rsidRPr="00750D26">
        <w:rPr>
          <w:lang w:bidi="fr-CH"/>
        </w:rPr>
        <w:tab/>
        <w:t>Biffer la mention inutile.</w:t>
      </w:r>
      <w:r w:rsidR="00E34D3E">
        <w:rPr>
          <w:lang w:bidi="fr-CH"/>
        </w:rPr>
        <w:t> ».</w:t>
      </w:r>
    </w:p>
    <w:p w:rsidR="00F9573C" w:rsidRPr="00750D26" w:rsidRDefault="00750D26" w:rsidP="00750D26">
      <w:pPr>
        <w:pStyle w:val="SingleTxtG"/>
        <w:spacing w:before="240" w:after="0"/>
        <w:jc w:val="center"/>
        <w:rPr>
          <w:u w:val="single"/>
        </w:rPr>
      </w:pPr>
      <w:r>
        <w:rPr>
          <w:u w:val="single"/>
        </w:rPr>
        <w:tab/>
      </w:r>
      <w:r>
        <w:rPr>
          <w:u w:val="single"/>
        </w:rPr>
        <w:tab/>
      </w:r>
      <w:r>
        <w:rPr>
          <w:u w:val="single"/>
        </w:rPr>
        <w:tab/>
      </w:r>
    </w:p>
    <w:sectPr w:rsidR="00F9573C" w:rsidRPr="00750D26" w:rsidSect="00750D2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28" w:rsidRDefault="005A6528" w:rsidP="00F95C08">
      <w:pPr>
        <w:spacing w:line="240" w:lineRule="auto"/>
      </w:pPr>
    </w:p>
  </w:endnote>
  <w:endnote w:type="continuationSeparator" w:id="0">
    <w:p w:rsidR="005A6528" w:rsidRPr="00AC3823" w:rsidRDefault="005A6528" w:rsidP="00AC3823">
      <w:pPr>
        <w:pStyle w:val="Footer"/>
      </w:pPr>
    </w:p>
  </w:endnote>
  <w:endnote w:type="continuationNotice" w:id="1">
    <w:p w:rsidR="005A6528" w:rsidRDefault="005A65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26" w:rsidRPr="00750D26" w:rsidRDefault="00750D26" w:rsidP="00750D26">
    <w:pPr>
      <w:pStyle w:val="Footer"/>
      <w:tabs>
        <w:tab w:val="right" w:pos="9638"/>
      </w:tabs>
    </w:pPr>
    <w:r w:rsidRPr="00750D26">
      <w:rPr>
        <w:b/>
        <w:sz w:val="18"/>
      </w:rPr>
      <w:fldChar w:fldCharType="begin"/>
    </w:r>
    <w:r w:rsidRPr="00750D26">
      <w:rPr>
        <w:b/>
        <w:sz w:val="18"/>
      </w:rPr>
      <w:instrText xml:space="preserve"> PAGE  \* MERGEFORMAT </w:instrText>
    </w:r>
    <w:r w:rsidRPr="00750D26">
      <w:rPr>
        <w:b/>
        <w:sz w:val="18"/>
      </w:rPr>
      <w:fldChar w:fldCharType="separate"/>
    </w:r>
    <w:r w:rsidR="009C0052">
      <w:rPr>
        <w:b/>
        <w:noProof/>
        <w:sz w:val="18"/>
      </w:rPr>
      <w:t>2</w:t>
    </w:r>
    <w:r w:rsidRPr="00750D26">
      <w:rPr>
        <w:b/>
        <w:sz w:val="18"/>
      </w:rPr>
      <w:fldChar w:fldCharType="end"/>
    </w:r>
    <w:r>
      <w:rPr>
        <w:b/>
        <w:sz w:val="18"/>
      </w:rPr>
      <w:tab/>
    </w:r>
    <w:r>
      <w:t>GE.16-15045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26" w:rsidRPr="00750D26" w:rsidRDefault="00750D26" w:rsidP="00750D26">
    <w:pPr>
      <w:pStyle w:val="Footer"/>
      <w:tabs>
        <w:tab w:val="right" w:pos="9638"/>
      </w:tabs>
      <w:rPr>
        <w:b/>
        <w:sz w:val="18"/>
      </w:rPr>
    </w:pPr>
    <w:r>
      <w:t>GE.16-15045</w:t>
    </w:r>
    <w:r>
      <w:tab/>
    </w:r>
    <w:r w:rsidRPr="00750D26">
      <w:rPr>
        <w:b/>
        <w:sz w:val="18"/>
      </w:rPr>
      <w:fldChar w:fldCharType="begin"/>
    </w:r>
    <w:r w:rsidRPr="00750D26">
      <w:rPr>
        <w:b/>
        <w:sz w:val="18"/>
      </w:rPr>
      <w:instrText xml:space="preserve"> PAGE  \* MERGEFORMAT </w:instrText>
    </w:r>
    <w:r w:rsidRPr="00750D26">
      <w:rPr>
        <w:b/>
        <w:sz w:val="18"/>
      </w:rPr>
      <w:fldChar w:fldCharType="separate"/>
    </w:r>
    <w:r w:rsidR="009C0052">
      <w:rPr>
        <w:b/>
        <w:noProof/>
        <w:sz w:val="18"/>
      </w:rPr>
      <w:t>3</w:t>
    </w:r>
    <w:r w:rsidRPr="00750D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50D26" w:rsidRDefault="00750D26" w:rsidP="00750D2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CD90265" wp14:editId="3C3DB6F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16-15045  (F)    260916    280916</w:t>
    </w:r>
    <w:r>
      <w:rPr>
        <w:sz w:val="20"/>
      </w:rPr>
      <w:br/>
    </w:r>
    <w:r w:rsidRPr="00750D26">
      <w:rPr>
        <w:rFonts w:ascii="C39T30Lfz" w:hAnsi="C39T30Lfz"/>
        <w:sz w:val="56"/>
      </w:rPr>
      <w:t></w:t>
    </w:r>
    <w:r w:rsidRPr="00750D26">
      <w:rPr>
        <w:rFonts w:ascii="C39T30Lfz" w:hAnsi="C39T30Lfz"/>
        <w:sz w:val="56"/>
      </w:rPr>
      <w:t></w:t>
    </w:r>
    <w:r w:rsidRPr="00750D26">
      <w:rPr>
        <w:rFonts w:ascii="C39T30Lfz" w:hAnsi="C39T30Lfz"/>
        <w:sz w:val="56"/>
      </w:rPr>
      <w:t></w:t>
    </w:r>
    <w:r w:rsidRPr="00750D26">
      <w:rPr>
        <w:rFonts w:ascii="C39T30Lfz" w:hAnsi="C39T30Lfz"/>
        <w:sz w:val="56"/>
      </w:rPr>
      <w:t></w:t>
    </w:r>
    <w:r w:rsidRPr="00750D26">
      <w:rPr>
        <w:rFonts w:ascii="C39T30Lfz" w:hAnsi="C39T30Lfz"/>
        <w:sz w:val="56"/>
      </w:rPr>
      <w:t></w:t>
    </w:r>
    <w:r w:rsidRPr="00750D26">
      <w:rPr>
        <w:rFonts w:ascii="C39T30Lfz" w:hAnsi="C39T30Lfz"/>
        <w:sz w:val="56"/>
      </w:rPr>
      <w:t></w:t>
    </w:r>
    <w:r w:rsidRPr="00750D26">
      <w:rPr>
        <w:rFonts w:ascii="C39T30Lfz" w:hAnsi="C39T30Lfz"/>
        <w:sz w:val="56"/>
      </w:rPr>
      <w:t></w:t>
    </w:r>
    <w:r w:rsidRPr="00750D26">
      <w:rPr>
        <w:rFonts w:ascii="C39T30Lfz" w:hAnsi="C39T30Lfz"/>
        <w:sz w:val="56"/>
      </w:rPr>
      <w:t></w:t>
    </w:r>
    <w:r w:rsidRPr="00750D2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28" w:rsidRPr="00AC3823" w:rsidRDefault="005A6528" w:rsidP="00AC3823">
      <w:pPr>
        <w:pStyle w:val="Footer"/>
        <w:tabs>
          <w:tab w:val="right" w:pos="2155"/>
        </w:tabs>
        <w:spacing w:after="80" w:line="240" w:lineRule="atLeast"/>
        <w:ind w:left="680"/>
        <w:rPr>
          <w:u w:val="single"/>
        </w:rPr>
      </w:pPr>
      <w:r>
        <w:rPr>
          <w:u w:val="single"/>
        </w:rPr>
        <w:tab/>
      </w:r>
    </w:p>
  </w:footnote>
  <w:footnote w:type="continuationSeparator" w:id="0">
    <w:p w:rsidR="005A6528" w:rsidRPr="00AC3823" w:rsidRDefault="005A6528" w:rsidP="00AC3823">
      <w:pPr>
        <w:pStyle w:val="Footer"/>
        <w:tabs>
          <w:tab w:val="right" w:pos="2155"/>
        </w:tabs>
        <w:spacing w:after="80" w:line="240" w:lineRule="atLeast"/>
        <w:ind w:left="680"/>
        <w:rPr>
          <w:u w:val="single"/>
        </w:rPr>
      </w:pPr>
      <w:r>
        <w:rPr>
          <w:u w:val="single"/>
        </w:rPr>
        <w:tab/>
      </w:r>
    </w:p>
  </w:footnote>
  <w:footnote w:type="continuationNotice" w:id="1">
    <w:p w:rsidR="005A6528" w:rsidRPr="00AC3823" w:rsidRDefault="005A6528">
      <w:pPr>
        <w:spacing w:line="240" w:lineRule="auto"/>
        <w:rPr>
          <w:sz w:val="2"/>
          <w:szCs w:val="2"/>
        </w:rPr>
      </w:pPr>
    </w:p>
  </w:footnote>
  <w:footnote w:id="2">
    <w:p w:rsidR="00750D26" w:rsidRPr="0020487D" w:rsidRDefault="00750D26" w:rsidP="00750D26">
      <w:pPr>
        <w:pStyle w:val="FootnoteText"/>
      </w:pPr>
      <w:r>
        <w:tab/>
      </w:r>
      <w:r>
        <w:rPr>
          <w:sz w:val="20"/>
        </w:rPr>
        <w:t>*</w:t>
      </w:r>
      <w:r>
        <w:tab/>
        <w:t>Conformément au programme de travail du Comité des transports intérieurs pour la période 2016</w:t>
      </w:r>
      <w:r w:rsidR="00E34D3E">
        <w:noBreakHyphen/>
      </w:r>
      <w: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26" w:rsidRPr="00750D26" w:rsidRDefault="00750D26">
    <w:pPr>
      <w:pStyle w:val="Header"/>
    </w:pPr>
    <w:r>
      <w:t>ECE/TRANS/WP.29/2016/79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26" w:rsidRPr="00750D26" w:rsidRDefault="00750D26" w:rsidP="00750D26">
    <w:pPr>
      <w:pStyle w:val="Header"/>
      <w:jc w:val="right"/>
    </w:pPr>
    <w:r>
      <w:t>ECE/TRANS/WP.29/2016/79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28"/>
    <w:rsid w:val="00017F94"/>
    <w:rsid w:val="0002072C"/>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5A6528"/>
    <w:rsid w:val="00655BC5"/>
    <w:rsid w:val="0071601D"/>
    <w:rsid w:val="00750D26"/>
    <w:rsid w:val="007A62E6"/>
    <w:rsid w:val="007F20FA"/>
    <w:rsid w:val="0080684C"/>
    <w:rsid w:val="00871C75"/>
    <w:rsid w:val="008776DC"/>
    <w:rsid w:val="009705C8"/>
    <w:rsid w:val="009C0052"/>
    <w:rsid w:val="009C1CF4"/>
    <w:rsid w:val="009F6B74"/>
    <w:rsid w:val="00A30353"/>
    <w:rsid w:val="00AC3823"/>
    <w:rsid w:val="00AE323C"/>
    <w:rsid w:val="00AF0CB5"/>
    <w:rsid w:val="00B00181"/>
    <w:rsid w:val="00B00B0D"/>
    <w:rsid w:val="00B765F7"/>
    <w:rsid w:val="00BA0CA9"/>
    <w:rsid w:val="00C02897"/>
    <w:rsid w:val="00CE74D0"/>
    <w:rsid w:val="00D3439C"/>
    <w:rsid w:val="00DB1831"/>
    <w:rsid w:val="00DD3BFD"/>
    <w:rsid w:val="00DF6678"/>
    <w:rsid w:val="00E34D3E"/>
    <w:rsid w:val="00E85C74"/>
    <w:rsid w:val="00E93498"/>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D5959C-B993-4B86-B0EC-337F59F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ECE/TRANS/WP.29/2016/79</vt:lpstr>
      <vt:lpstr>ECE/TRANS/WP.29/2016/79</vt:lpstr>
    </vt:vector>
  </TitlesOfParts>
  <Company>DCM</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ECE/TRANS/WP.29/2016/79</dc:title>
  <dc:subject>final</dc:subject>
  <dc:creator>Beaunee</dc:creator>
  <cp:keywords/>
  <dc:description/>
  <cp:lastModifiedBy>Caillot</cp:lastModifiedBy>
  <cp:revision>2</cp:revision>
  <cp:lastPrinted>2016-09-28T09:02:00Z</cp:lastPrinted>
  <dcterms:created xsi:type="dcterms:W3CDTF">2016-10-10T15:15:00Z</dcterms:created>
  <dcterms:modified xsi:type="dcterms:W3CDTF">2016-10-10T15:15:00Z</dcterms:modified>
</cp:coreProperties>
</file>