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E1D02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2E1D02" w:rsidRDefault="00F35BAF" w:rsidP="00830AE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2E1D02" w:rsidRDefault="00F35BAF" w:rsidP="00892A2F">
            <w:pPr>
              <w:spacing w:after="80" w:line="300" w:lineRule="exact"/>
              <w:rPr>
                <w:sz w:val="28"/>
              </w:rPr>
            </w:pPr>
            <w:r w:rsidRPr="002E1D02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E1D02" w:rsidRDefault="00830AEC" w:rsidP="00830AEC">
            <w:pPr>
              <w:jc w:val="right"/>
            </w:pPr>
            <w:r w:rsidRPr="002E1D02">
              <w:rPr>
                <w:sz w:val="40"/>
              </w:rPr>
              <w:t>ECE</w:t>
            </w:r>
            <w:r w:rsidRPr="002E1D02">
              <w:t>/TRANS/WP.29/2016/44</w:t>
            </w:r>
          </w:p>
        </w:tc>
      </w:tr>
      <w:tr w:rsidR="00F35BAF" w:rsidRPr="002E1D02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E1D02" w:rsidRDefault="00F35BAF" w:rsidP="00892A2F">
            <w:pPr>
              <w:spacing w:before="120"/>
              <w:jc w:val="center"/>
            </w:pPr>
            <w:r w:rsidRPr="002E1D02">
              <w:rPr>
                <w:noProof/>
                <w:lang w:val="en-GB" w:eastAsia="en-GB"/>
              </w:rPr>
              <w:drawing>
                <wp:inline distT="0" distB="0" distL="0" distR="0" wp14:anchorId="66C6F6CE" wp14:editId="79F71FF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2E1D0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E1D02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E1D02" w:rsidRDefault="00830AEC" w:rsidP="00892A2F">
            <w:pPr>
              <w:spacing w:before="240"/>
            </w:pPr>
            <w:r w:rsidRPr="002E1D02">
              <w:t>Distr. générale</w:t>
            </w:r>
          </w:p>
          <w:p w:rsidR="00830AEC" w:rsidRPr="002E1D02" w:rsidRDefault="00830AEC" w:rsidP="00830AEC">
            <w:pPr>
              <w:spacing w:line="240" w:lineRule="exact"/>
            </w:pPr>
            <w:r w:rsidRPr="002E1D02">
              <w:t>8 avril 2016</w:t>
            </w:r>
          </w:p>
          <w:p w:rsidR="00830AEC" w:rsidRPr="002E1D02" w:rsidRDefault="00830AEC" w:rsidP="00830AEC">
            <w:pPr>
              <w:spacing w:line="240" w:lineRule="exact"/>
            </w:pPr>
            <w:r w:rsidRPr="002E1D02">
              <w:t>Français</w:t>
            </w:r>
          </w:p>
          <w:p w:rsidR="00830AEC" w:rsidRPr="002E1D02" w:rsidRDefault="00830AEC" w:rsidP="00830AEC">
            <w:pPr>
              <w:spacing w:line="240" w:lineRule="exact"/>
            </w:pPr>
            <w:r w:rsidRPr="002E1D02">
              <w:t>Original : anglais</w:t>
            </w:r>
          </w:p>
        </w:tc>
      </w:tr>
    </w:tbl>
    <w:p w:rsidR="007F20FA" w:rsidRPr="002E1D02" w:rsidRDefault="007F20FA" w:rsidP="007F20FA">
      <w:pPr>
        <w:spacing w:before="120"/>
        <w:rPr>
          <w:b/>
          <w:sz w:val="28"/>
          <w:szCs w:val="28"/>
        </w:rPr>
      </w:pPr>
      <w:r w:rsidRPr="002E1D02">
        <w:rPr>
          <w:b/>
          <w:sz w:val="28"/>
          <w:szCs w:val="28"/>
        </w:rPr>
        <w:t>Commission économique pour l</w:t>
      </w:r>
      <w:r w:rsidR="007A5949" w:rsidRPr="002E1D02">
        <w:rPr>
          <w:b/>
          <w:sz w:val="28"/>
          <w:szCs w:val="28"/>
        </w:rPr>
        <w:t>’</w:t>
      </w:r>
      <w:r w:rsidRPr="002E1D02">
        <w:rPr>
          <w:b/>
          <w:sz w:val="28"/>
          <w:szCs w:val="28"/>
        </w:rPr>
        <w:t>Europe</w:t>
      </w:r>
    </w:p>
    <w:p w:rsidR="007F20FA" w:rsidRPr="002E1D02" w:rsidRDefault="007F20FA" w:rsidP="007F20FA">
      <w:pPr>
        <w:spacing w:before="120"/>
        <w:rPr>
          <w:sz w:val="28"/>
          <w:szCs w:val="28"/>
        </w:rPr>
      </w:pPr>
      <w:r w:rsidRPr="002E1D02">
        <w:rPr>
          <w:sz w:val="28"/>
          <w:szCs w:val="28"/>
        </w:rPr>
        <w:t>Comité des transports intérieurs</w:t>
      </w:r>
    </w:p>
    <w:p w:rsidR="00830AEC" w:rsidRPr="002E1D02" w:rsidRDefault="00830AEC" w:rsidP="00AF0CB5">
      <w:pPr>
        <w:spacing w:before="120"/>
        <w:rPr>
          <w:b/>
          <w:sz w:val="24"/>
          <w:szCs w:val="24"/>
        </w:rPr>
      </w:pPr>
      <w:r w:rsidRPr="002E1D02">
        <w:rPr>
          <w:b/>
          <w:sz w:val="24"/>
          <w:szCs w:val="24"/>
        </w:rPr>
        <w:t>Forum mondial de l</w:t>
      </w:r>
      <w:r w:rsidR="007A5949" w:rsidRPr="002E1D02">
        <w:rPr>
          <w:b/>
          <w:sz w:val="24"/>
          <w:szCs w:val="24"/>
        </w:rPr>
        <w:t>’</w:t>
      </w:r>
      <w:r w:rsidRPr="002E1D02">
        <w:rPr>
          <w:b/>
          <w:sz w:val="24"/>
          <w:szCs w:val="24"/>
        </w:rPr>
        <w:t>harmonisation</w:t>
      </w:r>
      <w:r w:rsidR="00BE1594" w:rsidRPr="002E1D02">
        <w:rPr>
          <w:b/>
          <w:sz w:val="24"/>
          <w:szCs w:val="24"/>
        </w:rPr>
        <w:t xml:space="preserve"> </w:t>
      </w:r>
      <w:r w:rsidRPr="002E1D02">
        <w:rPr>
          <w:b/>
          <w:sz w:val="24"/>
          <w:szCs w:val="24"/>
        </w:rPr>
        <w:br/>
        <w:t>des Règlements concernant les véhicules</w:t>
      </w:r>
    </w:p>
    <w:p w:rsidR="00830AEC" w:rsidRPr="002E1D02" w:rsidRDefault="00830AEC" w:rsidP="00AF0CB5">
      <w:pPr>
        <w:spacing w:before="120" w:line="240" w:lineRule="exact"/>
        <w:rPr>
          <w:b/>
        </w:rPr>
      </w:pPr>
      <w:r w:rsidRPr="002E1D02">
        <w:rPr>
          <w:b/>
        </w:rPr>
        <w:t>169</w:t>
      </w:r>
      <w:r w:rsidRPr="002E1D02">
        <w:rPr>
          <w:b/>
          <w:vertAlign w:val="superscript"/>
        </w:rPr>
        <w:t>e</w:t>
      </w:r>
      <w:r w:rsidRPr="002E1D02">
        <w:rPr>
          <w:b/>
        </w:rPr>
        <w:t> session</w:t>
      </w:r>
    </w:p>
    <w:p w:rsidR="00830AEC" w:rsidRPr="002E1D02" w:rsidRDefault="00830AEC" w:rsidP="00830AEC">
      <w:r w:rsidRPr="002E1D02">
        <w:t>Genève, 21-24 juin 2016</w:t>
      </w:r>
    </w:p>
    <w:p w:rsidR="00830AEC" w:rsidRPr="002E1D02" w:rsidRDefault="00830AEC" w:rsidP="00830AEC">
      <w:r w:rsidRPr="002E1D02">
        <w:t>Point 4.7.5 de l</w:t>
      </w:r>
      <w:r w:rsidR="007A5949" w:rsidRPr="002E1D02">
        <w:t>’</w:t>
      </w:r>
      <w:r w:rsidRPr="002E1D02">
        <w:t>ordre du jour provisoire</w:t>
      </w:r>
    </w:p>
    <w:p w:rsidR="00830AEC" w:rsidRPr="002E1D02" w:rsidRDefault="00830AEC" w:rsidP="00830AEC">
      <w:pPr>
        <w:rPr>
          <w:b/>
        </w:rPr>
      </w:pPr>
      <w:r w:rsidRPr="002E1D02">
        <w:rPr>
          <w:b/>
        </w:rPr>
        <w:t xml:space="preserve">Accord de 1958 </w:t>
      </w:r>
      <w:r w:rsidR="00BE1594" w:rsidRPr="002E1D02">
        <w:rPr>
          <w:b/>
        </w:rPr>
        <w:t>−</w:t>
      </w:r>
      <w:r w:rsidRPr="002E1D02">
        <w:rPr>
          <w:b/>
        </w:rPr>
        <w:t xml:space="preserve"> Examen de projets d</w:t>
      </w:r>
      <w:r w:rsidR="007A5949" w:rsidRPr="002E1D02">
        <w:rPr>
          <w:b/>
        </w:rPr>
        <w:t>’</w:t>
      </w:r>
      <w:r w:rsidRPr="002E1D02">
        <w:rPr>
          <w:b/>
        </w:rPr>
        <w:t>amendements</w:t>
      </w:r>
      <w:r w:rsidR="00A97812" w:rsidRPr="002E1D02">
        <w:rPr>
          <w:b/>
        </w:rPr>
        <w:t xml:space="preserve"> </w:t>
      </w:r>
      <w:r w:rsidR="00A97812" w:rsidRPr="002E1D02">
        <w:rPr>
          <w:b/>
        </w:rPr>
        <w:br/>
      </w:r>
      <w:r w:rsidRPr="002E1D02">
        <w:rPr>
          <w:b/>
        </w:rPr>
        <w:t>à des Règlements existants, présentés par le GRPE</w:t>
      </w:r>
    </w:p>
    <w:p w:rsidR="00830AEC" w:rsidRPr="002E1D02" w:rsidRDefault="00A97812" w:rsidP="00830AEC">
      <w:pPr>
        <w:pStyle w:val="HChG"/>
      </w:pPr>
      <w:r w:rsidRPr="002E1D02">
        <w:tab/>
      </w:r>
      <w:r w:rsidRPr="002E1D02">
        <w:tab/>
        <w:t xml:space="preserve">Proposition de complément </w:t>
      </w:r>
      <w:r w:rsidR="00830AEC" w:rsidRPr="002E1D02">
        <w:t xml:space="preserve">7 à la version initiale </w:t>
      </w:r>
      <w:r w:rsidR="00830AEC" w:rsidRPr="002E1D02">
        <w:br/>
        <w:t>du Règlement n</w:t>
      </w:r>
      <w:r w:rsidR="00830AEC" w:rsidRPr="002E1D02">
        <w:rPr>
          <w:vertAlign w:val="superscript"/>
        </w:rPr>
        <w:t>o</w:t>
      </w:r>
      <w:r w:rsidR="00830AEC" w:rsidRPr="002E1D02">
        <w:t xml:space="preserve"> 115 (Équipements de conversion </w:t>
      </w:r>
      <w:r w:rsidR="00830AEC" w:rsidRPr="002E1D02">
        <w:br/>
        <w:t>au GPL ou au GNC)</w:t>
      </w:r>
    </w:p>
    <w:p w:rsidR="00830AEC" w:rsidRPr="002E1D02" w:rsidRDefault="00830AEC" w:rsidP="00830AEC">
      <w:pPr>
        <w:pStyle w:val="H1G"/>
      </w:pPr>
      <w:r w:rsidRPr="002E1D02">
        <w:tab/>
      </w:r>
      <w:r w:rsidRPr="002E1D02">
        <w:tab/>
        <w:t>Communication du Groupe de travail de la pollution et de l</w:t>
      </w:r>
      <w:r w:rsidR="007A5949" w:rsidRPr="002E1D02">
        <w:t>’</w:t>
      </w:r>
      <w:r w:rsidRPr="002E1D02">
        <w:t>énergie</w:t>
      </w:r>
      <w:r w:rsidRPr="002E1D0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30AEC" w:rsidRPr="002E1D02" w:rsidRDefault="00830AEC" w:rsidP="00830AEC">
      <w:pPr>
        <w:pStyle w:val="SingleTxtG"/>
      </w:pPr>
      <w:r w:rsidRPr="002E1D02">
        <w:tab/>
        <w:t>Le texte reproduit ci-après, adopté par le Groupe de travail de la pollution et de l</w:t>
      </w:r>
      <w:r w:rsidR="007A5949" w:rsidRPr="002E1D02">
        <w:t>’</w:t>
      </w:r>
      <w:r w:rsidRPr="002E1D02">
        <w:t>énergie (GRPE) à sa soixante-douzième session (ECE/TRANS/WP.29/GRPE/72, par. 50), est fondé sur le document ECE/TRANS/WP.29/GRPE/2016/5. Il est soumis au Forum mondial de l</w:t>
      </w:r>
      <w:r w:rsidR="007A5949" w:rsidRPr="002E1D02">
        <w:t>’</w:t>
      </w:r>
      <w:r w:rsidRPr="002E1D02">
        <w:t>harmonisation des Règlements concernant les véhicules (WP.29) et au Comité d</w:t>
      </w:r>
      <w:r w:rsidR="007A5949" w:rsidRPr="002E1D02">
        <w:t>’</w:t>
      </w:r>
      <w:r w:rsidRPr="002E1D02">
        <w:t>administration de l</w:t>
      </w:r>
      <w:r w:rsidR="007A5949" w:rsidRPr="002E1D02">
        <w:t>’</w:t>
      </w:r>
      <w:r w:rsidRPr="002E1D02">
        <w:t>Accord de 1958 (AC.1) pour examen à leurs sessions de juin 2016.</w:t>
      </w:r>
    </w:p>
    <w:p w:rsidR="00A97812" w:rsidRPr="002E1D02" w:rsidRDefault="00830AEC" w:rsidP="00A97812">
      <w:pPr>
        <w:pStyle w:val="HChG"/>
      </w:pPr>
      <w:r w:rsidRPr="002E1D02">
        <w:br w:type="page"/>
      </w:r>
      <w:r w:rsidR="00A97812" w:rsidRPr="002E1D02">
        <w:lastRenderedPageBreak/>
        <w:tab/>
      </w:r>
      <w:r w:rsidR="00A97812" w:rsidRPr="002E1D02">
        <w:tab/>
        <w:t xml:space="preserve">Proposition de complément 7 à la version initiale </w:t>
      </w:r>
      <w:r w:rsidR="00A97812" w:rsidRPr="002E1D02">
        <w:br/>
        <w:t>du Règlement n</w:t>
      </w:r>
      <w:r w:rsidR="00A97812" w:rsidRPr="002E1D02">
        <w:rPr>
          <w:vertAlign w:val="superscript"/>
        </w:rPr>
        <w:t>o</w:t>
      </w:r>
      <w:r w:rsidR="00A97812" w:rsidRPr="002E1D02">
        <w:t xml:space="preserve"> 115 (Équipements de conversion </w:t>
      </w:r>
      <w:r w:rsidR="00A97812" w:rsidRPr="002E1D02">
        <w:br/>
        <w:t>au GPL ou au GNC)</w:t>
      </w:r>
    </w:p>
    <w:p w:rsidR="00A97812" w:rsidRPr="002E1D02" w:rsidRDefault="00A97812" w:rsidP="007A5949">
      <w:pPr>
        <w:pStyle w:val="SingleTxtG"/>
      </w:pPr>
      <w:r w:rsidRPr="002E1D02">
        <w:rPr>
          <w:i/>
        </w:rPr>
        <w:t xml:space="preserve">Annexe 1A </w:t>
      </w:r>
      <w:r w:rsidRPr="002E1D02">
        <w:t>−</w:t>
      </w:r>
      <w:r w:rsidRPr="002E1D02">
        <w:rPr>
          <w:i/>
        </w:rPr>
        <w:t xml:space="preserve"> Additif</w:t>
      </w:r>
      <w:r w:rsidRPr="002E1D02">
        <w:t>, modifier comme suit </w:t>
      </w:r>
      <w:r w:rsidRPr="002E1D02">
        <w:rPr>
          <w:i/>
        </w:rPr>
        <w:t>:</w:t>
      </w:r>
    </w:p>
    <w:p w:rsidR="00A97812" w:rsidRPr="002E1D02" w:rsidRDefault="00A97812" w:rsidP="00A97812">
      <w:pPr>
        <w:pStyle w:val="HChG"/>
      </w:pPr>
      <w:r w:rsidRPr="002E1D02">
        <w:t>«Annexe 1A − Additif</w:t>
      </w:r>
    </w:p>
    <w:p w:rsidR="00A97812" w:rsidRPr="002E1D02" w:rsidRDefault="00A97812" w:rsidP="00A97812">
      <w:pPr>
        <w:pStyle w:val="HChG"/>
      </w:pPr>
      <w:r w:rsidRPr="002E1D02">
        <w:tab/>
      </w:r>
      <w:r w:rsidRPr="002E1D02">
        <w:tab/>
        <w:t xml:space="preserve">Additif à la fiche de communication concernant </w:t>
      </w:r>
      <w:r w:rsidRPr="002E1D02">
        <w:br/>
        <w:t>un type d</w:t>
      </w:r>
      <w:r w:rsidR="007A5949" w:rsidRPr="002E1D02">
        <w:t>’</w:t>
      </w:r>
      <w:r w:rsidRPr="002E1D02">
        <w:t>équipement d</w:t>
      </w:r>
      <w:r w:rsidR="007A5949" w:rsidRPr="002E1D02">
        <w:t>’</w:t>
      </w:r>
      <w:r w:rsidRPr="002E1D02">
        <w:t xml:space="preserve">adaptation au GPL </w:t>
      </w:r>
      <w:r w:rsidRPr="002E1D02">
        <w:br/>
        <w:t>conforme au Règlement n</w:t>
      </w:r>
      <w:r w:rsidRPr="002E1D02">
        <w:rPr>
          <w:vertAlign w:val="superscript"/>
        </w:rPr>
        <w:t>o</w:t>
      </w:r>
      <w:r w:rsidRPr="002E1D02">
        <w:t> 115</w:t>
      </w:r>
    </w:p>
    <w:p w:rsidR="00A97812" w:rsidRPr="002E1D02" w:rsidRDefault="00A97812" w:rsidP="00015A0F">
      <w:pPr>
        <w:pStyle w:val="SingleTxtGR"/>
        <w:tabs>
          <w:tab w:val="clear" w:pos="2835"/>
          <w:tab w:val="clear" w:pos="3402"/>
          <w:tab w:val="clear" w:pos="3969"/>
          <w:tab w:val="right" w:leader="dot" w:pos="1701"/>
          <w:tab w:val="right" w:leader="dot" w:pos="5103"/>
          <w:tab w:val="left" w:pos="5245"/>
          <w:tab w:val="right" w:leader="dot" w:pos="8505"/>
        </w:tabs>
        <w:rPr>
          <w:lang w:val="fr-CH"/>
        </w:rPr>
      </w:pPr>
      <w:r w:rsidRPr="002E1D02">
        <w:rPr>
          <w:lang w:val="fr-CH"/>
        </w:rPr>
        <w:t>(N</w:t>
      </w:r>
      <w:r w:rsidRPr="002E1D02">
        <w:rPr>
          <w:vertAlign w:val="superscript"/>
          <w:lang w:val="fr-CH"/>
        </w:rPr>
        <w:t>o</w:t>
      </w:r>
      <w:r w:rsidRPr="002E1D02">
        <w:rPr>
          <w:lang w:val="fr-CH"/>
        </w:rPr>
        <w:t> d</w:t>
      </w:r>
      <w:r w:rsidR="007A5949" w:rsidRPr="002E1D02">
        <w:rPr>
          <w:lang w:val="fr-CH"/>
        </w:rPr>
        <w:t>’</w:t>
      </w:r>
      <w:r w:rsidRPr="002E1D02">
        <w:rPr>
          <w:lang w:val="fr-CH"/>
        </w:rPr>
        <w:t>hom</w:t>
      </w:r>
      <w:r w:rsidR="00015A0F" w:rsidRPr="002E1D02">
        <w:rPr>
          <w:lang w:val="fr-CH"/>
        </w:rPr>
        <w:t>ologation :</w:t>
      </w:r>
      <w:r w:rsidR="00015A0F" w:rsidRPr="002E1D02">
        <w:rPr>
          <w:lang w:val="fr-CH"/>
        </w:rPr>
        <w:tab/>
      </w:r>
      <w:r w:rsidR="00015A0F" w:rsidRPr="002E1D02">
        <w:rPr>
          <w:lang w:val="fr-CH"/>
        </w:rPr>
        <w:tab/>
      </w:r>
      <w:r w:rsidRPr="002E1D02">
        <w:rPr>
          <w:lang w:val="fr-CH"/>
        </w:rPr>
        <w:t>N</w:t>
      </w:r>
      <w:r w:rsidRPr="002E1D02">
        <w:rPr>
          <w:vertAlign w:val="superscript"/>
          <w:lang w:val="fr-CH"/>
        </w:rPr>
        <w:t>o</w:t>
      </w:r>
      <w:r w:rsidRPr="002E1D02">
        <w:rPr>
          <w:lang w:val="fr-CH"/>
        </w:rPr>
        <w:t> </w:t>
      </w:r>
      <w:r w:rsidR="00015A0F" w:rsidRPr="002E1D02">
        <w:rPr>
          <w:lang w:val="fr-CH"/>
        </w:rPr>
        <w:t>d</w:t>
      </w:r>
      <w:r w:rsidR="007A5949" w:rsidRPr="002E1D02">
        <w:rPr>
          <w:lang w:val="fr-CH"/>
        </w:rPr>
        <w:t>’</w:t>
      </w:r>
      <w:r w:rsidR="00015A0F" w:rsidRPr="002E1D02">
        <w:rPr>
          <w:lang w:val="fr-CH"/>
        </w:rPr>
        <w:t>extension :</w:t>
      </w:r>
      <w:r w:rsidR="00015A0F" w:rsidRPr="002E1D02">
        <w:rPr>
          <w:lang w:val="fr-CH"/>
        </w:rPr>
        <w:tab/>
      </w:r>
      <w:r w:rsidRPr="002E1D02">
        <w:rPr>
          <w:lang w:val="fr-CH"/>
        </w:rPr>
        <w:t>)</w:t>
      </w:r>
    </w:p>
    <w:p w:rsidR="00F9573C" w:rsidRPr="002E1D02" w:rsidRDefault="00A97812" w:rsidP="00015A0F">
      <w:pPr>
        <w:pStyle w:val="SingleTxtG"/>
      </w:pPr>
      <w:r w:rsidRPr="002E1D02">
        <w:t>1.</w:t>
      </w:r>
      <w:r w:rsidRPr="002E1D02">
        <w:tab/>
        <w:t>Véhicules sur lesquels l</w:t>
      </w:r>
      <w:r w:rsidR="007A5949" w:rsidRPr="002E1D02">
        <w:t>’</w:t>
      </w:r>
      <w:r w:rsidRPr="002E1D02">
        <w:t>équipement de conversion a été essayé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538"/>
        <w:gridCol w:w="1539"/>
        <w:gridCol w:w="1539"/>
      </w:tblGrid>
      <w:tr w:rsidR="00A97812" w:rsidRPr="002E1D02" w:rsidTr="002C242A">
        <w:trPr>
          <w:tblHeader/>
        </w:trPr>
        <w:tc>
          <w:tcPr>
            <w:tcW w:w="2754" w:type="dxa"/>
            <w:shd w:val="clear" w:color="auto" w:fill="auto"/>
            <w:vAlign w:val="bottom"/>
          </w:tcPr>
          <w:p w:rsidR="00A97812" w:rsidRPr="002E1D02" w:rsidRDefault="00A97812" w:rsidP="009A28D6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  <w:t>Numéro de véhicule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97812" w:rsidRPr="002E1D02" w:rsidRDefault="00A97812" w:rsidP="009A28D6">
            <w:pPr>
              <w:pStyle w:val="SingleTxtGR"/>
              <w:spacing w:before="80" w:after="80" w:line="200" w:lineRule="atLeast"/>
              <w:ind w:left="113" w:right="0"/>
              <w:jc w:val="center"/>
              <w:rPr>
                <w:i/>
                <w:sz w:val="16"/>
                <w:szCs w:val="16"/>
                <w:lang w:val="fr-CH"/>
              </w:rPr>
            </w:pPr>
            <w:r w:rsidRPr="002E1D02">
              <w:rPr>
                <w:i/>
                <w:sz w:val="16"/>
                <w:szCs w:val="16"/>
                <w:lang w:val="fr-CH"/>
              </w:rPr>
              <w:t>1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A97812" w:rsidRPr="002E1D02" w:rsidRDefault="00A97812" w:rsidP="009A28D6">
            <w:pPr>
              <w:pStyle w:val="SingleTxtGR"/>
              <w:spacing w:before="80" w:after="80" w:line="200" w:lineRule="atLeast"/>
              <w:ind w:left="113" w:right="0"/>
              <w:jc w:val="center"/>
              <w:rPr>
                <w:i/>
                <w:sz w:val="16"/>
                <w:szCs w:val="16"/>
                <w:lang w:val="fr-CH"/>
              </w:rPr>
            </w:pPr>
            <w:r w:rsidRPr="002E1D02">
              <w:rPr>
                <w:i/>
                <w:sz w:val="16"/>
                <w:szCs w:val="16"/>
                <w:lang w:val="fr-CH"/>
              </w:rPr>
              <w:t>2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A97812" w:rsidRPr="002E1D02" w:rsidRDefault="00A97812" w:rsidP="009A28D6">
            <w:pPr>
              <w:pStyle w:val="SingleTxtGR"/>
              <w:spacing w:before="80" w:after="80" w:line="200" w:lineRule="atLeast"/>
              <w:ind w:left="113" w:right="0"/>
              <w:jc w:val="center"/>
              <w:rPr>
                <w:i/>
                <w:sz w:val="16"/>
                <w:szCs w:val="16"/>
                <w:lang w:val="fr-CH"/>
              </w:rPr>
            </w:pPr>
            <w:r w:rsidRPr="002E1D02">
              <w:rPr>
                <w:i/>
                <w:sz w:val="16"/>
                <w:szCs w:val="16"/>
                <w:lang w:val="fr-CH"/>
              </w:rPr>
              <w:t>n</w:t>
            </w:r>
          </w:p>
        </w:tc>
      </w:tr>
      <w:tr w:rsidR="00A97812" w:rsidRPr="002E1D02" w:rsidTr="002C242A">
        <w:tc>
          <w:tcPr>
            <w:tcW w:w="2754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lang w:val="fr-CH"/>
              </w:rPr>
              <w:t>Marque</w:t>
            </w:r>
          </w:p>
        </w:tc>
        <w:tc>
          <w:tcPr>
            <w:tcW w:w="15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A97812" w:rsidRPr="002E1D02" w:rsidTr="002C242A">
        <w:tc>
          <w:tcPr>
            <w:tcW w:w="2754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Type</w:t>
            </w:r>
          </w:p>
        </w:tc>
        <w:tc>
          <w:tcPr>
            <w:tcW w:w="15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A97812" w:rsidRPr="002E1D02" w:rsidTr="002C242A">
        <w:tc>
          <w:tcPr>
            <w:tcW w:w="2754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bCs/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Catégorie</w:t>
            </w:r>
          </w:p>
        </w:tc>
        <w:tc>
          <w:tcPr>
            <w:tcW w:w="15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A97812" w:rsidRPr="002E1D02" w:rsidTr="002C242A">
        <w:tc>
          <w:tcPr>
            <w:tcW w:w="2754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  <w:r w:rsidRPr="002E1D02">
              <w:rPr>
                <w:lang w:val="fr-CH"/>
              </w:rPr>
              <w:t>Type du moteur</w:t>
            </w:r>
          </w:p>
        </w:tc>
        <w:tc>
          <w:tcPr>
            <w:tcW w:w="15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A97812" w:rsidRPr="002E1D02" w:rsidTr="002C242A">
        <w:tc>
          <w:tcPr>
            <w:tcW w:w="2754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  <w:r w:rsidRPr="002E1D02">
              <w:rPr>
                <w:lang w:val="fr-CH"/>
              </w:rPr>
              <w:t>Niveau d</w:t>
            </w:r>
            <w:r w:rsidR="007A5949" w:rsidRPr="002E1D02">
              <w:rPr>
                <w:lang w:val="fr-CH"/>
              </w:rPr>
              <w:t>’</w:t>
            </w:r>
            <w:r w:rsidRPr="002E1D02">
              <w:rPr>
                <w:lang w:val="fr-CH"/>
              </w:rPr>
              <w:t>émissions</w:t>
            </w:r>
          </w:p>
        </w:tc>
        <w:tc>
          <w:tcPr>
            <w:tcW w:w="15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A97812" w:rsidRPr="002E1D02" w:rsidTr="002C242A">
        <w:tc>
          <w:tcPr>
            <w:tcW w:w="2754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  <w:r w:rsidRPr="002E1D02">
              <w:rPr>
                <w:lang w:val="fr-CH"/>
              </w:rPr>
              <w:t>Puissance</w:t>
            </w:r>
          </w:p>
        </w:tc>
        <w:tc>
          <w:tcPr>
            <w:tcW w:w="15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  <w:tr w:rsidR="00A97812" w:rsidRPr="002E1D02" w:rsidTr="002C242A">
        <w:tc>
          <w:tcPr>
            <w:tcW w:w="2754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  <w:r w:rsidRPr="002E1D02">
              <w:rPr>
                <w:lang w:val="fr-CH"/>
              </w:rPr>
              <w:t>Type du système antipollution</w:t>
            </w:r>
          </w:p>
        </w:tc>
        <w:tc>
          <w:tcPr>
            <w:tcW w:w="15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  <w:tc>
          <w:tcPr>
            <w:tcW w:w="1539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lang w:val="fr-CH"/>
              </w:rPr>
            </w:pPr>
          </w:p>
        </w:tc>
      </w:tr>
    </w:tbl>
    <w:p w:rsidR="00A97812" w:rsidRPr="002E1D02" w:rsidRDefault="00A97812" w:rsidP="00015A0F">
      <w:pPr>
        <w:pStyle w:val="SingleTxtG"/>
        <w:spacing w:before="240"/>
      </w:pPr>
      <w:r w:rsidRPr="002E1D02">
        <w:t>1.1</w:t>
      </w:r>
      <w:r w:rsidRPr="002E1D02">
        <w:tab/>
        <w:t>Résultats des essais 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854"/>
        <w:gridCol w:w="757"/>
        <w:gridCol w:w="757"/>
        <w:gridCol w:w="757"/>
        <w:gridCol w:w="757"/>
        <w:gridCol w:w="919"/>
        <w:gridCol w:w="691"/>
        <w:gridCol w:w="692"/>
        <w:gridCol w:w="691"/>
        <w:gridCol w:w="692"/>
      </w:tblGrid>
      <w:tr w:rsidR="00764767" w:rsidRPr="002E1D02" w:rsidTr="00764767">
        <w:trPr>
          <w:tblHeader/>
        </w:trPr>
        <w:tc>
          <w:tcPr>
            <w:tcW w:w="938" w:type="dxa"/>
            <w:shd w:val="clear" w:color="auto" w:fill="auto"/>
            <w:vAlign w:val="bottom"/>
          </w:tcPr>
          <w:p w:rsidR="002C242A" w:rsidRPr="002E1D02" w:rsidRDefault="002C242A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Carburant</w:t>
            </w:r>
          </w:p>
        </w:tc>
        <w:tc>
          <w:tcPr>
            <w:tcW w:w="3882" w:type="dxa"/>
            <w:gridSpan w:val="5"/>
            <w:shd w:val="clear" w:color="auto" w:fill="auto"/>
            <w:vAlign w:val="bottom"/>
          </w:tcPr>
          <w:p w:rsidR="002C242A" w:rsidRPr="002E1D02" w:rsidRDefault="002C242A" w:rsidP="00120D5C">
            <w:pPr>
              <w:pStyle w:val="SingleTxtGR"/>
              <w:spacing w:before="80" w:after="80" w:line="200" w:lineRule="atLeast"/>
              <w:ind w:left="57" w:right="0"/>
              <w:jc w:val="center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Essence</w:t>
            </w:r>
          </w:p>
        </w:tc>
        <w:tc>
          <w:tcPr>
            <w:tcW w:w="3685" w:type="dxa"/>
            <w:gridSpan w:val="5"/>
            <w:shd w:val="clear" w:color="auto" w:fill="auto"/>
            <w:vAlign w:val="bottom"/>
          </w:tcPr>
          <w:p w:rsidR="002C242A" w:rsidRPr="002E1D02" w:rsidRDefault="002C242A" w:rsidP="00120D5C">
            <w:pPr>
              <w:spacing w:before="80" w:after="80" w:line="200" w:lineRule="atLeast"/>
              <w:ind w:right="113"/>
              <w:jc w:val="center"/>
              <w:rPr>
                <w:i/>
                <w:sz w:val="16"/>
              </w:rPr>
            </w:pPr>
            <w:r w:rsidRPr="002E1D02">
              <w:rPr>
                <w:i/>
                <w:sz w:val="16"/>
              </w:rPr>
              <w:t>GPL</w:t>
            </w:r>
          </w:p>
        </w:tc>
      </w:tr>
      <w:tr w:rsidR="002C242A" w:rsidRPr="002E1D02" w:rsidTr="00764767">
        <w:tc>
          <w:tcPr>
            <w:tcW w:w="938" w:type="dxa"/>
            <w:shd w:val="clear" w:color="auto" w:fill="auto"/>
            <w:tcMar>
              <w:left w:w="0" w:type="dxa"/>
              <w:right w:w="0" w:type="dxa"/>
            </w:tcMar>
          </w:tcPr>
          <w:p w:rsidR="004E3924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Numéro</w:t>
            </w:r>
            <w:r w:rsidR="004E3924" w:rsidRPr="002E1D02">
              <w:rPr>
                <w:i/>
                <w:sz w:val="16"/>
                <w:lang w:val="fr-CH"/>
              </w:rPr>
              <w:t xml:space="preserve"> de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véhicule</w:t>
            </w:r>
          </w:p>
        </w:tc>
        <w:tc>
          <w:tcPr>
            <w:tcW w:w="854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(kW)</w:t>
            </w: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</w:t>
            </w:r>
            <w:r w:rsidR="00BE1594"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)</w:t>
            </w: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HC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NOx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  <w:r w:rsidR="00675223" w:rsidRPr="002E1D02">
              <w:rPr>
                <w:i/>
                <w:spacing w:val="0"/>
                <w:w w:val="100"/>
                <w:kern w:val="0"/>
                <w:sz w:val="16"/>
                <w:vertAlign w:val="subscript"/>
                <w:lang w:val="fr-CH"/>
              </w:rPr>
              <w:t>2</w:t>
            </w:r>
            <w:r w:rsidR="00675223" w:rsidRPr="002E1D02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t>1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919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(kW)</w:t>
            </w: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HC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NOx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  <w:r w:rsidR="00675223" w:rsidRPr="002E1D02">
              <w:rPr>
                <w:i/>
                <w:spacing w:val="0"/>
                <w:w w:val="100"/>
                <w:kern w:val="0"/>
                <w:sz w:val="16"/>
                <w:vertAlign w:val="subscript"/>
                <w:lang w:val="fr-CH"/>
              </w:rPr>
              <w:t>2</w:t>
            </w:r>
            <w:r w:rsidR="00675223" w:rsidRPr="002E1D02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t>1</w:t>
            </w:r>
          </w:p>
          <w:p w:rsidR="00A97812" w:rsidRPr="002E1D02" w:rsidRDefault="00A97812" w:rsidP="00120D5C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</w:tr>
      <w:tr w:rsidR="002C242A" w:rsidRPr="002E1D02" w:rsidTr="00764767">
        <w:tc>
          <w:tcPr>
            <w:tcW w:w="9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1</w:t>
            </w:r>
          </w:p>
        </w:tc>
        <w:tc>
          <w:tcPr>
            <w:tcW w:w="854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919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2C242A" w:rsidRPr="002E1D02" w:rsidTr="00764767">
        <w:tc>
          <w:tcPr>
            <w:tcW w:w="9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2</w:t>
            </w:r>
          </w:p>
        </w:tc>
        <w:tc>
          <w:tcPr>
            <w:tcW w:w="854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919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2C242A" w:rsidRPr="002E1D02" w:rsidTr="00764767">
        <w:tc>
          <w:tcPr>
            <w:tcW w:w="938" w:type="dxa"/>
            <w:shd w:val="clear" w:color="auto" w:fill="auto"/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</w:t>
            </w:r>
          </w:p>
        </w:tc>
        <w:tc>
          <w:tcPr>
            <w:tcW w:w="854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757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919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1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92" w:type="dxa"/>
            <w:shd w:val="clear" w:color="auto" w:fill="auto"/>
            <w:tcMar>
              <w:left w:w="11" w:type="dxa"/>
            </w:tcMar>
          </w:tcPr>
          <w:p w:rsidR="00A97812" w:rsidRPr="002E1D02" w:rsidRDefault="00A97812" w:rsidP="00120D5C">
            <w:pPr>
              <w:pStyle w:val="SingleTxtGR"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</w:tbl>
    <w:p w:rsidR="00A97812" w:rsidRPr="002E1D02" w:rsidRDefault="00015A0F" w:rsidP="00015A0F">
      <w:pPr>
        <w:pStyle w:val="SingleTxtG"/>
        <w:spacing w:before="120" w:after="240"/>
        <w:ind w:firstLine="170"/>
        <w:rPr>
          <w:sz w:val="18"/>
          <w:szCs w:val="18"/>
        </w:rPr>
      </w:pPr>
      <w:r w:rsidRPr="002E1D02">
        <w:rPr>
          <w:vertAlign w:val="superscript"/>
        </w:rPr>
        <w:t xml:space="preserve">1  </w:t>
      </w:r>
      <w:r w:rsidRPr="002E1D02">
        <w:rPr>
          <w:sz w:val="18"/>
          <w:szCs w:val="18"/>
        </w:rPr>
        <w:t>Réservé aux véhicules des catégories M</w:t>
      </w:r>
      <w:r w:rsidRPr="002E1D02">
        <w:rPr>
          <w:sz w:val="18"/>
          <w:szCs w:val="18"/>
          <w:vertAlign w:val="subscript"/>
        </w:rPr>
        <w:t>1</w:t>
      </w:r>
      <w:r w:rsidRPr="002E1D02">
        <w:rPr>
          <w:sz w:val="18"/>
          <w:szCs w:val="18"/>
        </w:rPr>
        <w:t xml:space="preserve"> et N</w:t>
      </w:r>
      <w:r w:rsidRPr="002E1D02">
        <w:rPr>
          <w:sz w:val="18"/>
          <w:szCs w:val="18"/>
          <w:vertAlign w:val="subscript"/>
        </w:rPr>
        <w:t>1</w:t>
      </w:r>
      <w:r w:rsidRPr="002E1D02">
        <w:rPr>
          <w:sz w:val="18"/>
          <w:szCs w:val="18"/>
        </w:rPr>
        <w:t>.</w:t>
      </w:r>
    </w:p>
    <w:p w:rsidR="00A97812" w:rsidRPr="002E1D02" w:rsidRDefault="00A97812" w:rsidP="00015A0F">
      <w:pPr>
        <w:pStyle w:val="SingleTxtG"/>
      </w:pPr>
      <w:r w:rsidRPr="002E1D02">
        <w:t>2.</w:t>
      </w:r>
      <w:r w:rsidRPr="002E1D02">
        <w:tab/>
        <w:t>Rapports</w:t>
      </w:r>
    </w:p>
    <w:p w:rsidR="00A97812" w:rsidRPr="002E1D02" w:rsidRDefault="00A97812" w:rsidP="00A97812">
      <w:pPr>
        <w:widowControl w:val="0"/>
        <w:tabs>
          <w:tab w:val="left" w:leader="dot" w:pos="8505"/>
        </w:tabs>
        <w:spacing w:after="120"/>
        <w:ind w:left="1701" w:hanging="567"/>
      </w:pPr>
      <w:r w:rsidRPr="002E1D02">
        <w:t>2.1</w:t>
      </w:r>
      <w:r w:rsidRPr="002E1D02">
        <w:tab/>
        <w:t>Rapport CO</w:t>
      </w:r>
      <w:r w:rsidRPr="002E1D02">
        <w:rPr>
          <w:vertAlign w:val="subscript"/>
        </w:rPr>
        <w:t>2</w:t>
      </w:r>
      <w:r w:rsidR="002E1D02" w:rsidRPr="002E1D02">
        <w:rPr>
          <w:vertAlign w:val="subscript"/>
        </w:rPr>
        <w:t> </w:t>
      </w:r>
      <w:r w:rsidRPr="002E1D02">
        <w:t>: CO</w:t>
      </w:r>
      <w:r w:rsidRPr="002E1D02">
        <w:rPr>
          <w:vertAlign w:val="subscript"/>
        </w:rPr>
        <w:t>2</w:t>
      </w:r>
      <w:r w:rsidRPr="002E1D02">
        <w:t xml:space="preserve"> LPG/CO</w:t>
      </w:r>
      <w:r w:rsidRPr="002E1D02">
        <w:rPr>
          <w:vertAlign w:val="subscript"/>
        </w:rPr>
        <w:t>2</w:t>
      </w:r>
      <w:r w:rsidRPr="002E1D02">
        <w:t xml:space="preserve"> petrol</w:t>
      </w:r>
      <w:r w:rsidR="00015A0F" w:rsidRPr="002E1D02">
        <w:t> </w:t>
      </w:r>
      <w:r w:rsidRPr="002E1D02">
        <w:t xml:space="preserve">: </w:t>
      </w:r>
      <w:r w:rsidR="00015A0F" w:rsidRPr="002E1D02">
        <w:tab/>
      </w:r>
    </w:p>
    <w:p w:rsidR="00A97812" w:rsidRPr="002E1D02" w:rsidRDefault="00A97812" w:rsidP="00A97812">
      <w:pPr>
        <w:widowControl w:val="0"/>
        <w:tabs>
          <w:tab w:val="left" w:leader="dot" w:pos="8505"/>
        </w:tabs>
        <w:spacing w:after="120"/>
        <w:ind w:left="1701" w:hanging="567"/>
      </w:pPr>
      <w:r w:rsidRPr="002E1D02">
        <w:t>2.2</w:t>
      </w:r>
      <w:r w:rsidRPr="002E1D02">
        <w:tab/>
        <w:t>Rapport Power</w:t>
      </w:r>
      <w:r w:rsidR="002E1D02" w:rsidRPr="002E1D02">
        <w:t> </w:t>
      </w:r>
      <w:r w:rsidRPr="002E1D02">
        <w:t>: LPG/Power petrol</w:t>
      </w:r>
      <w:r w:rsidR="00015A0F" w:rsidRPr="002E1D02">
        <w:t> </w:t>
      </w:r>
      <w:r w:rsidRPr="002E1D02">
        <w:t xml:space="preserve">: </w:t>
      </w:r>
      <w:r w:rsidRPr="002E1D02">
        <w:tab/>
      </w:r>
    </w:p>
    <w:p w:rsidR="00A97812" w:rsidRPr="002E1D02" w:rsidRDefault="00A97812" w:rsidP="00764767">
      <w:pPr>
        <w:pStyle w:val="SingleTxtG"/>
        <w:keepNext/>
        <w:rPr>
          <w:spacing w:val="-2"/>
        </w:rPr>
      </w:pPr>
      <w:r w:rsidRPr="002E1D02">
        <w:lastRenderedPageBreak/>
        <w:t>3.</w:t>
      </w:r>
      <w:r w:rsidRPr="002E1D02">
        <w:tab/>
      </w:r>
      <w:r w:rsidRPr="002E1D02">
        <w:rPr>
          <w:spacing w:val="-2"/>
        </w:rPr>
        <w:t>Liste des types de véhicules sur lesquels l</w:t>
      </w:r>
      <w:r w:rsidR="007A5949" w:rsidRPr="002E1D02">
        <w:rPr>
          <w:spacing w:val="-2"/>
        </w:rPr>
        <w:t>’</w:t>
      </w:r>
      <w:r w:rsidRPr="002E1D02">
        <w:rPr>
          <w:spacing w:val="-2"/>
        </w:rPr>
        <w:t>équipement de conversion peut être monté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350"/>
        <w:gridCol w:w="1923"/>
        <w:gridCol w:w="2564"/>
      </w:tblGrid>
      <w:tr w:rsidR="00015A0F" w:rsidRPr="002E1D02" w:rsidTr="00764767">
        <w:trPr>
          <w:tblHeader/>
        </w:trPr>
        <w:tc>
          <w:tcPr>
            <w:tcW w:w="533" w:type="dxa"/>
            <w:shd w:val="clear" w:color="auto" w:fill="auto"/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</w:p>
        </w:tc>
        <w:tc>
          <w:tcPr>
            <w:tcW w:w="2350" w:type="dxa"/>
            <w:shd w:val="clear" w:color="auto" w:fill="auto"/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Type du véhicule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Type du moteur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 (kW)</w:t>
            </w:r>
          </w:p>
        </w:tc>
      </w:tr>
      <w:tr w:rsidR="00015A0F" w:rsidRPr="002E1D02" w:rsidTr="00764767">
        <w:tc>
          <w:tcPr>
            <w:tcW w:w="533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015A0F" w:rsidRPr="002E1D02" w:rsidTr="00764767">
        <w:tc>
          <w:tcPr>
            <w:tcW w:w="533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015A0F" w:rsidRPr="002E1D02" w:rsidTr="00764767">
        <w:tc>
          <w:tcPr>
            <w:tcW w:w="533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015A0F" w:rsidRPr="002E1D02" w:rsidTr="00764767">
        <w:tc>
          <w:tcPr>
            <w:tcW w:w="533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</w:t>
            </w:r>
          </w:p>
        </w:tc>
        <w:tc>
          <w:tcPr>
            <w:tcW w:w="2350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</w:tbl>
    <w:p w:rsidR="00A97812" w:rsidRPr="002E1D02" w:rsidRDefault="00A97812" w:rsidP="00A97812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 w:rsidRPr="002E1D02">
        <w:rPr>
          <w:b w:val="0"/>
          <w:sz w:val="20"/>
        </w:rPr>
        <w:t>».</w:t>
      </w:r>
    </w:p>
    <w:p w:rsidR="00A97812" w:rsidRPr="002E1D02" w:rsidRDefault="00A97812" w:rsidP="00675223">
      <w:pPr>
        <w:pStyle w:val="SingleTxtG"/>
      </w:pPr>
      <w:r w:rsidRPr="002E1D02">
        <w:rPr>
          <w:i/>
        </w:rPr>
        <w:t xml:space="preserve">Annexe 1B </w:t>
      </w:r>
      <w:r w:rsidR="00120D5C" w:rsidRPr="002E1D02">
        <w:rPr>
          <w:i/>
        </w:rPr>
        <w:t>−</w:t>
      </w:r>
      <w:r w:rsidRPr="002E1D02">
        <w:rPr>
          <w:i/>
        </w:rPr>
        <w:t xml:space="preserve"> Additif</w:t>
      </w:r>
      <w:r w:rsidRPr="002E1D02">
        <w:t>, modifier comme suit</w:t>
      </w:r>
      <w:r w:rsidR="00015A0F" w:rsidRPr="002E1D02">
        <w:t> </w:t>
      </w:r>
      <w:r w:rsidRPr="002E1D02">
        <w:rPr>
          <w:i/>
        </w:rPr>
        <w:t>:</w:t>
      </w:r>
    </w:p>
    <w:p w:rsidR="00A97812" w:rsidRPr="002E1D02" w:rsidRDefault="00A97812" w:rsidP="00015A0F">
      <w:pPr>
        <w:pStyle w:val="HChG"/>
      </w:pPr>
      <w:r w:rsidRPr="002E1D02">
        <w:t>«</w:t>
      </w:r>
      <w:r w:rsidR="00015A0F" w:rsidRPr="002E1D02">
        <w:t> </w:t>
      </w:r>
      <w:r w:rsidRPr="002E1D02">
        <w:t xml:space="preserve">Annexe 1B </w:t>
      </w:r>
      <w:r w:rsidR="00015A0F" w:rsidRPr="002E1D02">
        <w:t>−</w:t>
      </w:r>
      <w:r w:rsidRPr="002E1D02">
        <w:t xml:space="preserve"> Additif</w:t>
      </w:r>
    </w:p>
    <w:p w:rsidR="00A97812" w:rsidRPr="002E1D02" w:rsidRDefault="00A97812" w:rsidP="00015A0F">
      <w:pPr>
        <w:pStyle w:val="HChG"/>
      </w:pPr>
      <w:r w:rsidRPr="002E1D02">
        <w:tab/>
      </w:r>
      <w:r w:rsidRPr="002E1D02">
        <w:tab/>
        <w:t xml:space="preserve">Additif à la fiche de communication concernant </w:t>
      </w:r>
      <w:r w:rsidR="00015A0F" w:rsidRPr="002E1D02">
        <w:br/>
      </w:r>
      <w:r w:rsidRPr="002E1D02">
        <w:t>un type d</w:t>
      </w:r>
      <w:r w:rsidR="007A5949" w:rsidRPr="002E1D02">
        <w:t>’</w:t>
      </w:r>
      <w:r w:rsidRPr="002E1D02">
        <w:t>équipement d</w:t>
      </w:r>
      <w:r w:rsidR="007A5949" w:rsidRPr="002E1D02">
        <w:t>’</w:t>
      </w:r>
      <w:r w:rsidRPr="002E1D02">
        <w:t xml:space="preserve">adaptation au GNC </w:t>
      </w:r>
      <w:r w:rsidR="00015A0F" w:rsidRPr="002E1D02">
        <w:br/>
      </w:r>
      <w:r w:rsidRPr="002E1D02">
        <w:t xml:space="preserve">conforme au Règlement </w:t>
      </w:r>
      <w:r w:rsidR="00015A0F" w:rsidRPr="002E1D02">
        <w:t>n</w:t>
      </w:r>
      <w:r w:rsidR="00015A0F" w:rsidRPr="002E1D02">
        <w:rPr>
          <w:vertAlign w:val="superscript"/>
        </w:rPr>
        <w:t>o</w:t>
      </w:r>
      <w:r w:rsidR="00015A0F" w:rsidRPr="002E1D02">
        <w:t> </w:t>
      </w:r>
      <w:r w:rsidRPr="002E1D02">
        <w:t>115</w:t>
      </w:r>
    </w:p>
    <w:p w:rsidR="00015A0F" w:rsidRPr="002E1D02" w:rsidRDefault="00015A0F" w:rsidP="00015A0F">
      <w:pPr>
        <w:pStyle w:val="SingleTxtGR"/>
        <w:tabs>
          <w:tab w:val="clear" w:pos="2835"/>
          <w:tab w:val="clear" w:pos="3402"/>
          <w:tab w:val="clear" w:pos="3969"/>
          <w:tab w:val="right" w:leader="dot" w:pos="1701"/>
          <w:tab w:val="right" w:leader="dot" w:pos="5103"/>
          <w:tab w:val="left" w:pos="5245"/>
          <w:tab w:val="right" w:leader="dot" w:pos="8505"/>
        </w:tabs>
        <w:rPr>
          <w:lang w:val="fr-CH"/>
        </w:rPr>
      </w:pPr>
      <w:r w:rsidRPr="002E1D02">
        <w:rPr>
          <w:lang w:val="fr-CH"/>
        </w:rPr>
        <w:t>(N</w:t>
      </w:r>
      <w:r w:rsidRPr="002E1D02">
        <w:rPr>
          <w:vertAlign w:val="superscript"/>
          <w:lang w:val="fr-CH"/>
        </w:rPr>
        <w:t>o</w:t>
      </w:r>
      <w:r w:rsidRPr="002E1D02">
        <w:rPr>
          <w:lang w:val="fr-CH"/>
        </w:rPr>
        <w:t> d</w:t>
      </w:r>
      <w:r w:rsidR="007A5949" w:rsidRPr="002E1D02">
        <w:rPr>
          <w:lang w:val="fr-CH"/>
        </w:rPr>
        <w:t>’</w:t>
      </w:r>
      <w:r w:rsidRPr="002E1D02">
        <w:rPr>
          <w:lang w:val="fr-CH"/>
        </w:rPr>
        <w:t>homologation :</w:t>
      </w:r>
      <w:r w:rsidRPr="002E1D02">
        <w:rPr>
          <w:lang w:val="fr-CH"/>
        </w:rPr>
        <w:tab/>
      </w:r>
      <w:r w:rsidRPr="002E1D02">
        <w:rPr>
          <w:lang w:val="fr-CH"/>
        </w:rPr>
        <w:tab/>
        <w:t>N</w:t>
      </w:r>
      <w:r w:rsidRPr="002E1D02">
        <w:rPr>
          <w:vertAlign w:val="superscript"/>
          <w:lang w:val="fr-CH"/>
        </w:rPr>
        <w:t>o</w:t>
      </w:r>
      <w:r w:rsidRPr="002E1D02">
        <w:rPr>
          <w:lang w:val="fr-CH"/>
        </w:rPr>
        <w:t> d</w:t>
      </w:r>
      <w:r w:rsidR="007A5949" w:rsidRPr="002E1D02">
        <w:rPr>
          <w:lang w:val="fr-CH"/>
        </w:rPr>
        <w:t>’</w:t>
      </w:r>
      <w:r w:rsidRPr="002E1D02">
        <w:rPr>
          <w:lang w:val="fr-CH"/>
        </w:rPr>
        <w:t>extension :</w:t>
      </w:r>
      <w:r w:rsidRPr="002E1D02">
        <w:rPr>
          <w:lang w:val="fr-CH"/>
        </w:rPr>
        <w:tab/>
        <w:t>)</w:t>
      </w:r>
    </w:p>
    <w:p w:rsidR="00A97812" w:rsidRPr="002E1D02" w:rsidRDefault="00A97812" w:rsidP="00D865C2">
      <w:pPr>
        <w:pStyle w:val="SingleTxtG"/>
      </w:pPr>
      <w:r w:rsidRPr="002E1D02">
        <w:t>1.</w:t>
      </w:r>
      <w:r w:rsidRPr="002E1D02">
        <w:tab/>
        <w:t>Véhicules sur lesquels l</w:t>
      </w:r>
      <w:r w:rsidR="007A5949" w:rsidRPr="002E1D02">
        <w:t>’</w:t>
      </w:r>
      <w:r w:rsidRPr="002E1D02">
        <w:t>équipement de conversion a été essayé</w:t>
      </w:r>
      <w:r w:rsidR="00015A0F" w:rsidRPr="002E1D02">
        <w:t> </w:t>
      </w:r>
      <w:r w:rsidRPr="002E1D02">
        <w:t>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538"/>
        <w:gridCol w:w="1539"/>
        <w:gridCol w:w="1539"/>
      </w:tblGrid>
      <w:tr w:rsidR="00D865C2" w:rsidRPr="002E1D02" w:rsidTr="002C242A">
        <w:trPr>
          <w:tblHeader/>
        </w:trPr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Numéro de véhicule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1</w:t>
            </w: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2</w:t>
            </w: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</w:t>
            </w:r>
          </w:p>
        </w:tc>
      </w:tr>
      <w:tr w:rsidR="00D865C2" w:rsidRPr="002E1D02" w:rsidTr="002C242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Marque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4E3924" w:rsidRPr="002E1D02" w:rsidTr="002C242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Type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4E3924" w:rsidRPr="002E1D02" w:rsidTr="002C242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Catégorie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4E3924" w:rsidRPr="002E1D02" w:rsidTr="002C242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Type du moteur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4E3924" w:rsidRPr="002E1D02" w:rsidTr="002C242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Niveau d</w:t>
            </w:r>
            <w:r w:rsidR="007A5949" w:rsidRPr="002E1D02">
              <w:rPr>
                <w:spacing w:val="0"/>
                <w:w w:val="100"/>
                <w:kern w:val="0"/>
                <w:lang w:val="fr-CH"/>
              </w:rPr>
              <w:t>’</w:t>
            </w:r>
            <w:r w:rsidRPr="002E1D02">
              <w:rPr>
                <w:spacing w:val="0"/>
                <w:w w:val="100"/>
                <w:kern w:val="0"/>
                <w:lang w:val="fr-CH"/>
              </w:rPr>
              <w:t>émissions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4E3924" w:rsidRPr="002E1D02" w:rsidTr="002C242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Puissance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  <w:tr w:rsidR="00D865C2" w:rsidRPr="002E1D02" w:rsidTr="002C242A">
        <w:tc>
          <w:tcPr>
            <w:tcW w:w="2754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Type du système antipollution</w:t>
            </w:r>
          </w:p>
        </w:tc>
        <w:tc>
          <w:tcPr>
            <w:tcW w:w="1538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i/>
                <w:spacing w:val="0"/>
                <w:w w:val="100"/>
                <w:kern w:val="0"/>
                <w:lang w:val="fr-CH"/>
              </w:rPr>
            </w:pPr>
          </w:p>
        </w:tc>
      </w:tr>
    </w:tbl>
    <w:p w:rsidR="00A97812" w:rsidRPr="002E1D02" w:rsidRDefault="00A97812" w:rsidP="00675223">
      <w:pPr>
        <w:widowControl w:val="0"/>
        <w:spacing w:before="240" w:after="120"/>
        <w:ind w:left="1701" w:hanging="567"/>
      </w:pPr>
      <w:r w:rsidRPr="002E1D02">
        <w:t>1.1</w:t>
      </w:r>
      <w:r w:rsidRPr="002E1D02">
        <w:tab/>
        <w:t>Résultats des essais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895"/>
        <w:gridCol w:w="584"/>
        <w:gridCol w:w="585"/>
        <w:gridCol w:w="584"/>
        <w:gridCol w:w="585"/>
        <w:gridCol w:w="839"/>
        <w:gridCol w:w="617"/>
        <w:gridCol w:w="618"/>
        <w:gridCol w:w="618"/>
        <w:gridCol w:w="618"/>
      </w:tblGrid>
      <w:tr w:rsidR="00D865C2" w:rsidRPr="002E1D02" w:rsidTr="00764767">
        <w:trPr>
          <w:tblHeader/>
        </w:trPr>
        <w:tc>
          <w:tcPr>
            <w:tcW w:w="827" w:type="dxa"/>
            <w:shd w:val="clear" w:color="auto" w:fill="auto"/>
            <w:vAlign w:val="bottom"/>
          </w:tcPr>
          <w:p w:rsidR="00D865C2" w:rsidRPr="002E1D02" w:rsidRDefault="00D865C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</w:p>
        </w:tc>
        <w:tc>
          <w:tcPr>
            <w:tcW w:w="3233" w:type="dxa"/>
            <w:gridSpan w:val="5"/>
            <w:shd w:val="clear" w:color="auto" w:fill="auto"/>
            <w:vAlign w:val="bottom"/>
          </w:tcPr>
          <w:p w:rsidR="00D865C2" w:rsidRPr="002E1D02" w:rsidRDefault="00D865C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center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Essence</w:t>
            </w:r>
          </w:p>
        </w:tc>
        <w:tc>
          <w:tcPr>
            <w:tcW w:w="3310" w:type="dxa"/>
            <w:gridSpan w:val="5"/>
            <w:shd w:val="clear" w:color="auto" w:fill="auto"/>
            <w:vAlign w:val="bottom"/>
          </w:tcPr>
          <w:p w:rsidR="00D865C2" w:rsidRPr="002E1D02" w:rsidRDefault="00D865C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center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GNC</w:t>
            </w:r>
          </w:p>
        </w:tc>
      </w:tr>
      <w:tr w:rsidR="00D865C2" w:rsidRPr="002E1D02" w:rsidTr="00764767">
        <w:tc>
          <w:tcPr>
            <w:tcW w:w="827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Numéro de véhicule</w:t>
            </w:r>
          </w:p>
        </w:tc>
        <w:tc>
          <w:tcPr>
            <w:tcW w:w="89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(kW)</w:t>
            </w:r>
          </w:p>
        </w:tc>
        <w:tc>
          <w:tcPr>
            <w:tcW w:w="58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58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HC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58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NOx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58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bscript"/>
                <w:lang w:val="fr-CH"/>
              </w:rPr>
              <w:t>2</w:t>
            </w:r>
            <w:r w:rsidRPr="002E1D02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t>1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839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(kW)</w:t>
            </w:r>
          </w:p>
        </w:tc>
        <w:tc>
          <w:tcPr>
            <w:tcW w:w="617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HC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NOx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CO</w:t>
            </w:r>
            <w:r w:rsidR="00675223" w:rsidRPr="002E1D02">
              <w:rPr>
                <w:i/>
                <w:spacing w:val="0"/>
                <w:w w:val="100"/>
                <w:kern w:val="0"/>
                <w:sz w:val="16"/>
                <w:vertAlign w:val="subscript"/>
                <w:lang w:val="fr-CH"/>
              </w:rPr>
              <w:t>2</w:t>
            </w:r>
            <w:r w:rsidR="00675223" w:rsidRPr="002E1D02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t>1</w:t>
            </w:r>
          </w:p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(g/km)</w:t>
            </w:r>
          </w:p>
        </w:tc>
      </w:tr>
      <w:tr w:rsidR="00D865C2" w:rsidRPr="002E1D02" w:rsidTr="00764767">
        <w:tc>
          <w:tcPr>
            <w:tcW w:w="827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839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7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D865C2" w:rsidRPr="002E1D02" w:rsidTr="00764767">
        <w:tc>
          <w:tcPr>
            <w:tcW w:w="827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839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7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D865C2" w:rsidRPr="002E1D02" w:rsidTr="00764767">
        <w:tc>
          <w:tcPr>
            <w:tcW w:w="827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</w:t>
            </w:r>
          </w:p>
        </w:tc>
        <w:tc>
          <w:tcPr>
            <w:tcW w:w="89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4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585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839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7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618" w:type="dxa"/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</w:tbl>
    <w:p w:rsidR="00D865C2" w:rsidRPr="002E1D02" w:rsidRDefault="00D865C2" w:rsidP="00D865C2">
      <w:pPr>
        <w:pStyle w:val="SingleTxtG"/>
        <w:spacing w:before="120" w:after="240"/>
        <w:ind w:firstLine="170"/>
        <w:rPr>
          <w:sz w:val="18"/>
          <w:szCs w:val="18"/>
        </w:rPr>
      </w:pPr>
      <w:r w:rsidRPr="002E1D02">
        <w:rPr>
          <w:vertAlign w:val="superscript"/>
        </w:rPr>
        <w:t xml:space="preserve">1  </w:t>
      </w:r>
      <w:r w:rsidRPr="002E1D02">
        <w:rPr>
          <w:sz w:val="18"/>
          <w:szCs w:val="18"/>
        </w:rPr>
        <w:t>Réservé aux véhicules des catégories M</w:t>
      </w:r>
      <w:r w:rsidRPr="002E1D02">
        <w:rPr>
          <w:sz w:val="18"/>
          <w:szCs w:val="18"/>
          <w:vertAlign w:val="subscript"/>
        </w:rPr>
        <w:t>1</w:t>
      </w:r>
      <w:r w:rsidRPr="002E1D02">
        <w:rPr>
          <w:sz w:val="18"/>
          <w:szCs w:val="18"/>
        </w:rPr>
        <w:t xml:space="preserve"> et N</w:t>
      </w:r>
      <w:r w:rsidRPr="002E1D02">
        <w:rPr>
          <w:sz w:val="18"/>
          <w:szCs w:val="18"/>
          <w:vertAlign w:val="subscript"/>
        </w:rPr>
        <w:t>1</w:t>
      </w:r>
      <w:r w:rsidRPr="002E1D02">
        <w:rPr>
          <w:sz w:val="18"/>
          <w:szCs w:val="18"/>
        </w:rPr>
        <w:t>.</w:t>
      </w:r>
    </w:p>
    <w:p w:rsidR="00A97812" w:rsidRPr="002E1D02" w:rsidRDefault="00A97812" w:rsidP="00764767">
      <w:pPr>
        <w:pStyle w:val="SingleTxtG"/>
        <w:keepNext/>
      </w:pPr>
      <w:r w:rsidRPr="002E1D02">
        <w:lastRenderedPageBreak/>
        <w:t>2.</w:t>
      </w:r>
      <w:r w:rsidRPr="002E1D02">
        <w:tab/>
        <w:t>Rapports</w:t>
      </w:r>
    </w:p>
    <w:p w:rsidR="00A97812" w:rsidRPr="002E1D02" w:rsidRDefault="00A97812" w:rsidP="00764767">
      <w:pPr>
        <w:pStyle w:val="SingleTxtG"/>
        <w:keepNext/>
        <w:tabs>
          <w:tab w:val="right" w:pos="567"/>
          <w:tab w:val="left" w:pos="1701"/>
          <w:tab w:val="right" w:leader="dot" w:pos="8505"/>
        </w:tabs>
      </w:pPr>
      <w:r w:rsidRPr="002E1D02">
        <w:t>2.1</w:t>
      </w:r>
      <w:r w:rsidR="00BE1594" w:rsidRPr="002E1D02">
        <w:tab/>
      </w:r>
      <w:r w:rsidRPr="002E1D02">
        <w:t>Rapport CO</w:t>
      </w:r>
      <w:r w:rsidRPr="002E1D02">
        <w:rPr>
          <w:vertAlign w:val="subscript"/>
        </w:rPr>
        <w:t>2</w:t>
      </w:r>
      <w:r w:rsidR="002E1D02" w:rsidRPr="002E1D02">
        <w:rPr>
          <w:vertAlign w:val="subscript"/>
        </w:rPr>
        <w:t> </w:t>
      </w:r>
      <w:r w:rsidRPr="002E1D02">
        <w:t>: CO</w:t>
      </w:r>
      <w:r w:rsidRPr="002E1D02">
        <w:rPr>
          <w:vertAlign w:val="subscript"/>
        </w:rPr>
        <w:t>2</w:t>
      </w:r>
      <w:r w:rsidRPr="002E1D02">
        <w:t xml:space="preserve"> CNG/CO</w:t>
      </w:r>
      <w:r w:rsidRPr="002E1D02">
        <w:rPr>
          <w:vertAlign w:val="subscript"/>
        </w:rPr>
        <w:t>2</w:t>
      </w:r>
      <w:r w:rsidRPr="002E1D02">
        <w:t xml:space="preserve"> petrol</w:t>
      </w:r>
      <w:r w:rsidR="00BE1594" w:rsidRPr="002E1D02">
        <w:t> :</w:t>
      </w:r>
      <w:r w:rsidR="00BE1594" w:rsidRPr="002E1D02">
        <w:tab/>
      </w:r>
    </w:p>
    <w:p w:rsidR="00A97812" w:rsidRPr="002E1D02" w:rsidRDefault="00A97812" w:rsidP="00764767">
      <w:pPr>
        <w:pStyle w:val="SingleTxtG"/>
        <w:keepNext/>
        <w:tabs>
          <w:tab w:val="right" w:pos="567"/>
          <w:tab w:val="left" w:pos="1701"/>
          <w:tab w:val="right" w:leader="dot" w:pos="8505"/>
        </w:tabs>
      </w:pPr>
      <w:r w:rsidRPr="002E1D02">
        <w:t>2.2</w:t>
      </w:r>
      <w:r w:rsidRPr="002E1D02">
        <w:tab/>
        <w:t>Rapport Power</w:t>
      </w:r>
      <w:r w:rsidR="002E1D02" w:rsidRPr="002E1D02">
        <w:t> </w:t>
      </w:r>
      <w:r w:rsidRPr="002E1D02">
        <w:t>: CNG/Power petrol</w:t>
      </w:r>
      <w:r w:rsidR="00BE1594" w:rsidRPr="002E1D02">
        <w:t> :</w:t>
      </w:r>
      <w:r w:rsidR="00BE1594" w:rsidRPr="002E1D02">
        <w:tab/>
      </w:r>
    </w:p>
    <w:p w:rsidR="00A97812" w:rsidRPr="002E1D02" w:rsidRDefault="00A97812" w:rsidP="00BE1594">
      <w:pPr>
        <w:pStyle w:val="SingleTxtG"/>
        <w:spacing w:before="120"/>
        <w:rPr>
          <w:spacing w:val="-2"/>
        </w:rPr>
      </w:pPr>
      <w:r w:rsidRPr="002E1D02">
        <w:t>3.</w:t>
      </w:r>
      <w:r w:rsidRPr="002E1D02">
        <w:tab/>
      </w:r>
      <w:r w:rsidRPr="002E1D02">
        <w:rPr>
          <w:spacing w:val="-2"/>
        </w:rPr>
        <w:t>Liste des types de véhicules sur lesquels l</w:t>
      </w:r>
      <w:r w:rsidR="007A5949" w:rsidRPr="002E1D02">
        <w:rPr>
          <w:spacing w:val="-2"/>
        </w:rPr>
        <w:t>’</w:t>
      </w:r>
      <w:r w:rsidRPr="002E1D02">
        <w:rPr>
          <w:spacing w:val="-2"/>
        </w:rPr>
        <w:t>équipement de conversion peut être monté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350"/>
        <w:gridCol w:w="1923"/>
        <w:gridCol w:w="2564"/>
      </w:tblGrid>
      <w:tr w:rsidR="00BE1594" w:rsidRPr="002E1D02" w:rsidTr="00764767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57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Type du véhicule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Type du moteur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812" w:rsidRPr="002E1D02" w:rsidRDefault="00A97812" w:rsidP="00675223">
            <w:pPr>
              <w:pStyle w:val="SingleTxtGR"/>
              <w:keepNext/>
              <w:spacing w:before="80" w:after="80" w:line="200" w:lineRule="atLeast"/>
              <w:ind w:left="113" w:right="0"/>
              <w:jc w:val="left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2E1D02">
              <w:rPr>
                <w:i/>
                <w:spacing w:val="0"/>
                <w:w w:val="100"/>
                <w:kern w:val="0"/>
                <w:sz w:val="16"/>
                <w:lang w:val="fr-CH"/>
              </w:rPr>
              <w:t>Puissance (kW)</w:t>
            </w:r>
          </w:p>
        </w:tc>
      </w:tr>
      <w:tr w:rsidR="00BE1594" w:rsidRPr="002E1D02" w:rsidTr="006752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BE1594" w:rsidRPr="002E1D02" w:rsidTr="006752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BE1594" w:rsidRPr="002E1D02" w:rsidTr="006752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  <w:tr w:rsidR="00BE1594" w:rsidRPr="002E1D02" w:rsidTr="006752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  <w:r w:rsidRPr="002E1D02">
              <w:rPr>
                <w:spacing w:val="0"/>
                <w:w w:val="100"/>
                <w:kern w:val="0"/>
                <w:lang w:val="fr-CH"/>
              </w:rPr>
              <w:t>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12" w:rsidRPr="002E1D02" w:rsidRDefault="00A97812" w:rsidP="00675223">
            <w:pPr>
              <w:pStyle w:val="SingleTxtGR"/>
              <w:keepNext/>
              <w:spacing w:before="60" w:after="60"/>
              <w:ind w:left="113" w:right="0"/>
              <w:jc w:val="left"/>
              <w:rPr>
                <w:spacing w:val="0"/>
                <w:w w:val="100"/>
                <w:kern w:val="0"/>
                <w:lang w:val="fr-CH"/>
              </w:rPr>
            </w:pPr>
          </w:p>
        </w:tc>
      </w:tr>
    </w:tbl>
    <w:p w:rsidR="00A97812" w:rsidRPr="002E1D02" w:rsidRDefault="00BE1594" w:rsidP="001D4653">
      <w:pPr>
        <w:pStyle w:val="SingleTxtG"/>
        <w:tabs>
          <w:tab w:val="right" w:pos="8505"/>
        </w:tabs>
      </w:pPr>
      <w:r w:rsidRPr="002E1D02">
        <w:tab/>
      </w:r>
      <w:r w:rsidR="00A97812" w:rsidRPr="002E1D02">
        <w:t>».</w:t>
      </w:r>
    </w:p>
    <w:p w:rsidR="00A97812" w:rsidRPr="002E1D02" w:rsidRDefault="00BE1594" w:rsidP="00836D4E">
      <w:pPr>
        <w:pStyle w:val="SingleTxtG"/>
        <w:spacing w:before="240" w:after="0"/>
        <w:jc w:val="center"/>
        <w:rPr>
          <w:u w:val="single"/>
        </w:rPr>
      </w:pPr>
      <w:r w:rsidRPr="002E1D02">
        <w:rPr>
          <w:u w:val="single"/>
        </w:rPr>
        <w:tab/>
      </w:r>
      <w:r w:rsidRPr="002E1D02">
        <w:rPr>
          <w:u w:val="single"/>
        </w:rPr>
        <w:tab/>
      </w:r>
      <w:r w:rsidRPr="002E1D02">
        <w:rPr>
          <w:u w:val="single"/>
        </w:rPr>
        <w:tab/>
      </w:r>
    </w:p>
    <w:sectPr w:rsidR="00A97812" w:rsidRPr="002E1D02" w:rsidSect="00830A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0A" w:rsidRDefault="00C3310A" w:rsidP="00F95C08">
      <w:pPr>
        <w:spacing w:line="240" w:lineRule="auto"/>
      </w:pPr>
    </w:p>
  </w:endnote>
  <w:endnote w:type="continuationSeparator" w:id="0">
    <w:p w:rsidR="00C3310A" w:rsidRPr="00AC3823" w:rsidRDefault="00C3310A" w:rsidP="00AC3823">
      <w:pPr>
        <w:pStyle w:val="Footer"/>
      </w:pPr>
    </w:p>
  </w:endnote>
  <w:endnote w:type="continuationNotice" w:id="1">
    <w:p w:rsidR="00C3310A" w:rsidRDefault="00C331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EC" w:rsidRPr="00830AEC" w:rsidRDefault="00830AEC" w:rsidP="00830AEC">
    <w:pPr>
      <w:pStyle w:val="Footer"/>
      <w:tabs>
        <w:tab w:val="right" w:pos="9638"/>
      </w:tabs>
    </w:pPr>
    <w:r w:rsidRPr="00830AEC">
      <w:rPr>
        <w:b/>
        <w:sz w:val="18"/>
      </w:rPr>
      <w:fldChar w:fldCharType="begin"/>
    </w:r>
    <w:r w:rsidRPr="00830AEC">
      <w:rPr>
        <w:b/>
        <w:sz w:val="18"/>
      </w:rPr>
      <w:instrText xml:space="preserve"> PAGE  \* MERGEFORMAT </w:instrText>
    </w:r>
    <w:r w:rsidRPr="00830AEC">
      <w:rPr>
        <w:b/>
        <w:sz w:val="18"/>
      </w:rPr>
      <w:fldChar w:fldCharType="separate"/>
    </w:r>
    <w:r w:rsidR="0043186A">
      <w:rPr>
        <w:b/>
        <w:noProof/>
        <w:sz w:val="18"/>
      </w:rPr>
      <w:t>2</w:t>
    </w:r>
    <w:r w:rsidRPr="00830AEC">
      <w:rPr>
        <w:b/>
        <w:sz w:val="18"/>
      </w:rPr>
      <w:fldChar w:fldCharType="end"/>
    </w:r>
    <w:r>
      <w:rPr>
        <w:b/>
        <w:sz w:val="18"/>
      </w:rPr>
      <w:tab/>
    </w:r>
    <w:r>
      <w:t>GE.16-05791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EC" w:rsidRPr="00830AEC" w:rsidRDefault="00830AEC" w:rsidP="00830AEC">
    <w:pPr>
      <w:pStyle w:val="Footer"/>
      <w:tabs>
        <w:tab w:val="right" w:pos="9638"/>
      </w:tabs>
      <w:rPr>
        <w:b/>
        <w:sz w:val="18"/>
      </w:rPr>
    </w:pPr>
    <w:r>
      <w:t>GE.16-05791</w:t>
    </w:r>
    <w:r>
      <w:tab/>
    </w:r>
    <w:r w:rsidRPr="00830AEC">
      <w:rPr>
        <w:b/>
        <w:sz w:val="18"/>
      </w:rPr>
      <w:fldChar w:fldCharType="begin"/>
    </w:r>
    <w:r w:rsidRPr="00830AEC">
      <w:rPr>
        <w:b/>
        <w:sz w:val="18"/>
      </w:rPr>
      <w:instrText xml:space="preserve"> PAGE  \* MERGEFORMAT </w:instrText>
    </w:r>
    <w:r w:rsidRPr="00830AEC">
      <w:rPr>
        <w:b/>
        <w:sz w:val="18"/>
      </w:rPr>
      <w:fldChar w:fldCharType="separate"/>
    </w:r>
    <w:r w:rsidR="0043186A">
      <w:rPr>
        <w:b/>
        <w:noProof/>
        <w:sz w:val="18"/>
      </w:rPr>
      <w:t>3</w:t>
    </w:r>
    <w:r w:rsidRPr="00830A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30AEC" w:rsidRDefault="00830AEC" w:rsidP="00830AE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66897C6" wp14:editId="3593596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16-05791  (F)    030516    030516</w:t>
    </w:r>
    <w:r>
      <w:rPr>
        <w:sz w:val="20"/>
      </w:rPr>
      <w:br/>
    </w:r>
    <w:r w:rsidRPr="00830AEC">
      <w:rPr>
        <w:rFonts w:ascii="C39T30Lfz" w:hAnsi="C39T30Lfz"/>
        <w:sz w:val="56"/>
      </w:rPr>
      <w:t></w:t>
    </w:r>
    <w:r w:rsidRPr="00830AEC">
      <w:rPr>
        <w:rFonts w:ascii="C39T30Lfz" w:hAnsi="C39T30Lfz"/>
        <w:sz w:val="56"/>
      </w:rPr>
      <w:t></w:t>
    </w:r>
    <w:r w:rsidRPr="00830AEC">
      <w:rPr>
        <w:rFonts w:ascii="C39T30Lfz" w:hAnsi="C39T30Lfz"/>
        <w:sz w:val="56"/>
      </w:rPr>
      <w:t></w:t>
    </w:r>
    <w:r w:rsidRPr="00830AEC">
      <w:rPr>
        <w:rFonts w:ascii="C39T30Lfz" w:hAnsi="C39T30Lfz"/>
        <w:sz w:val="56"/>
      </w:rPr>
      <w:t></w:t>
    </w:r>
    <w:r w:rsidRPr="00830AEC">
      <w:rPr>
        <w:rFonts w:ascii="C39T30Lfz" w:hAnsi="C39T30Lfz"/>
        <w:sz w:val="56"/>
      </w:rPr>
      <w:t></w:t>
    </w:r>
    <w:r w:rsidRPr="00830AEC">
      <w:rPr>
        <w:rFonts w:ascii="C39T30Lfz" w:hAnsi="C39T30Lfz"/>
        <w:sz w:val="56"/>
      </w:rPr>
      <w:t></w:t>
    </w:r>
    <w:r w:rsidRPr="00830AEC">
      <w:rPr>
        <w:rFonts w:ascii="C39T30Lfz" w:hAnsi="C39T30Lfz"/>
        <w:sz w:val="56"/>
      </w:rPr>
      <w:t></w:t>
    </w:r>
    <w:r w:rsidRPr="00830AEC">
      <w:rPr>
        <w:rFonts w:ascii="C39T30Lfz" w:hAnsi="C39T30Lfz"/>
        <w:sz w:val="56"/>
      </w:rPr>
      <w:t></w:t>
    </w:r>
    <w:r w:rsidRPr="00830AE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4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4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0A" w:rsidRPr="00AC3823" w:rsidRDefault="00C3310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310A" w:rsidRPr="00AC3823" w:rsidRDefault="00C3310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310A" w:rsidRPr="00AC3823" w:rsidRDefault="00C3310A">
      <w:pPr>
        <w:spacing w:line="240" w:lineRule="auto"/>
        <w:rPr>
          <w:sz w:val="2"/>
          <w:szCs w:val="2"/>
        </w:rPr>
      </w:pPr>
    </w:p>
  </w:footnote>
  <w:footnote w:id="2">
    <w:p w:rsidR="00830AEC" w:rsidRPr="00830AEC" w:rsidRDefault="00830AEC">
      <w:pPr>
        <w:pStyle w:val="FootnoteText"/>
      </w:pPr>
      <w:r>
        <w:rPr>
          <w:rStyle w:val="FootnoteReference"/>
        </w:rPr>
        <w:tab/>
      </w:r>
      <w:r w:rsidRPr="00830AE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30AEC">
        <w:rPr>
          <w:spacing w:val="-2"/>
        </w:rPr>
        <w:t>Conformément au programme de travail du Comité des transports intérieurs pour la période 2016-</w:t>
      </w:r>
      <w:r>
        <w:t>2017 (ECE/TRANS/254, par. 159, et ECE/TRANS/2016/28/Add.1, activité 3.1),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EC" w:rsidRPr="00830AEC" w:rsidRDefault="00830AEC">
    <w:pPr>
      <w:pStyle w:val="Header"/>
    </w:pPr>
    <w:r>
      <w:t>ECE/TRANS/WP.29/2016/44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EC" w:rsidRPr="00830AEC" w:rsidRDefault="00830AEC" w:rsidP="00830AEC">
    <w:pPr>
      <w:pStyle w:val="Header"/>
      <w:jc w:val="right"/>
    </w:pPr>
    <w:r>
      <w:t>ECE/TRANS/WP.29/2016/44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A"/>
    <w:rsid w:val="00015A0F"/>
    <w:rsid w:val="00017F94"/>
    <w:rsid w:val="00023842"/>
    <w:rsid w:val="000334F9"/>
    <w:rsid w:val="0007796D"/>
    <w:rsid w:val="000B7790"/>
    <w:rsid w:val="00111F2F"/>
    <w:rsid w:val="00120D5C"/>
    <w:rsid w:val="0014365E"/>
    <w:rsid w:val="00143C66"/>
    <w:rsid w:val="00176178"/>
    <w:rsid w:val="001D4653"/>
    <w:rsid w:val="001F525A"/>
    <w:rsid w:val="00223272"/>
    <w:rsid w:val="0024779E"/>
    <w:rsid w:val="00257168"/>
    <w:rsid w:val="002744B8"/>
    <w:rsid w:val="002832AC"/>
    <w:rsid w:val="002A5B88"/>
    <w:rsid w:val="002C242A"/>
    <w:rsid w:val="002D7C93"/>
    <w:rsid w:val="002E1D02"/>
    <w:rsid w:val="00305801"/>
    <w:rsid w:val="003523E1"/>
    <w:rsid w:val="003916DE"/>
    <w:rsid w:val="0043186A"/>
    <w:rsid w:val="00441C3B"/>
    <w:rsid w:val="00446FE5"/>
    <w:rsid w:val="00452396"/>
    <w:rsid w:val="004837D8"/>
    <w:rsid w:val="004E024C"/>
    <w:rsid w:val="004E3924"/>
    <w:rsid w:val="004E468C"/>
    <w:rsid w:val="005505B7"/>
    <w:rsid w:val="00573BE5"/>
    <w:rsid w:val="00586ED3"/>
    <w:rsid w:val="00596AA9"/>
    <w:rsid w:val="00675223"/>
    <w:rsid w:val="0071601D"/>
    <w:rsid w:val="00764767"/>
    <w:rsid w:val="007A5949"/>
    <w:rsid w:val="007A62E6"/>
    <w:rsid w:val="007F20FA"/>
    <w:rsid w:val="0080684C"/>
    <w:rsid w:val="00830AEC"/>
    <w:rsid w:val="00836D4E"/>
    <w:rsid w:val="00871C75"/>
    <w:rsid w:val="008776DC"/>
    <w:rsid w:val="00900A44"/>
    <w:rsid w:val="009705C8"/>
    <w:rsid w:val="009A28D6"/>
    <w:rsid w:val="009C1CF4"/>
    <w:rsid w:val="009F6B74"/>
    <w:rsid w:val="00A30353"/>
    <w:rsid w:val="00A34D65"/>
    <w:rsid w:val="00A97812"/>
    <w:rsid w:val="00AC3823"/>
    <w:rsid w:val="00AE323C"/>
    <w:rsid w:val="00AF0CB5"/>
    <w:rsid w:val="00B00181"/>
    <w:rsid w:val="00B00B0D"/>
    <w:rsid w:val="00B765F7"/>
    <w:rsid w:val="00BA0CA9"/>
    <w:rsid w:val="00BE1594"/>
    <w:rsid w:val="00C02897"/>
    <w:rsid w:val="00C3310A"/>
    <w:rsid w:val="00CF7622"/>
    <w:rsid w:val="00D3439C"/>
    <w:rsid w:val="00D865C2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30AEC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830AEC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A97812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A9781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30AEC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830AEC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A97812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A9781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ECE/TRANS/WP.29/2016/44</vt:lpstr>
      <vt:lpstr>ECE/TRANS/WP.29/2016/44</vt:lpstr>
    </vt:vector>
  </TitlesOfParts>
  <Company>DCM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ECE/TRANS/WP.29/2016/44</dc:title>
  <dc:subject>Final</dc:subject>
  <dc:creator>Fabienne Crelier</dc:creator>
  <cp:lastModifiedBy>Benedicte Boudol</cp:lastModifiedBy>
  <cp:revision>2</cp:revision>
  <cp:lastPrinted>2016-05-03T15:03:00Z</cp:lastPrinted>
  <dcterms:created xsi:type="dcterms:W3CDTF">2016-05-04T06:06:00Z</dcterms:created>
  <dcterms:modified xsi:type="dcterms:W3CDTF">2016-05-04T06:06:00Z</dcterms:modified>
</cp:coreProperties>
</file>