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A5D7B">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A5D7B" w:rsidP="00FA5D7B">
            <w:pPr>
              <w:jc w:val="right"/>
            </w:pPr>
            <w:r w:rsidRPr="00FA5D7B">
              <w:rPr>
                <w:sz w:val="40"/>
              </w:rPr>
              <w:t>ECE</w:t>
            </w:r>
            <w:r>
              <w:t>/TRANS/WP.29/2016/41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A5D7B" w:rsidP="00892A2F">
            <w:pPr>
              <w:spacing w:before="240"/>
            </w:pPr>
            <w:r>
              <w:t>Distr. générale</w:t>
            </w:r>
          </w:p>
          <w:p w:rsidR="00FA5D7B" w:rsidRDefault="00FA5D7B" w:rsidP="00FA5D7B">
            <w:pPr>
              <w:spacing w:line="240" w:lineRule="exact"/>
            </w:pPr>
            <w:r>
              <w:t>8 avril 2016</w:t>
            </w:r>
          </w:p>
          <w:p w:rsidR="00FA5D7B" w:rsidRDefault="00FA5D7B" w:rsidP="00FA5D7B">
            <w:pPr>
              <w:spacing w:line="240" w:lineRule="exact"/>
            </w:pPr>
            <w:r>
              <w:t>Français</w:t>
            </w:r>
          </w:p>
          <w:p w:rsidR="00FA5D7B" w:rsidRPr="00DB58B5" w:rsidRDefault="00FA5D7B" w:rsidP="00FA5D7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A5D7B" w:rsidRPr="00FA5D7B" w:rsidRDefault="00FA5D7B" w:rsidP="00FA5D7B">
      <w:pPr>
        <w:spacing w:before="120"/>
        <w:rPr>
          <w:sz w:val="24"/>
          <w:szCs w:val="24"/>
        </w:rPr>
      </w:pPr>
      <w:r w:rsidRPr="00FA5D7B">
        <w:rPr>
          <w:b/>
          <w:sz w:val="24"/>
          <w:szCs w:val="24"/>
        </w:rPr>
        <w:t>Forum mondial de l’harmonisation</w:t>
      </w:r>
      <w:r w:rsidRPr="00FA5D7B">
        <w:rPr>
          <w:b/>
          <w:bCs/>
          <w:sz w:val="24"/>
          <w:szCs w:val="24"/>
        </w:rPr>
        <w:br/>
      </w:r>
      <w:r w:rsidRPr="00FA5D7B">
        <w:rPr>
          <w:b/>
          <w:sz w:val="24"/>
          <w:szCs w:val="24"/>
        </w:rPr>
        <w:t>des Règlements concernant les véhicules</w:t>
      </w:r>
    </w:p>
    <w:p w:rsidR="00FA5D7B" w:rsidRPr="006D33D9" w:rsidRDefault="00FA5D7B" w:rsidP="00FA5D7B">
      <w:pPr>
        <w:spacing w:before="120"/>
        <w:rPr>
          <w:b/>
        </w:rPr>
      </w:pPr>
      <w:r>
        <w:rPr>
          <w:b/>
        </w:rPr>
        <w:t>169</w:t>
      </w:r>
      <w:r>
        <w:rPr>
          <w:b/>
          <w:vertAlign w:val="superscript"/>
        </w:rPr>
        <w:t>e</w:t>
      </w:r>
      <w:r>
        <w:rPr>
          <w:b/>
        </w:rPr>
        <w:t> session</w:t>
      </w:r>
    </w:p>
    <w:p w:rsidR="00FA5D7B" w:rsidRPr="006D33D9" w:rsidRDefault="00FA5D7B" w:rsidP="00FA5D7B">
      <w:r>
        <w:t>Genève, 21-24 juin 2016</w:t>
      </w:r>
    </w:p>
    <w:p w:rsidR="00FA5D7B" w:rsidRPr="00AF2205" w:rsidRDefault="00FA5D7B" w:rsidP="00FA5D7B">
      <w:r>
        <w:t>Point 4.7.2 de l’ordre du jour provisoire</w:t>
      </w:r>
    </w:p>
    <w:p w:rsidR="00FA5D7B" w:rsidRPr="00AF2205" w:rsidRDefault="00FA5D7B" w:rsidP="00FA5D7B">
      <w:pPr>
        <w:rPr>
          <w:b/>
        </w:rPr>
      </w:pPr>
      <w:r>
        <w:rPr>
          <w:b/>
        </w:rPr>
        <w:t>Accord de 1958 − Examen de projets d’amendements</w:t>
      </w:r>
      <w:r>
        <w:rPr>
          <w:b/>
        </w:rPr>
        <w:br/>
        <w:t>à des Règlements existants, présentés par le GRPE</w:t>
      </w:r>
    </w:p>
    <w:p w:rsidR="00FA5D7B" w:rsidRPr="00FD4196" w:rsidRDefault="00A621CB" w:rsidP="00A621CB">
      <w:pPr>
        <w:pStyle w:val="HChG"/>
      </w:pPr>
      <w:r>
        <w:tab/>
      </w:r>
      <w:r>
        <w:tab/>
        <w:t>Proposition de complément 4 à la série </w:t>
      </w:r>
      <w:r w:rsidR="00FA5D7B">
        <w:t xml:space="preserve">06 d’amendements au Règlement </w:t>
      </w:r>
      <w:r>
        <w:rPr>
          <w:rFonts w:eastAsia="MS Mincho"/>
        </w:rPr>
        <w:t>n</w:t>
      </w:r>
      <w:r>
        <w:rPr>
          <w:rFonts w:eastAsia="MS Mincho"/>
          <w:vertAlign w:val="superscript"/>
        </w:rPr>
        <w:t>o</w:t>
      </w:r>
      <w:r>
        <w:t> </w:t>
      </w:r>
      <w:r w:rsidR="00FA5D7B">
        <w:t xml:space="preserve">49 (Émissions des moteurs à allumage </w:t>
      </w:r>
      <w:r w:rsidR="00FA5D7B">
        <w:br/>
        <w:t xml:space="preserve">par compression et des moteurs à allumage commandé </w:t>
      </w:r>
      <w:r w:rsidR="00FA5D7B">
        <w:br/>
        <w:t>(GPL et GNC))</w:t>
      </w:r>
    </w:p>
    <w:p w:rsidR="00FA5D7B" w:rsidRPr="007E5C8F" w:rsidRDefault="00FA5D7B" w:rsidP="00FA5D7B">
      <w:pPr>
        <w:pStyle w:val="H1G"/>
      </w:pPr>
      <w:r>
        <w:tab/>
      </w:r>
      <w:r>
        <w:tab/>
        <w:t>Communication du Groupe de travail de la pollution et de l’énergie</w:t>
      </w:r>
      <w:r w:rsidRPr="00FA5D7B">
        <w:rPr>
          <w:b w:val="0"/>
          <w:bCs/>
          <w:sz w:val="20"/>
        </w:rPr>
        <w:footnoteReference w:customMarkFollows="1" w:id="2"/>
        <w:t>*</w:t>
      </w:r>
    </w:p>
    <w:p w:rsidR="00FA5D7B" w:rsidRPr="00FD4196" w:rsidRDefault="00FA5D7B" w:rsidP="004A55B0">
      <w:pPr>
        <w:pStyle w:val="SingleTxtG"/>
        <w:ind w:firstLine="567"/>
      </w:pPr>
      <w:r>
        <w:t>Le texte reproduit ci-après, adopté par le Groupe de travail de la pollution et de l’énergie (GRPE) à sa soixante-douzième session (ECE/TRANS/WP.29/GRPE/72, par. 42, 44 et 46), est fondé sur les documents ECE/TRANS/WP.29/GRPE/2016/6, ECE/TRANS/</w:t>
      </w:r>
      <w:r>
        <w:br/>
        <w:t>WP.29/GRPE/2016/7 modifié par le document GRPE-72-11 tel qu’il est reproduit dans l’annexe IV au rapport et ECE/TRANS/WP.29/GRPE/2016/8 modifié par le document GRPE-72-04 tel qu’il est reproduit dans l’annexe V au rapport. Il est soumis au Forum mondial de l’harmonisation des Règlements concernant les véhicules (WP.29) et au Comité d’administration de l’Accord de 1958 (AC.1) pour examen à leurs sessions de juin 2016.</w:t>
      </w:r>
    </w:p>
    <w:p w:rsidR="00FA5D7B" w:rsidRPr="00FD4196" w:rsidRDefault="00FA5D7B" w:rsidP="00FA5D7B">
      <w:pPr>
        <w:pStyle w:val="HChG"/>
        <w:ind w:hanging="567"/>
      </w:pPr>
      <w:r>
        <w:br w:type="page"/>
      </w:r>
      <w:r>
        <w:lastRenderedPageBreak/>
        <w:tab/>
      </w:r>
      <w:r>
        <w:tab/>
        <w:t xml:space="preserve">Complément 4 à la série 06 d’amendements au Règlement </w:t>
      </w:r>
      <w:r>
        <w:rPr>
          <w:rFonts w:eastAsia="MS Mincho"/>
        </w:rPr>
        <w:t>n</w:t>
      </w:r>
      <w:r>
        <w:rPr>
          <w:rFonts w:eastAsia="MS Mincho"/>
          <w:vertAlign w:val="superscript"/>
        </w:rPr>
        <w:t>o</w:t>
      </w:r>
      <w:r>
        <w:t xml:space="preserve"> 49 (Émissions des moteurs à allumage par compression </w:t>
      </w:r>
      <w:r>
        <w:br/>
        <w:t>et des moteurs à allumage commandé (GPL et GNC))</w:t>
      </w:r>
    </w:p>
    <w:p w:rsidR="00FA5D7B" w:rsidRPr="00A621CB" w:rsidRDefault="00FA5D7B" w:rsidP="00FA5D7B">
      <w:pPr>
        <w:pStyle w:val="SingleTxtG"/>
      </w:pPr>
      <w:r w:rsidRPr="00A621CB">
        <w:rPr>
          <w:i/>
          <w:iCs/>
        </w:rPr>
        <w:t>Annexe 4, paragraphes 9.2.1 et 9.2.1.1</w:t>
      </w:r>
      <w:r w:rsidRPr="00A621CB">
        <w:t xml:space="preserve">, </w:t>
      </w:r>
      <w:proofErr w:type="gramStart"/>
      <w:r w:rsidRPr="00A621CB">
        <w:t>modifier</w:t>
      </w:r>
      <w:proofErr w:type="gramEnd"/>
      <w:r w:rsidRPr="00A621CB">
        <w:t xml:space="preserve"> comme suit :</w:t>
      </w:r>
    </w:p>
    <w:p w:rsidR="00FA5D7B" w:rsidRPr="00A621CB" w:rsidRDefault="00FA5D7B" w:rsidP="00FA5D7B">
      <w:pPr>
        <w:pStyle w:val="SingleTxtG"/>
        <w:ind w:left="2268" w:hanging="1134"/>
      </w:pPr>
      <w:r w:rsidRPr="00A621CB">
        <w:t>« 9.2.1</w:t>
      </w:r>
      <w:r w:rsidRPr="00A621CB">
        <w:tab/>
        <w:t>Vérification de la linéarité</w:t>
      </w:r>
    </w:p>
    <w:p w:rsidR="00FA5D7B" w:rsidRPr="00A621CB" w:rsidRDefault="00FA5D7B" w:rsidP="00FA5D7B">
      <w:pPr>
        <w:pStyle w:val="SingleTxtG"/>
        <w:ind w:left="2268" w:hanging="1134"/>
      </w:pPr>
      <w:r w:rsidRPr="00A621CB">
        <w:t>9.2.1.1</w:t>
      </w:r>
      <w:r w:rsidRPr="00A621CB">
        <w:tab/>
        <w:t>Introduction</w:t>
      </w:r>
    </w:p>
    <w:p w:rsidR="00FA5D7B" w:rsidRPr="00A621CB" w:rsidRDefault="00FA5D7B" w:rsidP="00FA5D7B">
      <w:pPr>
        <w:pStyle w:val="SingleTxtG"/>
        <w:ind w:left="2268"/>
      </w:pPr>
      <w:r w:rsidRPr="00A621CB">
        <w:t>Une vérification de la linéarité doit être exécutée pour chaque système de mesure énuméré au tableau 7. On doit introduire dans le système au moins 10 valeurs de référence, ou comme spécifié par ailleurs. Pour les vérifications individuelles de la linéarité de pression et de température, on prendra en compte au moins trois valeurs de référence. Les valeurs mesurées doivent être comparées aux valeurs de référence par régression linéaire par les moindres carrés conformément à l’</w:t>
      </w:r>
      <w:r w:rsidR="004A55B0">
        <w:t>équation </w:t>
      </w:r>
      <w:r w:rsidRPr="00A621CB">
        <w:t>11</w:t>
      </w:r>
      <w:r w:rsidR="004A55B0">
        <w:t xml:space="preserve"> </w:t>
      </w:r>
      <w:r w:rsidRPr="00A621CB">
        <w:t>(par. 7.8.7). Les valeurs limites maximales du tableau 7 sont les valeurs limites maximales attendues lors des essais. ».</w:t>
      </w:r>
    </w:p>
    <w:p w:rsidR="00FA5D7B" w:rsidRPr="00A621CB" w:rsidRDefault="00FA5D7B" w:rsidP="00FA5D7B">
      <w:pPr>
        <w:pStyle w:val="SingleTxtG"/>
      </w:pPr>
      <w:r w:rsidRPr="00A621CB">
        <w:rPr>
          <w:i/>
          <w:iCs/>
        </w:rPr>
        <w:t>Annexe 9A, paragraphe 2.3.1</w:t>
      </w:r>
      <w:r w:rsidRPr="00A621CB">
        <w:t xml:space="preserve">, </w:t>
      </w:r>
      <w:proofErr w:type="gramStart"/>
      <w:r w:rsidRPr="00A621CB">
        <w:t>modifier</w:t>
      </w:r>
      <w:proofErr w:type="gramEnd"/>
      <w:r w:rsidRPr="00A621CB">
        <w:t xml:space="preserve"> comme suit :</w:t>
      </w:r>
    </w:p>
    <w:p w:rsidR="00FA5D7B" w:rsidRPr="00A621CB" w:rsidRDefault="00FA5D7B" w:rsidP="00FA5D7B">
      <w:pPr>
        <w:pStyle w:val="SingleTxtG"/>
        <w:ind w:left="2268" w:hanging="1134"/>
      </w:pPr>
      <w:r w:rsidRPr="00A621CB">
        <w:t>« 2.3.1</w:t>
      </w:r>
      <w:r w:rsidRPr="00A621CB">
        <w:tab/>
        <w:t>Injecteurs défaillants</w:t>
      </w:r>
    </w:p>
    <w:p w:rsidR="00FA5D7B" w:rsidRPr="00A621CB" w:rsidRDefault="00FA5D7B" w:rsidP="00FA5D7B">
      <w:pPr>
        <w:pStyle w:val="SingleTxtG"/>
        <w:spacing w:before="120"/>
        <w:ind w:left="2268"/>
      </w:pPr>
      <w:r w:rsidRPr="00A621CB">
        <w:t>En lieu et place du dispositif de contrôle spécifié à la ligne d) du tableau du point 7 de l’appendice 3 de l’annexe 9B du présent Règlement, le fabricant peut choisir de respecter les dispositions des paragraphes 2.3.1.1 à 2.3.1.2.1 de la présente annexe. ».</w:t>
      </w:r>
    </w:p>
    <w:p w:rsidR="00FA5D7B" w:rsidRPr="00A621CB" w:rsidRDefault="00FA5D7B" w:rsidP="00FA5D7B">
      <w:pPr>
        <w:pStyle w:val="SingleTxtG"/>
      </w:pPr>
      <w:r w:rsidRPr="00A621CB">
        <w:rPr>
          <w:i/>
          <w:iCs/>
        </w:rPr>
        <w:t>Annexe 9B, appendice 3, point 7</w:t>
      </w:r>
      <w:r w:rsidRPr="00A621CB">
        <w:t xml:space="preserve">, </w:t>
      </w:r>
      <w:proofErr w:type="gramStart"/>
      <w:r w:rsidRPr="00A621CB">
        <w:t>modifier</w:t>
      </w:r>
      <w:proofErr w:type="gramEnd"/>
      <w:r w:rsidRPr="00A621CB">
        <w:t xml:space="preserve"> comme suit :</w:t>
      </w:r>
    </w:p>
    <w:p w:rsidR="00FA5D7B" w:rsidRPr="00A621CB" w:rsidRDefault="00FA5D7B" w:rsidP="00FA5D7B">
      <w:pPr>
        <w:pStyle w:val="para"/>
        <w:ind w:left="1134" w:firstLine="0"/>
      </w:pPr>
      <w:r w:rsidRPr="00A621CB">
        <w:t>« Surveillance du système d’alimentation en carburant</w:t>
      </w:r>
    </w:p>
    <w:p w:rsidR="00FA5D7B" w:rsidRPr="00A621CB" w:rsidRDefault="00FA5D7B" w:rsidP="00FA5D7B">
      <w:pPr>
        <w:pStyle w:val="para"/>
        <w:ind w:left="1134" w:firstLine="0"/>
      </w:pPr>
      <w:r w:rsidRPr="00A621CB">
        <w:t>Le système OBD doit surveiller, sur les moteurs équipés, les caractéristiques ci-dessous du système d’alimentation en carburant pour contrôler le bon fonctionnement :</w:t>
      </w:r>
    </w:p>
    <w:tbl>
      <w:tblPr>
        <w:tblW w:w="7370" w:type="dxa"/>
        <w:tblInd w:w="1134" w:type="dxa"/>
        <w:tblLayout w:type="fixed"/>
        <w:tblCellMar>
          <w:left w:w="0" w:type="dxa"/>
          <w:right w:w="0" w:type="dxa"/>
        </w:tblCellMar>
        <w:tblLook w:val="01E0" w:firstRow="1" w:lastRow="1" w:firstColumn="1" w:lastColumn="1" w:noHBand="0" w:noVBand="0"/>
      </w:tblPr>
      <w:tblGrid>
        <w:gridCol w:w="5387"/>
        <w:gridCol w:w="991"/>
        <w:gridCol w:w="992"/>
      </w:tblGrid>
      <w:tr w:rsidR="00FA5D7B" w:rsidRPr="00FA5D7B" w:rsidTr="00FA5D7B">
        <w:trPr>
          <w:tblHeader/>
        </w:trPr>
        <w:tc>
          <w:tcPr>
            <w:tcW w:w="5387" w:type="dxa"/>
            <w:tcBorders>
              <w:bottom w:val="single" w:sz="12" w:space="0" w:color="auto"/>
              <w:right w:val="single" w:sz="4" w:space="0" w:color="auto"/>
            </w:tcBorders>
            <w:shd w:val="clear" w:color="auto" w:fill="auto"/>
            <w:vAlign w:val="bottom"/>
          </w:tcPr>
          <w:p w:rsidR="00FA5D7B" w:rsidRPr="00FA5D7B" w:rsidRDefault="00FA5D7B" w:rsidP="00FA5D7B">
            <w:pPr>
              <w:suppressAutoHyphens w:val="0"/>
              <w:spacing w:before="80" w:after="80" w:line="200" w:lineRule="exact"/>
              <w:ind w:left="57" w:right="57"/>
              <w:rPr>
                <w:i/>
                <w:sz w:val="16"/>
              </w:rPr>
            </w:pP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tcPr>
          <w:p w:rsidR="00FA5D7B" w:rsidRPr="00FA5D7B" w:rsidRDefault="00FA5D7B" w:rsidP="00FA5D7B">
            <w:pPr>
              <w:suppressAutoHyphens w:val="0"/>
              <w:spacing w:before="80" w:after="80" w:line="200" w:lineRule="exact"/>
              <w:ind w:left="57" w:right="57"/>
              <w:jc w:val="center"/>
              <w:rPr>
                <w:i/>
                <w:sz w:val="16"/>
              </w:rPr>
            </w:pPr>
            <w:r w:rsidRPr="00FA5D7B">
              <w:rPr>
                <w:i/>
                <w:sz w:val="16"/>
              </w:rPr>
              <w:t>Gazole</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FA5D7B" w:rsidRPr="00FA5D7B" w:rsidRDefault="00FA5D7B" w:rsidP="00FA5D7B">
            <w:pPr>
              <w:suppressAutoHyphens w:val="0"/>
              <w:spacing w:before="80" w:after="80" w:line="200" w:lineRule="exact"/>
              <w:ind w:left="57" w:right="57"/>
              <w:jc w:val="center"/>
              <w:rPr>
                <w:i/>
                <w:sz w:val="16"/>
              </w:rPr>
            </w:pPr>
            <w:r w:rsidRPr="00FA5D7B">
              <w:rPr>
                <w:i/>
                <w:sz w:val="16"/>
              </w:rPr>
              <w:t>Gaz</w:t>
            </w:r>
          </w:p>
        </w:tc>
      </w:tr>
      <w:tr w:rsidR="00FA5D7B" w:rsidRPr="00FA5D7B" w:rsidTr="00FA5D7B">
        <w:tc>
          <w:tcPr>
            <w:tcW w:w="5387" w:type="dxa"/>
            <w:tcBorders>
              <w:top w:val="single" w:sz="12" w:space="0" w:color="auto"/>
              <w:left w:val="single" w:sz="4" w:space="0" w:color="auto"/>
              <w:bottom w:val="single" w:sz="4" w:space="0" w:color="auto"/>
              <w:right w:val="single" w:sz="4" w:space="0" w:color="auto"/>
            </w:tcBorders>
            <w:shd w:val="clear" w:color="auto" w:fill="auto"/>
          </w:tcPr>
          <w:p w:rsidR="00FA5D7B" w:rsidRPr="00FA5D7B" w:rsidRDefault="00FA5D7B" w:rsidP="00A621CB">
            <w:pPr>
              <w:suppressAutoHyphens w:val="0"/>
              <w:spacing w:before="40" w:after="40" w:line="220" w:lineRule="exact"/>
              <w:ind w:left="341" w:right="57" w:hanging="284"/>
              <w:jc w:val="both"/>
              <w:rPr>
                <w:sz w:val="18"/>
              </w:rPr>
            </w:pPr>
            <w:r w:rsidRPr="00FA5D7B">
              <w:rPr>
                <w:sz w:val="18"/>
              </w:rPr>
              <w:t>a)</w:t>
            </w:r>
            <w:r>
              <w:rPr>
                <w:sz w:val="18"/>
              </w:rPr>
              <w:tab/>
            </w:r>
            <w:r w:rsidRPr="00FA5D7B">
              <w:rPr>
                <w:sz w:val="18"/>
              </w:rPr>
              <w:t>Pression d’alimentation</w:t>
            </w:r>
            <w:r w:rsidR="00A81C07">
              <w:rPr>
                <w:sz w:val="18"/>
              </w:rPr>
              <w:t> </w:t>
            </w:r>
            <w:r w:rsidRPr="00FA5D7B">
              <w:rPr>
                <w:sz w:val="18"/>
              </w:rPr>
              <w:t xml:space="preserve">: capacité du système d’alimentation en carburant à atteindre la pression prescrite dans un circuit à boucle fermée </w:t>
            </w:r>
            <w:r>
              <w:rPr>
                <w:sz w:val="18"/>
              </w:rPr>
              <w:t>−</w:t>
            </w:r>
            <w:r w:rsidRPr="00FA5D7B">
              <w:rPr>
                <w:sz w:val="18"/>
              </w:rPr>
              <w:t xml:space="preserve"> surveillance de l’efficacité.</w:t>
            </w:r>
          </w:p>
        </w:tc>
        <w:tc>
          <w:tcPr>
            <w:tcW w:w="991" w:type="dxa"/>
            <w:tcBorders>
              <w:top w:val="single" w:sz="12"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r w:rsidRPr="00FA5D7B">
              <w:rPr>
                <w:sz w:val="18"/>
              </w:rPr>
              <w:t>X</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p>
        </w:tc>
      </w:tr>
      <w:tr w:rsidR="00FA5D7B" w:rsidRPr="00FA5D7B" w:rsidTr="00FA5D7B">
        <w:tc>
          <w:tcPr>
            <w:tcW w:w="5387" w:type="dxa"/>
            <w:tcBorders>
              <w:top w:val="single" w:sz="4" w:space="0" w:color="auto"/>
              <w:left w:val="single" w:sz="4" w:space="0" w:color="auto"/>
              <w:bottom w:val="single" w:sz="4" w:space="0" w:color="auto"/>
              <w:right w:val="single" w:sz="4" w:space="0" w:color="auto"/>
            </w:tcBorders>
            <w:shd w:val="clear" w:color="auto" w:fill="auto"/>
          </w:tcPr>
          <w:p w:rsidR="00FA5D7B" w:rsidRPr="00FA5D7B" w:rsidRDefault="00FA5D7B" w:rsidP="00DC4119">
            <w:pPr>
              <w:suppressAutoHyphens w:val="0"/>
              <w:spacing w:before="40" w:after="40" w:line="220" w:lineRule="exact"/>
              <w:ind w:left="341" w:right="57" w:hanging="284"/>
              <w:jc w:val="both"/>
              <w:rPr>
                <w:sz w:val="18"/>
              </w:rPr>
            </w:pPr>
            <w:r w:rsidRPr="00FA5D7B">
              <w:rPr>
                <w:sz w:val="18"/>
              </w:rPr>
              <w:t>b)</w:t>
            </w:r>
            <w:r>
              <w:rPr>
                <w:sz w:val="18"/>
              </w:rPr>
              <w:tab/>
            </w:r>
            <w:r w:rsidRPr="00FA5D7B">
              <w:rPr>
                <w:sz w:val="18"/>
              </w:rPr>
              <w:t>Pression d’alimentation</w:t>
            </w:r>
            <w:r w:rsidR="00A81C07">
              <w:rPr>
                <w:sz w:val="18"/>
              </w:rPr>
              <w:t> </w:t>
            </w:r>
            <w:r w:rsidRPr="00FA5D7B">
              <w:rPr>
                <w:sz w:val="18"/>
              </w:rPr>
              <w:t xml:space="preserve">: capacité du système à atteindre la pression prescrite dans un circuit à boucle fermée </w:t>
            </w:r>
            <w:r w:rsidR="00DC4119">
              <w:rPr>
                <w:sz w:val="18"/>
              </w:rPr>
              <w:t>de</w:t>
            </w:r>
            <w:r w:rsidRPr="00FA5D7B">
              <w:rPr>
                <w:sz w:val="18"/>
              </w:rPr>
              <w:t xml:space="preserve"> telle sorte que la pression puisse être commandée indépendamment d’autres paramètres </w:t>
            </w:r>
            <w:r>
              <w:rPr>
                <w:sz w:val="18"/>
              </w:rPr>
              <w:t>−</w:t>
            </w:r>
            <w:r w:rsidRPr="00FA5D7B">
              <w:rPr>
                <w:sz w:val="18"/>
              </w:rPr>
              <w:t xml:space="preserve"> surveillance de l’efficacité.</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r w:rsidRPr="00FA5D7B">
              <w:rPr>
                <w:sz w:val="18"/>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p>
        </w:tc>
      </w:tr>
      <w:tr w:rsidR="00FA5D7B" w:rsidRPr="00FA5D7B" w:rsidTr="00FA5D7B">
        <w:tc>
          <w:tcPr>
            <w:tcW w:w="5387" w:type="dxa"/>
            <w:tcBorders>
              <w:top w:val="single" w:sz="4" w:space="0" w:color="auto"/>
              <w:left w:val="single" w:sz="4" w:space="0" w:color="auto"/>
              <w:bottom w:val="single" w:sz="4" w:space="0" w:color="auto"/>
              <w:right w:val="single" w:sz="4" w:space="0" w:color="auto"/>
            </w:tcBorders>
            <w:shd w:val="clear" w:color="auto" w:fill="auto"/>
          </w:tcPr>
          <w:p w:rsidR="00FA5D7B" w:rsidRPr="00FA5D7B" w:rsidRDefault="00FA5D7B" w:rsidP="00A621CB">
            <w:pPr>
              <w:suppressAutoHyphens w:val="0"/>
              <w:spacing w:before="40" w:after="40" w:line="220" w:lineRule="exact"/>
              <w:ind w:left="341" w:right="57" w:hanging="284"/>
              <w:jc w:val="both"/>
              <w:rPr>
                <w:sz w:val="18"/>
              </w:rPr>
            </w:pPr>
            <w:r w:rsidRPr="00FA5D7B">
              <w:rPr>
                <w:sz w:val="18"/>
              </w:rPr>
              <w:t>c)</w:t>
            </w:r>
            <w:r>
              <w:rPr>
                <w:sz w:val="18"/>
              </w:rPr>
              <w:tab/>
            </w:r>
            <w:r w:rsidRPr="00FA5D7B">
              <w:rPr>
                <w:sz w:val="18"/>
              </w:rPr>
              <w:t>Point d’injection</w:t>
            </w:r>
            <w:r w:rsidR="00A81C07">
              <w:rPr>
                <w:sz w:val="18"/>
              </w:rPr>
              <w:t> </w:t>
            </w:r>
            <w:r w:rsidRPr="00FA5D7B">
              <w:rPr>
                <w:sz w:val="18"/>
              </w:rPr>
              <w:t>: capacité du système d’alimentation en carburant à respecter le point d’injection prévu pendant au moins un cycle d’injection lorsque le moteur est</w:t>
            </w:r>
            <w:r>
              <w:rPr>
                <w:sz w:val="18"/>
              </w:rPr>
              <w:t xml:space="preserve"> équipé des sondes appropriées −</w:t>
            </w:r>
            <w:r w:rsidRPr="00FA5D7B">
              <w:rPr>
                <w:sz w:val="18"/>
              </w:rPr>
              <w:t xml:space="preserve"> surveillance de l’efficacité.</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r w:rsidRPr="00FA5D7B">
              <w:rPr>
                <w:sz w:val="18"/>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p>
        </w:tc>
      </w:tr>
      <w:tr w:rsidR="00FA5D7B" w:rsidRPr="00FA5D7B" w:rsidTr="00FA5D7B">
        <w:tc>
          <w:tcPr>
            <w:tcW w:w="5387" w:type="dxa"/>
            <w:tcBorders>
              <w:top w:val="single" w:sz="4" w:space="0" w:color="auto"/>
              <w:left w:val="single" w:sz="4" w:space="0" w:color="auto"/>
              <w:bottom w:val="single" w:sz="4" w:space="0" w:color="auto"/>
              <w:right w:val="single" w:sz="4" w:space="0" w:color="auto"/>
            </w:tcBorders>
            <w:shd w:val="clear" w:color="auto" w:fill="auto"/>
          </w:tcPr>
          <w:p w:rsidR="00FA5D7B" w:rsidRPr="00FA5D7B" w:rsidRDefault="00FA5D7B" w:rsidP="00A621CB">
            <w:pPr>
              <w:suppressAutoHyphens w:val="0"/>
              <w:spacing w:before="40" w:after="40" w:line="220" w:lineRule="exact"/>
              <w:ind w:left="341" w:right="57" w:hanging="284"/>
              <w:jc w:val="both"/>
              <w:rPr>
                <w:sz w:val="18"/>
              </w:rPr>
            </w:pPr>
            <w:r w:rsidRPr="00FA5D7B">
              <w:rPr>
                <w:sz w:val="18"/>
              </w:rPr>
              <w:t>d)</w:t>
            </w:r>
            <w:r>
              <w:rPr>
                <w:sz w:val="18"/>
              </w:rPr>
              <w:tab/>
            </w:r>
            <w:r w:rsidRPr="00FA5D7B">
              <w:rPr>
                <w:sz w:val="18"/>
              </w:rPr>
              <w:t>Quantité de carburant injectée</w:t>
            </w:r>
            <w:r w:rsidR="00A81C07">
              <w:rPr>
                <w:sz w:val="18"/>
              </w:rPr>
              <w:t> </w:t>
            </w:r>
            <w:r w:rsidRPr="00FA5D7B">
              <w:rPr>
                <w:sz w:val="18"/>
              </w:rPr>
              <w:t xml:space="preserve">: capacité du système à injecter la quantité de carburant prescrite en détectant les erreurs de dosage pendant au moins un cycle d’injection lorsque le moteur est équipé des sondes appropriées (par exemple, avant, pendant ou après l’injection) </w:t>
            </w:r>
            <w:r>
              <w:rPr>
                <w:sz w:val="18"/>
              </w:rPr>
              <w:t>−</w:t>
            </w:r>
            <w:r w:rsidRPr="00FA5D7B">
              <w:rPr>
                <w:sz w:val="18"/>
              </w:rPr>
              <w:t xml:space="preserve"> surveillance des seuils d’émission.</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r w:rsidRPr="00FA5D7B">
              <w:rPr>
                <w:sz w:val="18"/>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p>
        </w:tc>
      </w:tr>
      <w:tr w:rsidR="00FA5D7B" w:rsidRPr="00FA5D7B" w:rsidTr="00FA5D7B">
        <w:trPr>
          <w:cantSplit/>
        </w:trPr>
        <w:tc>
          <w:tcPr>
            <w:tcW w:w="5387" w:type="dxa"/>
            <w:tcBorders>
              <w:top w:val="single" w:sz="4" w:space="0" w:color="auto"/>
              <w:left w:val="single" w:sz="4" w:space="0" w:color="auto"/>
              <w:bottom w:val="single" w:sz="12" w:space="0" w:color="auto"/>
              <w:right w:val="single" w:sz="4" w:space="0" w:color="auto"/>
            </w:tcBorders>
            <w:shd w:val="clear" w:color="auto" w:fill="auto"/>
          </w:tcPr>
          <w:p w:rsidR="00FA5D7B" w:rsidRPr="00FA5D7B" w:rsidRDefault="00FA5D7B" w:rsidP="00A621CB">
            <w:pPr>
              <w:suppressAutoHyphens w:val="0"/>
              <w:spacing w:before="40" w:after="40" w:line="220" w:lineRule="exact"/>
              <w:ind w:left="341" w:right="57" w:hanging="284"/>
              <w:jc w:val="both"/>
              <w:rPr>
                <w:sz w:val="18"/>
              </w:rPr>
            </w:pPr>
            <w:r w:rsidRPr="00FA5D7B">
              <w:rPr>
                <w:sz w:val="18"/>
              </w:rPr>
              <w:lastRenderedPageBreak/>
              <w:t>e)</w:t>
            </w:r>
            <w:r>
              <w:rPr>
                <w:sz w:val="18"/>
              </w:rPr>
              <w:tab/>
            </w:r>
            <w:r w:rsidRPr="00FA5D7B">
              <w:rPr>
                <w:sz w:val="18"/>
              </w:rPr>
              <w:t>Rapport air-carburant</w:t>
            </w:r>
            <w:r w:rsidR="00A81C07">
              <w:rPr>
                <w:sz w:val="18"/>
              </w:rPr>
              <w:t> </w:t>
            </w:r>
            <w:r w:rsidRPr="00FA5D7B">
              <w:rPr>
                <w:sz w:val="18"/>
              </w:rPr>
              <w:t xml:space="preserve">: capacité du système d’injection à maintenir le rapport air-carburant souhaité (compte tenu entre autres, mais non exclusivement, des capacités d’auto-adaptation) </w:t>
            </w:r>
            <w:r>
              <w:rPr>
                <w:sz w:val="18"/>
              </w:rPr>
              <w:t>−</w:t>
            </w:r>
            <w:r w:rsidRPr="00FA5D7B">
              <w:rPr>
                <w:sz w:val="18"/>
              </w:rPr>
              <w:t xml:space="preserve"> surveillance de l’efficacité.</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FA5D7B" w:rsidRPr="00FA5D7B" w:rsidRDefault="00FA5D7B" w:rsidP="00FA5D7B">
            <w:pPr>
              <w:suppressAutoHyphens w:val="0"/>
              <w:spacing w:before="40" w:after="40" w:line="220" w:lineRule="exact"/>
              <w:ind w:left="57" w:right="57"/>
              <w:jc w:val="center"/>
              <w:rPr>
                <w:sz w:val="18"/>
              </w:rPr>
            </w:pPr>
            <w:r w:rsidRPr="00FA5D7B">
              <w:rPr>
                <w:sz w:val="18"/>
              </w:rPr>
              <w:t>X</w:t>
            </w:r>
          </w:p>
        </w:tc>
      </w:tr>
    </w:tbl>
    <w:p w:rsidR="00FA5D7B" w:rsidRPr="005C5A37" w:rsidRDefault="00FA5D7B" w:rsidP="00A81C07">
      <w:pPr>
        <w:pStyle w:val="SingleTxtG"/>
        <w:spacing w:before="120"/>
        <w:jc w:val="right"/>
      </w:pPr>
      <w:r>
        <w:t>».</w:t>
      </w:r>
    </w:p>
    <w:p w:rsidR="00FA5D7B" w:rsidRDefault="00FA5D7B" w:rsidP="00FA5D7B">
      <w:pPr>
        <w:pStyle w:val="SingleTxtG"/>
        <w:rPr>
          <w:bCs/>
        </w:rPr>
      </w:pPr>
      <w:r w:rsidRPr="00FA5D7B">
        <w:rPr>
          <w:i/>
          <w:iCs/>
        </w:rPr>
        <w:t>Annexe 10, paragraphe 11</w:t>
      </w:r>
      <w:r>
        <w:t xml:space="preserve">, </w:t>
      </w:r>
      <w:proofErr w:type="gramStart"/>
      <w:r>
        <w:t>modifier</w:t>
      </w:r>
      <w:proofErr w:type="gramEnd"/>
      <w:r>
        <w:t xml:space="preserve"> comme suit :</w:t>
      </w:r>
    </w:p>
    <w:p w:rsidR="00FA5D7B" w:rsidRPr="005B2508" w:rsidRDefault="00FA5D7B" w:rsidP="00FA5D7B">
      <w:pPr>
        <w:pStyle w:val="SingleTxtG"/>
        <w:ind w:left="2268" w:hanging="1134"/>
      </w:pPr>
      <w:bookmarkStart w:id="1" w:name="_Toc168287157"/>
      <w:bookmarkStart w:id="2" w:name="_Toc211310312"/>
      <w:r>
        <w:t>« 11.</w:t>
      </w:r>
      <w:r>
        <w:tab/>
      </w:r>
      <w:r>
        <w:tab/>
        <w:t>Documentation</w:t>
      </w:r>
    </w:p>
    <w:p w:rsidR="00FA5D7B" w:rsidRPr="005B2508" w:rsidRDefault="00FA5D7B" w:rsidP="00FA5D7B">
      <w:pPr>
        <w:pStyle w:val="SingleTxtG"/>
        <w:ind w:left="2268"/>
      </w:pPr>
      <w:r>
        <w:t>L’autorité d’homologation doit prescrire au constructeur de fournir un dossier d’information. Celui-ci devrait comprendre une description tant des éléments de conception et des stratégies de réduction des émissions du système moteur que des moyens par lesquels celui-ci contrôle, directement ou indirectement, ses variables de sortie.</w:t>
      </w:r>
    </w:p>
    <w:p w:rsidR="00FA5D7B" w:rsidRDefault="00FA5D7B" w:rsidP="00FA5D7B">
      <w:pPr>
        <w:pStyle w:val="SingleTxtG"/>
        <w:ind w:left="2268"/>
      </w:pPr>
      <w:r>
        <w:t>Ces informations doivent comprendre une description complète de la stratégie de réduction des émissions. Elles doivent aussi comprendre des informations sur le fonctionnement de toutes les stratégies auxiliaires et stratégies de base, notamment une description des paramètres qui sont modifiés par les stratégies auxiliaires et les conditions limites dans lesquelles celles-ci fonctionnent, et doit indiquer quelles stratégies auxiliaires et stratégies de base sont susceptibles d’être actives dans les conditions des procédures d’essai décrites à l’annexe 10 au présent Règlement.</w:t>
      </w:r>
      <w:bookmarkEnd w:id="1"/>
    </w:p>
    <w:p w:rsidR="00FA5D7B" w:rsidRPr="005B2508" w:rsidRDefault="00FA5D7B" w:rsidP="00A81C07">
      <w:pPr>
        <w:pStyle w:val="SingleTxtG"/>
        <w:ind w:left="2268"/>
      </w:pPr>
      <w:r w:rsidRPr="009C6CE3">
        <w:t xml:space="preserve">Ces informations doivent être consignées dans le </w:t>
      </w:r>
      <w:r w:rsidR="00A81C07" w:rsidRPr="001471B6">
        <w:t>“</w:t>
      </w:r>
      <w:r w:rsidRPr="009C6CE3">
        <w:t>dossier d</w:t>
      </w:r>
      <w:r>
        <w:t>’</w:t>
      </w:r>
      <w:r w:rsidRPr="009C6CE3">
        <w:t>information détaillé</w:t>
      </w:r>
      <w:r w:rsidR="00A81C07" w:rsidRPr="001471B6">
        <w:t>”</w:t>
      </w:r>
      <w:r w:rsidRPr="009C6CE3">
        <w:t>, conformément aux prescriptions relatives à la documentation énoncées au paragraphe 5.1.4.</w:t>
      </w:r>
      <w:r>
        <w:t> </w:t>
      </w:r>
      <w:r w:rsidRPr="009C6CE3">
        <w:t>».</w:t>
      </w:r>
      <w:bookmarkEnd w:id="2"/>
    </w:p>
    <w:p w:rsidR="00F9573C" w:rsidRPr="00FA5D7B" w:rsidRDefault="00FA5D7B" w:rsidP="00FA5D7B">
      <w:pPr>
        <w:pStyle w:val="SingleTxtG"/>
        <w:spacing w:before="240" w:after="0"/>
        <w:jc w:val="center"/>
        <w:rPr>
          <w:u w:val="single"/>
        </w:rPr>
      </w:pPr>
      <w:r>
        <w:rPr>
          <w:u w:val="single"/>
        </w:rPr>
        <w:tab/>
      </w:r>
      <w:r>
        <w:rPr>
          <w:u w:val="single"/>
        </w:rPr>
        <w:tab/>
      </w:r>
      <w:r>
        <w:rPr>
          <w:u w:val="single"/>
        </w:rPr>
        <w:tab/>
      </w:r>
    </w:p>
    <w:sectPr w:rsidR="00F9573C" w:rsidRPr="00FA5D7B" w:rsidSect="00FA5D7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04" w:rsidRDefault="00462604" w:rsidP="00F95C08">
      <w:pPr>
        <w:spacing w:line="240" w:lineRule="auto"/>
      </w:pPr>
    </w:p>
  </w:endnote>
  <w:endnote w:type="continuationSeparator" w:id="0">
    <w:p w:rsidR="00462604" w:rsidRPr="00AC3823" w:rsidRDefault="00462604" w:rsidP="00AC3823">
      <w:pPr>
        <w:pStyle w:val="Footer"/>
      </w:pPr>
    </w:p>
  </w:endnote>
  <w:endnote w:type="continuationNotice" w:id="1">
    <w:p w:rsidR="00462604" w:rsidRDefault="004626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7B" w:rsidRPr="00FA5D7B" w:rsidRDefault="00FA5D7B" w:rsidP="00FA5D7B">
    <w:pPr>
      <w:pStyle w:val="Footer"/>
      <w:tabs>
        <w:tab w:val="right" w:pos="9638"/>
      </w:tabs>
    </w:pPr>
    <w:r w:rsidRPr="00FA5D7B">
      <w:rPr>
        <w:b/>
        <w:sz w:val="18"/>
      </w:rPr>
      <w:fldChar w:fldCharType="begin"/>
    </w:r>
    <w:r w:rsidRPr="00FA5D7B">
      <w:rPr>
        <w:b/>
        <w:sz w:val="18"/>
      </w:rPr>
      <w:instrText xml:space="preserve"> PAGE  \* MERGEFORMAT </w:instrText>
    </w:r>
    <w:r w:rsidRPr="00FA5D7B">
      <w:rPr>
        <w:b/>
        <w:sz w:val="18"/>
      </w:rPr>
      <w:fldChar w:fldCharType="separate"/>
    </w:r>
    <w:r w:rsidR="001471B6">
      <w:rPr>
        <w:b/>
        <w:noProof/>
        <w:sz w:val="18"/>
      </w:rPr>
      <w:t>2</w:t>
    </w:r>
    <w:r w:rsidRPr="00FA5D7B">
      <w:rPr>
        <w:b/>
        <w:sz w:val="18"/>
      </w:rPr>
      <w:fldChar w:fldCharType="end"/>
    </w:r>
    <w:r>
      <w:rPr>
        <w:b/>
        <w:sz w:val="18"/>
      </w:rPr>
      <w:tab/>
    </w:r>
    <w:r>
      <w:t>GE.16-05788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7B" w:rsidRPr="00FA5D7B" w:rsidRDefault="00FA5D7B" w:rsidP="00FA5D7B">
    <w:pPr>
      <w:pStyle w:val="Footer"/>
      <w:tabs>
        <w:tab w:val="right" w:pos="9638"/>
      </w:tabs>
      <w:rPr>
        <w:b/>
        <w:sz w:val="18"/>
      </w:rPr>
    </w:pPr>
    <w:r>
      <w:t>GE.16-05788</w:t>
    </w:r>
    <w:r>
      <w:tab/>
    </w:r>
    <w:r w:rsidRPr="00FA5D7B">
      <w:rPr>
        <w:b/>
        <w:sz w:val="18"/>
      </w:rPr>
      <w:fldChar w:fldCharType="begin"/>
    </w:r>
    <w:r w:rsidRPr="00FA5D7B">
      <w:rPr>
        <w:b/>
        <w:sz w:val="18"/>
      </w:rPr>
      <w:instrText xml:space="preserve"> PAGE  \* MERGEFORMAT </w:instrText>
    </w:r>
    <w:r w:rsidRPr="00FA5D7B">
      <w:rPr>
        <w:b/>
        <w:sz w:val="18"/>
      </w:rPr>
      <w:fldChar w:fldCharType="separate"/>
    </w:r>
    <w:r w:rsidR="001471B6">
      <w:rPr>
        <w:b/>
        <w:noProof/>
        <w:sz w:val="18"/>
      </w:rPr>
      <w:t>3</w:t>
    </w:r>
    <w:r w:rsidRPr="00FA5D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A5D7B" w:rsidRDefault="00FA5D7B" w:rsidP="00FA5D7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062AF6F" wp14:editId="34F0E7C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16-05788  (F)    030516    030516</w:t>
    </w:r>
    <w:r>
      <w:rPr>
        <w:sz w:val="20"/>
      </w:rPr>
      <w:br/>
    </w:r>
    <w:r w:rsidRPr="00FA5D7B">
      <w:rPr>
        <w:rFonts w:ascii="C39T30Lfz" w:hAnsi="C39T30Lfz"/>
        <w:sz w:val="56"/>
      </w:rPr>
      <w:t></w:t>
    </w:r>
    <w:r w:rsidRPr="00FA5D7B">
      <w:rPr>
        <w:rFonts w:ascii="C39T30Lfz" w:hAnsi="C39T30Lfz"/>
        <w:sz w:val="56"/>
      </w:rPr>
      <w:t></w:t>
    </w:r>
    <w:r w:rsidRPr="00FA5D7B">
      <w:rPr>
        <w:rFonts w:ascii="C39T30Lfz" w:hAnsi="C39T30Lfz"/>
        <w:sz w:val="56"/>
      </w:rPr>
      <w:t></w:t>
    </w:r>
    <w:r w:rsidRPr="00FA5D7B">
      <w:rPr>
        <w:rFonts w:ascii="C39T30Lfz" w:hAnsi="C39T30Lfz"/>
        <w:sz w:val="56"/>
      </w:rPr>
      <w:t></w:t>
    </w:r>
    <w:r w:rsidRPr="00FA5D7B">
      <w:rPr>
        <w:rFonts w:ascii="C39T30Lfz" w:hAnsi="C39T30Lfz"/>
        <w:sz w:val="56"/>
      </w:rPr>
      <w:t></w:t>
    </w:r>
    <w:r w:rsidRPr="00FA5D7B">
      <w:rPr>
        <w:rFonts w:ascii="C39T30Lfz" w:hAnsi="C39T30Lfz"/>
        <w:sz w:val="56"/>
      </w:rPr>
      <w:t></w:t>
    </w:r>
    <w:r w:rsidRPr="00FA5D7B">
      <w:rPr>
        <w:rFonts w:ascii="C39T30Lfz" w:hAnsi="C39T30Lfz"/>
        <w:sz w:val="56"/>
      </w:rPr>
      <w:t></w:t>
    </w:r>
    <w:r w:rsidRPr="00FA5D7B">
      <w:rPr>
        <w:rFonts w:ascii="C39T30Lfz" w:hAnsi="C39T30Lfz"/>
        <w:sz w:val="56"/>
      </w:rPr>
      <w:t></w:t>
    </w:r>
    <w:r w:rsidRPr="00FA5D7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04" w:rsidRPr="00AC3823" w:rsidRDefault="00462604" w:rsidP="00AC3823">
      <w:pPr>
        <w:pStyle w:val="Footer"/>
        <w:tabs>
          <w:tab w:val="right" w:pos="2155"/>
        </w:tabs>
        <w:spacing w:after="80" w:line="240" w:lineRule="atLeast"/>
        <w:ind w:left="680"/>
        <w:rPr>
          <w:u w:val="single"/>
        </w:rPr>
      </w:pPr>
      <w:r>
        <w:rPr>
          <w:u w:val="single"/>
        </w:rPr>
        <w:tab/>
      </w:r>
    </w:p>
  </w:footnote>
  <w:footnote w:type="continuationSeparator" w:id="0">
    <w:p w:rsidR="00462604" w:rsidRPr="00AC3823" w:rsidRDefault="00462604" w:rsidP="00AC3823">
      <w:pPr>
        <w:pStyle w:val="Footer"/>
        <w:tabs>
          <w:tab w:val="right" w:pos="2155"/>
        </w:tabs>
        <w:spacing w:after="80" w:line="240" w:lineRule="atLeast"/>
        <w:ind w:left="680"/>
        <w:rPr>
          <w:u w:val="single"/>
        </w:rPr>
      </w:pPr>
      <w:r>
        <w:rPr>
          <w:u w:val="single"/>
        </w:rPr>
        <w:tab/>
      </w:r>
    </w:p>
  </w:footnote>
  <w:footnote w:type="continuationNotice" w:id="1">
    <w:p w:rsidR="00462604" w:rsidRPr="00AC3823" w:rsidRDefault="00462604">
      <w:pPr>
        <w:spacing w:line="240" w:lineRule="auto"/>
        <w:rPr>
          <w:sz w:val="2"/>
          <w:szCs w:val="2"/>
        </w:rPr>
      </w:pPr>
    </w:p>
  </w:footnote>
  <w:footnote w:id="2">
    <w:p w:rsidR="00FA5D7B" w:rsidRPr="00FA5D7B" w:rsidRDefault="00FA5D7B" w:rsidP="00FA5D7B">
      <w:pPr>
        <w:pStyle w:val="FootnoteText"/>
        <w:rPr>
          <w:spacing w:val="-2"/>
        </w:rPr>
      </w:pPr>
      <w:r>
        <w:tab/>
      </w:r>
      <w:r>
        <w:rPr>
          <w:sz w:val="20"/>
        </w:rPr>
        <w:t>*</w:t>
      </w:r>
      <w:r>
        <w:tab/>
      </w:r>
      <w:r w:rsidRPr="00FA5D7B">
        <w:rPr>
          <w:spacing w:val="-2"/>
        </w:rPr>
        <w:t>Conformément au programme de travail du Comité des transports intérieurs pour la période</w:t>
      </w:r>
      <w:r>
        <w:rPr>
          <w:spacing w:val="-2"/>
        </w:rPr>
        <w:t xml:space="preserve"> 2016-2017 (ECE/TRANS/254, par. </w:t>
      </w:r>
      <w:r w:rsidRPr="00FA5D7B">
        <w:rPr>
          <w:spacing w:val="-2"/>
        </w:rPr>
        <w:t>159, et EC</w:t>
      </w:r>
      <w:r>
        <w:rPr>
          <w:spacing w:val="-2"/>
        </w:rPr>
        <w:t>E/TRANS/2016/28/Add.1, activité </w:t>
      </w:r>
      <w:r w:rsidRPr="00FA5D7B">
        <w:rPr>
          <w:spacing w:val="-2"/>
        </w:rPr>
        <w:t>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7B" w:rsidRPr="00FA5D7B" w:rsidRDefault="00FA5D7B">
    <w:pPr>
      <w:pStyle w:val="Header"/>
    </w:pPr>
    <w:r>
      <w:t>ECE/TRANS/WP.29/2016/41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7B" w:rsidRPr="00FA5D7B" w:rsidRDefault="00FA5D7B" w:rsidP="00FA5D7B">
    <w:pPr>
      <w:pStyle w:val="Header"/>
      <w:jc w:val="right"/>
    </w:pPr>
    <w:r>
      <w:t>ECE/TRANS/WP.29/2016/41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04"/>
    <w:rsid w:val="00017F94"/>
    <w:rsid w:val="00023842"/>
    <w:rsid w:val="000334F9"/>
    <w:rsid w:val="0007796D"/>
    <w:rsid w:val="000B7790"/>
    <w:rsid w:val="00111F2F"/>
    <w:rsid w:val="0014365E"/>
    <w:rsid w:val="00143C66"/>
    <w:rsid w:val="001471B6"/>
    <w:rsid w:val="00176178"/>
    <w:rsid w:val="001F525A"/>
    <w:rsid w:val="00223272"/>
    <w:rsid w:val="0024779E"/>
    <w:rsid w:val="00257168"/>
    <w:rsid w:val="002744B8"/>
    <w:rsid w:val="002832AC"/>
    <w:rsid w:val="002D7C93"/>
    <w:rsid w:val="00305801"/>
    <w:rsid w:val="003916DE"/>
    <w:rsid w:val="00441C3B"/>
    <w:rsid w:val="00446FE5"/>
    <w:rsid w:val="00452396"/>
    <w:rsid w:val="00462604"/>
    <w:rsid w:val="004837D8"/>
    <w:rsid w:val="004A55B0"/>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621CB"/>
    <w:rsid w:val="00A81C07"/>
    <w:rsid w:val="00AC3823"/>
    <w:rsid w:val="00AE323C"/>
    <w:rsid w:val="00AF0CB5"/>
    <w:rsid w:val="00B00181"/>
    <w:rsid w:val="00B00B0D"/>
    <w:rsid w:val="00B765F7"/>
    <w:rsid w:val="00BA0CA9"/>
    <w:rsid w:val="00C02897"/>
    <w:rsid w:val="00D3439C"/>
    <w:rsid w:val="00DB1831"/>
    <w:rsid w:val="00DC4119"/>
    <w:rsid w:val="00DC6DC5"/>
    <w:rsid w:val="00DD3BFD"/>
    <w:rsid w:val="00DF6678"/>
    <w:rsid w:val="00E85C74"/>
    <w:rsid w:val="00EA6547"/>
    <w:rsid w:val="00EF2E22"/>
    <w:rsid w:val="00F35BAF"/>
    <w:rsid w:val="00F660DF"/>
    <w:rsid w:val="00F94664"/>
    <w:rsid w:val="00F9573C"/>
    <w:rsid w:val="00F95C08"/>
    <w:rsid w:val="00FA5D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A5D7B"/>
    <w:rPr>
      <w:rFonts w:ascii="Times New Roman" w:hAnsi="Times New Roman" w:cs="Times New Roman"/>
      <w:sz w:val="20"/>
      <w:szCs w:val="20"/>
      <w:lang w:eastAsia="en-US"/>
    </w:rPr>
  </w:style>
  <w:style w:type="paragraph" w:styleId="NormalWeb">
    <w:name w:val="Normal (Web)"/>
    <w:basedOn w:val="Normal"/>
    <w:link w:val="NormalWebChar"/>
    <w:rsid w:val="00FA5D7B"/>
    <w:pPr>
      <w:kinsoku/>
      <w:overflowPunct/>
      <w:autoSpaceDE/>
      <w:autoSpaceDN/>
      <w:adjustRightInd/>
      <w:snapToGrid/>
    </w:pPr>
    <w:rPr>
      <w:szCs w:val="24"/>
    </w:rPr>
  </w:style>
  <w:style w:type="character" w:customStyle="1" w:styleId="NormalWebChar">
    <w:name w:val="Normal (Web) Char"/>
    <w:link w:val="NormalWeb"/>
    <w:rsid w:val="00FA5D7B"/>
    <w:rPr>
      <w:rFonts w:ascii="Times New Roman" w:hAnsi="Times New Roman" w:cs="Times New Roman"/>
      <w:sz w:val="20"/>
      <w:szCs w:val="24"/>
      <w:lang w:eastAsia="en-US"/>
    </w:rPr>
  </w:style>
  <w:style w:type="character" w:customStyle="1" w:styleId="HChGChar">
    <w:name w:val="_ H _Ch_G Char"/>
    <w:link w:val="HChG"/>
    <w:rsid w:val="00FA5D7B"/>
    <w:rPr>
      <w:rFonts w:ascii="Times New Roman" w:hAnsi="Times New Roman" w:cs="Times New Roman"/>
      <w:b/>
      <w:sz w:val="28"/>
      <w:szCs w:val="20"/>
      <w:lang w:eastAsia="en-US"/>
    </w:rPr>
  </w:style>
  <w:style w:type="paragraph" w:customStyle="1" w:styleId="para">
    <w:name w:val="para"/>
    <w:basedOn w:val="SingleTxtG"/>
    <w:link w:val="paraChar"/>
    <w:qFormat/>
    <w:rsid w:val="00FA5D7B"/>
    <w:pPr>
      <w:kinsoku/>
      <w:overflowPunct/>
      <w:autoSpaceDE/>
      <w:autoSpaceDN/>
      <w:adjustRightInd/>
      <w:snapToGrid/>
      <w:ind w:left="2268" w:hanging="1134"/>
    </w:pPr>
  </w:style>
  <w:style w:type="character" w:customStyle="1" w:styleId="paraChar">
    <w:name w:val="para Char"/>
    <w:link w:val="para"/>
    <w:rsid w:val="00FA5D7B"/>
    <w:rPr>
      <w:rFonts w:ascii="Times New Roman" w:hAnsi="Times New Roman" w:cs="Times New Roman"/>
      <w:sz w:val="20"/>
      <w:szCs w:val="20"/>
      <w:lang w:eastAsia="en-US"/>
    </w:rPr>
  </w:style>
  <w:style w:type="paragraph" w:customStyle="1" w:styleId="Applicationdirecte">
    <w:name w:val="Application directe"/>
    <w:basedOn w:val="Normal"/>
    <w:next w:val="Normal"/>
    <w:semiHidden/>
    <w:rsid w:val="00FA5D7B"/>
    <w:pPr>
      <w:suppressAutoHyphens w:val="0"/>
      <w:kinsoku/>
      <w:overflowPunct/>
      <w:autoSpaceDE/>
      <w:autoSpaceDN/>
      <w:adjustRightInd/>
      <w:snapToGrid/>
      <w:spacing w:before="480" w:after="120" w:line="240" w:lineRule="auto"/>
      <w:jc w:val="both"/>
    </w:pPr>
  </w:style>
  <w:style w:type="character" w:customStyle="1" w:styleId="H1GChar">
    <w:name w:val="_ H_1_G Char"/>
    <w:link w:val="H1G"/>
    <w:rsid w:val="00FA5D7B"/>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A5D7B"/>
    <w:rPr>
      <w:rFonts w:ascii="Times New Roman" w:hAnsi="Times New Roman" w:cs="Times New Roman"/>
      <w:sz w:val="20"/>
      <w:szCs w:val="20"/>
      <w:lang w:eastAsia="en-US"/>
    </w:rPr>
  </w:style>
  <w:style w:type="paragraph" w:styleId="NormalWeb">
    <w:name w:val="Normal (Web)"/>
    <w:basedOn w:val="Normal"/>
    <w:link w:val="NormalWebChar"/>
    <w:rsid w:val="00FA5D7B"/>
    <w:pPr>
      <w:kinsoku/>
      <w:overflowPunct/>
      <w:autoSpaceDE/>
      <w:autoSpaceDN/>
      <w:adjustRightInd/>
      <w:snapToGrid/>
    </w:pPr>
    <w:rPr>
      <w:szCs w:val="24"/>
    </w:rPr>
  </w:style>
  <w:style w:type="character" w:customStyle="1" w:styleId="NormalWebChar">
    <w:name w:val="Normal (Web) Char"/>
    <w:link w:val="NormalWeb"/>
    <w:rsid w:val="00FA5D7B"/>
    <w:rPr>
      <w:rFonts w:ascii="Times New Roman" w:hAnsi="Times New Roman" w:cs="Times New Roman"/>
      <w:sz w:val="20"/>
      <w:szCs w:val="24"/>
      <w:lang w:eastAsia="en-US"/>
    </w:rPr>
  </w:style>
  <w:style w:type="character" w:customStyle="1" w:styleId="HChGChar">
    <w:name w:val="_ H _Ch_G Char"/>
    <w:link w:val="HChG"/>
    <w:rsid w:val="00FA5D7B"/>
    <w:rPr>
      <w:rFonts w:ascii="Times New Roman" w:hAnsi="Times New Roman" w:cs="Times New Roman"/>
      <w:b/>
      <w:sz w:val="28"/>
      <w:szCs w:val="20"/>
      <w:lang w:eastAsia="en-US"/>
    </w:rPr>
  </w:style>
  <w:style w:type="paragraph" w:customStyle="1" w:styleId="para">
    <w:name w:val="para"/>
    <w:basedOn w:val="SingleTxtG"/>
    <w:link w:val="paraChar"/>
    <w:qFormat/>
    <w:rsid w:val="00FA5D7B"/>
    <w:pPr>
      <w:kinsoku/>
      <w:overflowPunct/>
      <w:autoSpaceDE/>
      <w:autoSpaceDN/>
      <w:adjustRightInd/>
      <w:snapToGrid/>
      <w:ind w:left="2268" w:hanging="1134"/>
    </w:pPr>
  </w:style>
  <w:style w:type="character" w:customStyle="1" w:styleId="paraChar">
    <w:name w:val="para Char"/>
    <w:link w:val="para"/>
    <w:rsid w:val="00FA5D7B"/>
    <w:rPr>
      <w:rFonts w:ascii="Times New Roman" w:hAnsi="Times New Roman" w:cs="Times New Roman"/>
      <w:sz w:val="20"/>
      <w:szCs w:val="20"/>
      <w:lang w:eastAsia="en-US"/>
    </w:rPr>
  </w:style>
  <w:style w:type="paragraph" w:customStyle="1" w:styleId="Applicationdirecte">
    <w:name w:val="Application directe"/>
    <w:basedOn w:val="Normal"/>
    <w:next w:val="Normal"/>
    <w:semiHidden/>
    <w:rsid w:val="00FA5D7B"/>
    <w:pPr>
      <w:suppressAutoHyphens w:val="0"/>
      <w:kinsoku/>
      <w:overflowPunct/>
      <w:autoSpaceDE/>
      <w:autoSpaceDN/>
      <w:adjustRightInd/>
      <w:snapToGrid/>
      <w:spacing w:before="480" w:after="120" w:line="240" w:lineRule="auto"/>
      <w:jc w:val="both"/>
    </w:pPr>
  </w:style>
  <w:style w:type="character" w:customStyle="1" w:styleId="H1GChar">
    <w:name w:val="_ H_1_G Char"/>
    <w:link w:val="H1G"/>
    <w:rsid w:val="00FA5D7B"/>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4475</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ECE/TRANS/WP.29/2016/41</vt:lpstr>
      <vt:lpstr>ECE/TRANS/WP.29/2016/41</vt:lpstr>
    </vt:vector>
  </TitlesOfParts>
  <Company>DCM</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ECE/TRANS/WP.29/2016/41</dc:title>
  <dc:creator>Morin</dc:creator>
  <cp:lastModifiedBy>Benedicte Boudol</cp:lastModifiedBy>
  <cp:revision>2</cp:revision>
  <cp:lastPrinted>2016-05-03T13:09:00Z</cp:lastPrinted>
  <dcterms:created xsi:type="dcterms:W3CDTF">2016-05-03T14:16:00Z</dcterms:created>
  <dcterms:modified xsi:type="dcterms:W3CDTF">2016-05-03T14:16:00Z</dcterms:modified>
</cp:coreProperties>
</file>