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D007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DD007C">
              <w:rPr>
                <w:lang w:val="en-GB"/>
              </w:rPr>
              <w:t>7</w:t>
            </w:r>
          </w:p>
        </w:tc>
      </w:tr>
      <w:tr w:rsidR="00AF2205" w:rsidRPr="00C5056C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9477FE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9634C5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123D5F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123D5F">
        <w:rPr>
          <w:lang w:val="en-US"/>
        </w:rPr>
        <w:t>8</w:t>
      </w:r>
      <w:r w:rsidR="009634C5">
        <w:rPr>
          <w:lang w:val="en-US"/>
        </w:rPr>
        <w:t>-</w:t>
      </w:r>
      <w:r w:rsidR="00123D5F">
        <w:rPr>
          <w:lang w:val="en-US"/>
        </w:rPr>
        <w:t>11</w:t>
      </w:r>
      <w:r w:rsidR="004E7423">
        <w:rPr>
          <w:lang w:val="en-US"/>
        </w:rPr>
        <w:t xml:space="preserve"> </w:t>
      </w:r>
      <w:r w:rsidR="009634C5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634C5">
        <w:rPr>
          <w:lang w:val="en-GB"/>
        </w:rPr>
        <w:t>7</w:t>
      </w:r>
      <w:r w:rsidR="00A90EA8">
        <w:rPr>
          <w:lang w:val="en-GB"/>
        </w:rPr>
        <w:t>.</w:t>
      </w:r>
      <w:r w:rsidR="00DD007C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Pr="00123D5F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123D5F" w:rsidRPr="00123D5F">
        <w:rPr>
          <w:bCs/>
          <w:lang w:val="en-US"/>
        </w:rPr>
        <w:t xml:space="preserve">Supplement </w:t>
      </w:r>
      <w:r w:rsidR="00DD007C">
        <w:rPr>
          <w:bCs/>
          <w:lang w:val="en-US"/>
        </w:rPr>
        <w:t>2</w:t>
      </w:r>
      <w:r w:rsidR="00123D5F" w:rsidRPr="00123D5F">
        <w:rPr>
          <w:bCs/>
          <w:lang w:val="en-US"/>
        </w:rPr>
        <w:t xml:space="preserve"> to </w:t>
      </w:r>
      <w:r w:rsidR="00DD007C">
        <w:rPr>
          <w:bCs/>
          <w:lang w:val="en-US"/>
        </w:rPr>
        <w:t xml:space="preserve">the 01 series of amendments to </w:t>
      </w:r>
      <w:r w:rsidR="00123D5F" w:rsidRPr="00123D5F">
        <w:rPr>
          <w:bCs/>
          <w:lang w:val="en-US"/>
        </w:rPr>
        <w:t>Regulation No. 13</w:t>
      </w:r>
      <w:r w:rsidR="00DD007C">
        <w:rPr>
          <w:bCs/>
          <w:lang w:val="en-US"/>
        </w:rPr>
        <w:t>1</w:t>
      </w:r>
      <w:r w:rsidR="00123D5F" w:rsidRPr="00123D5F">
        <w:rPr>
          <w:bCs/>
          <w:lang w:val="en-US"/>
        </w:rPr>
        <w:t xml:space="preserve"> </w:t>
      </w:r>
      <w:r w:rsidR="00DD007C">
        <w:rPr>
          <w:bCs/>
          <w:lang w:val="en-US"/>
        </w:rPr>
        <w:t>(</w:t>
      </w:r>
      <w:r w:rsidR="00DD007C" w:rsidRPr="00DD007C">
        <w:rPr>
          <w:bCs/>
          <w:lang w:val="en-US"/>
        </w:rPr>
        <w:t>Advanced Emergency Braking Systems (AEBS)</w:t>
      </w:r>
      <w:r w:rsidR="00DD007C">
        <w:rPr>
          <w:bCs/>
          <w:lang w:val="en-US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9634C5">
        <w:rPr>
          <w:b/>
          <w:sz w:val="24"/>
          <w:lang w:val="en-GB"/>
        </w:rPr>
        <w:t>Brakes and Running Gear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EE0A2B" w:rsidRDefault="00A90EA8" w:rsidP="002E27C0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F31D9C">
        <w:rPr>
          <w:lang w:val="en-GB"/>
        </w:rPr>
        <w:t>Brakes and Running Gear</w:t>
      </w:r>
      <w:r w:rsidR="000F270F">
        <w:rPr>
          <w:lang w:val="en-GB"/>
        </w:rPr>
        <w:t xml:space="preserve"> (GR</w:t>
      </w:r>
      <w:r w:rsidR="00F31D9C">
        <w:rPr>
          <w:lang w:val="en-GB"/>
        </w:rPr>
        <w:t>RF</w:t>
      </w:r>
      <w:r w:rsidR="000F270F">
        <w:rPr>
          <w:lang w:val="en-GB"/>
        </w:rPr>
        <w:t>) at its</w:t>
      </w:r>
      <w:r w:rsidR="00F31D9C">
        <w:rPr>
          <w:lang w:val="en-GB"/>
        </w:rPr>
        <w:t xml:space="preserve"> </w:t>
      </w:r>
      <w:r w:rsidR="00123D5F">
        <w:rPr>
          <w:lang w:val="en-GB"/>
        </w:rPr>
        <w:t>eightieth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0F270F">
        <w:rPr>
          <w:lang w:val="en-GB"/>
        </w:rPr>
        <w:t>(ECE/TRANS/WP.29/GR</w:t>
      </w:r>
      <w:r w:rsidR="00F31D9C">
        <w:rPr>
          <w:lang w:val="en-GB"/>
        </w:rPr>
        <w:t>RF</w:t>
      </w:r>
      <w:r w:rsidRPr="00A90EA8">
        <w:rPr>
          <w:lang w:val="en-GB"/>
        </w:rPr>
        <w:t>/</w:t>
      </w:r>
      <w:r w:rsidR="00F31D9C">
        <w:rPr>
          <w:lang w:val="en-GB"/>
        </w:rPr>
        <w:t>8</w:t>
      </w:r>
      <w:r w:rsidR="00123D5F">
        <w:rPr>
          <w:lang w:val="en-GB"/>
        </w:rPr>
        <w:t>0</w:t>
      </w:r>
      <w:r w:rsidRPr="00A90EA8">
        <w:rPr>
          <w:lang w:val="en-GB"/>
        </w:rPr>
        <w:t xml:space="preserve">, para. </w:t>
      </w:r>
      <w:r w:rsidR="00DD007C">
        <w:rPr>
          <w:lang w:val="en-GB"/>
        </w:rPr>
        <w:t>7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on </w:t>
      </w:r>
      <w:r w:rsidR="002E27C0" w:rsidRPr="002E27C0">
        <w:rPr>
          <w:lang w:val="en-US"/>
        </w:rPr>
        <w:t>ECE/TRANS/WP.29/GRRF/2015/1</w:t>
      </w:r>
      <w:r w:rsidR="00DD007C">
        <w:rPr>
          <w:lang w:val="en-US"/>
        </w:rPr>
        <w:t>8</w:t>
      </w:r>
      <w:r w:rsidR="002E27C0" w:rsidRPr="002E27C0">
        <w:rPr>
          <w:lang w:val="en-US"/>
        </w:rPr>
        <w:t xml:space="preserve"> as amended </w:t>
      </w:r>
      <w:r w:rsidR="00DD007C">
        <w:rPr>
          <w:lang w:val="en-US"/>
        </w:rPr>
        <w:t xml:space="preserve">by Annex II to the report </w:t>
      </w:r>
      <w:r w:rsidR="002E27C0" w:rsidRPr="002E27C0">
        <w:rPr>
          <w:lang w:val="en-US"/>
        </w:rPr>
        <w:t>and ECE/TRANS/WP.29/GRRF/</w:t>
      </w:r>
      <w:r w:rsidR="002E27C0" w:rsidRPr="0010452B">
        <w:rPr>
          <w:lang w:val="en-US"/>
        </w:rPr>
        <w:t>2013</w:t>
      </w:r>
      <w:r w:rsidR="002E27C0" w:rsidRPr="002E27C0">
        <w:rPr>
          <w:lang w:val="en-US"/>
        </w:rPr>
        <w:t>/13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31D9C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31D9C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CD4EA9" w:rsidRDefault="00CD4EA9" w:rsidP="002E27C0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DD007C" w:rsidRDefault="00DD007C" w:rsidP="00DD007C">
      <w:pPr>
        <w:spacing w:after="120" w:line="240" w:lineRule="auto"/>
        <w:ind w:left="1134" w:right="993"/>
        <w:jc w:val="both"/>
        <w:rPr>
          <w:lang w:val="en-US"/>
        </w:rPr>
      </w:pPr>
      <w:r w:rsidRPr="00DD007C">
        <w:rPr>
          <w:i/>
          <w:lang w:val="en-US"/>
        </w:rPr>
        <w:lastRenderedPageBreak/>
        <w:t>Introduction</w:t>
      </w:r>
      <w:r>
        <w:rPr>
          <w:i/>
          <w:lang w:val="en-US"/>
        </w:rPr>
        <w:t xml:space="preserve"> of the Regulation</w:t>
      </w:r>
      <w:r w:rsidRPr="00DD007C">
        <w:rPr>
          <w:i/>
          <w:lang w:val="en-US"/>
        </w:rPr>
        <w:t xml:space="preserve">, </w:t>
      </w:r>
      <w:r w:rsidRPr="00DD007C">
        <w:rPr>
          <w:lang w:val="en-US"/>
        </w:rPr>
        <w:t>amend to read (including the addition of new references to the existing Footnote 1):</w:t>
      </w:r>
    </w:p>
    <w:p w:rsidR="00DD007C" w:rsidRPr="00DD007C" w:rsidRDefault="00DD007C" w:rsidP="00DD007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D007C">
        <w:rPr>
          <w:b w:val="0"/>
          <w:lang w:val="en-US"/>
        </w:rPr>
        <w:t>"</w:t>
      </w:r>
      <w:r w:rsidRPr="00DD007C">
        <w:rPr>
          <w:lang w:val="en-US"/>
        </w:rPr>
        <w:t>Introduction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strike/>
          <w:lang w:val="en-US"/>
        </w:rPr>
      </w:pPr>
      <w:r w:rsidRPr="00DD007C">
        <w:rPr>
          <w:lang w:val="en-US"/>
        </w:rPr>
        <w:t>The intention of this Regulation is to es</w:t>
      </w:r>
      <w:r>
        <w:rPr>
          <w:lang w:val="en-US"/>
        </w:rPr>
        <w:t>tablish uniform provisions for A</w:t>
      </w:r>
      <w:r w:rsidRPr="00DD007C">
        <w:rPr>
          <w:lang w:val="en-US"/>
        </w:rPr>
        <w:t xml:space="preserve">dvanced </w:t>
      </w:r>
      <w:r>
        <w:rPr>
          <w:lang w:val="en-US"/>
        </w:rPr>
        <w:t>E</w:t>
      </w:r>
      <w:r w:rsidRPr="00DD007C">
        <w:rPr>
          <w:lang w:val="en-US"/>
        </w:rPr>
        <w:t xml:space="preserve">mergency </w:t>
      </w:r>
      <w:r>
        <w:rPr>
          <w:lang w:val="en-US"/>
        </w:rPr>
        <w:t>B</w:t>
      </w:r>
      <w:r w:rsidRPr="00DD007C">
        <w:rPr>
          <w:lang w:val="en-US"/>
        </w:rPr>
        <w:t xml:space="preserve">raking </w:t>
      </w:r>
      <w:r>
        <w:rPr>
          <w:lang w:val="en-US"/>
        </w:rPr>
        <w:t>S</w:t>
      </w:r>
      <w:r w:rsidRPr="00DD007C">
        <w:rPr>
          <w:lang w:val="en-US"/>
        </w:rPr>
        <w:t>ystems (AEBS) fitted to motor vehicles of the categories M</w:t>
      </w:r>
      <w:r w:rsidRPr="00DD007C">
        <w:rPr>
          <w:vertAlign w:val="subscript"/>
          <w:lang w:val="en-US"/>
        </w:rPr>
        <w:t>2</w:t>
      </w:r>
      <w:r w:rsidRPr="00DD007C">
        <w:rPr>
          <w:lang w:val="en-US"/>
        </w:rPr>
        <w:t>, M</w:t>
      </w:r>
      <w:r w:rsidRPr="00DD007C">
        <w:rPr>
          <w:vertAlign w:val="subscript"/>
          <w:lang w:val="en-US"/>
        </w:rPr>
        <w:t>3</w:t>
      </w:r>
      <w:r w:rsidRPr="00DD007C">
        <w:rPr>
          <w:lang w:val="en-US"/>
        </w:rPr>
        <w:t>, N</w:t>
      </w:r>
      <w:r w:rsidRPr="00DD007C">
        <w:rPr>
          <w:vertAlign w:val="subscript"/>
          <w:lang w:val="en-US"/>
        </w:rPr>
        <w:t>2</w:t>
      </w:r>
      <w:r w:rsidRPr="00DD007C">
        <w:rPr>
          <w:lang w:val="en-US"/>
        </w:rPr>
        <w:t xml:space="preserve"> and N</w:t>
      </w:r>
      <w:r w:rsidRPr="00DD007C">
        <w:rPr>
          <w:vertAlign w:val="subscript"/>
          <w:lang w:val="en-US"/>
        </w:rPr>
        <w:t>3</w:t>
      </w:r>
      <w:r w:rsidRPr="00DD007C">
        <w:rPr>
          <w:vertAlign w:val="superscript"/>
          <w:lang w:val="en-US"/>
        </w:rPr>
        <w:t>1</w:t>
      </w:r>
      <w:r w:rsidRPr="00DD007C">
        <w:rPr>
          <w:lang w:val="en-US"/>
        </w:rPr>
        <w:t xml:space="preserve"> primarily used under monotonous highway driving conditions.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strike/>
          <w:lang w:val="en-US"/>
        </w:rPr>
      </w:pPr>
      <w:r w:rsidRPr="00DD007C">
        <w:rPr>
          <w:lang w:val="en-US"/>
        </w:rPr>
        <w:t xml:space="preserve">While, in general, those vehicle categories will benefit from the fitment of an </w:t>
      </w:r>
      <w:r>
        <w:rPr>
          <w:lang w:val="en-US"/>
        </w:rPr>
        <w:t>AEBS</w:t>
      </w:r>
      <w:r w:rsidRPr="00DD007C">
        <w:rPr>
          <w:lang w:val="en-US"/>
        </w:rPr>
        <w:t>, there are sub-groups where the benefit is rather uncertain because they are primarily used in other conditions than highway conditions (e.g. buses with standing passengers i.e. Classes I, II and A</w:t>
      </w:r>
      <w:r w:rsidRPr="00DD007C">
        <w:rPr>
          <w:vertAlign w:val="superscript"/>
          <w:lang w:val="en-US"/>
        </w:rPr>
        <w:t>1</w:t>
      </w:r>
      <w:r w:rsidRPr="00DD007C">
        <w:rPr>
          <w:lang w:val="en-US"/>
        </w:rPr>
        <w:t>, category G vehicles</w:t>
      </w:r>
      <w:r w:rsidRPr="00DD007C">
        <w:rPr>
          <w:vertAlign w:val="superscript"/>
          <w:lang w:val="en-US"/>
        </w:rPr>
        <w:t>1</w:t>
      </w:r>
      <w:r w:rsidRPr="00DD007C">
        <w:rPr>
          <w:lang w:val="en-US"/>
        </w:rPr>
        <w:t xml:space="preserve">, construction vehicles, etc.). Regardless from the benefit, there are other sub-groups where the installation of AEBS would be technically difficult </w:t>
      </w:r>
      <w:r w:rsidRPr="00DD007C">
        <w:rPr>
          <w:bCs/>
          <w:lang w:val="en-US"/>
        </w:rPr>
        <w:t>or not feasible</w:t>
      </w:r>
      <w:r w:rsidRPr="00DD007C">
        <w:rPr>
          <w:lang w:val="en-US"/>
        </w:rPr>
        <w:t xml:space="preserve"> (e.g. position of the sensor on vehicles of category G</w:t>
      </w:r>
      <w:r w:rsidRPr="00DD007C">
        <w:rPr>
          <w:vertAlign w:val="superscript"/>
          <w:lang w:val="en-US"/>
        </w:rPr>
        <w:t>1</w:t>
      </w:r>
      <w:r w:rsidRPr="00DD007C">
        <w:rPr>
          <w:lang w:val="en-US"/>
        </w:rPr>
        <w:t>, construction vehicles mainly used in off-road areas and gravel tracks, special purpose vehicles and vehicles with front mounted equipment,</w:t>
      </w:r>
      <w:r w:rsidRPr="00DD007C">
        <w:rPr>
          <w:color w:val="0000FF"/>
          <w:lang w:val="en-US"/>
        </w:rPr>
        <w:t xml:space="preserve"> </w:t>
      </w:r>
      <w:r w:rsidRPr="00DD007C">
        <w:rPr>
          <w:lang w:val="en-US"/>
        </w:rPr>
        <w:t xml:space="preserve">etc.). </w:t>
      </w:r>
      <w:r w:rsidRPr="00DD007C">
        <w:rPr>
          <w:bCs/>
          <w:lang w:val="en-US"/>
        </w:rPr>
        <w:t xml:space="preserve">In some cases </w:t>
      </w:r>
      <w:r w:rsidRPr="00DD007C">
        <w:rPr>
          <w:lang w:val="en-US"/>
        </w:rPr>
        <w:t>there may be a possibility of false emergency braking events because of vehicle design constraints.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lang w:val="en-US"/>
        </w:rPr>
      </w:pPr>
      <w:r w:rsidRPr="00DD007C">
        <w:rPr>
          <w:bCs/>
          <w:lang w:val="en-US"/>
        </w:rPr>
        <w:t>In addition, systems intended for vehicles not equipped with a pneumatic rear-axle suspension require the integration of</w:t>
      </w:r>
      <w:r w:rsidRPr="00DD007C">
        <w:rPr>
          <w:bCs/>
          <w:color w:val="FF0000"/>
          <w:lang w:val="en-US"/>
        </w:rPr>
        <w:t xml:space="preserve"> </w:t>
      </w:r>
      <w:r w:rsidRPr="00DD007C">
        <w:rPr>
          <w:bCs/>
          <w:lang w:val="en-US"/>
        </w:rPr>
        <w:t>advanced sensor technology</w:t>
      </w:r>
      <w:r w:rsidRPr="00DD007C">
        <w:rPr>
          <w:bCs/>
          <w:color w:val="FF0000"/>
          <w:lang w:val="en-US"/>
        </w:rPr>
        <w:t xml:space="preserve"> </w:t>
      </w:r>
      <w:r w:rsidRPr="00DD007C">
        <w:rPr>
          <w:bCs/>
          <w:lang w:val="en-US"/>
        </w:rPr>
        <w:t xml:space="preserve">to take into account the variation of </w:t>
      </w:r>
      <w:r>
        <w:rPr>
          <w:bCs/>
          <w:lang w:val="en-US"/>
        </w:rPr>
        <w:t>the pitch angle of the vehicle.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lang w:val="en-US"/>
        </w:rPr>
      </w:pPr>
      <w:r w:rsidRPr="00DD007C">
        <w:rPr>
          <w:lang w:val="en-US"/>
        </w:rPr>
        <w:t xml:space="preserve">The system shall automatically detect a potential forward collision, provide the driver with a warning and activate the vehicle braking system to decelerate the vehicle with the purpose of avoiding or mitigating the severity of a collision in the event that the driver does not respond to the warning. 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lang w:val="en-US"/>
        </w:rPr>
      </w:pPr>
      <w:r w:rsidRPr="00DD007C">
        <w:rPr>
          <w:lang w:val="en-US"/>
        </w:rPr>
        <w:t>The system shall only operate in driving situations where braking will avoid or mitigate the severity of an accident, and shall take no action in normal driving situations.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lang w:val="en-US"/>
        </w:rPr>
      </w:pPr>
      <w:r w:rsidRPr="00DD007C">
        <w:rPr>
          <w:lang w:val="en-US"/>
        </w:rPr>
        <w:t>In the case of a failure in the system, the safe operation of the vehicle shall not be endangered.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lang w:val="en-US"/>
        </w:rPr>
      </w:pPr>
      <w:r w:rsidRPr="00DD007C">
        <w:rPr>
          <w:lang w:val="en-US"/>
        </w:rPr>
        <w:t xml:space="preserve">The system shall provide as a minimum an acoustic or haptic warning, which may also be a sharp deceleration, so that an inattentive driver is made aware of a critical situation. </w:t>
      </w:r>
    </w:p>
    <w:p w:rsidR="00DD007C" w:rsidRPr="00DD007C" w:rsidRDefault="00DD007C" w:rsidP="00DD007C">
      <w:pPr>
        <w:tabs>
          <w:tab w:val="left" w:pos="12333"/>
        </w:tabs>
        <w:spacing w:after="120"/>
        <w:ind w:left="1134" w:right="1134"/>
        <w:jc w:val="both"/>
        <w:rPr>
          <w:spacing w:val="-4"/>
          <w:lang w:val="en-US"/>
        </w:rPr>
      </w:pPr>
      <w:r w:rsidRPr="00DD007C">
        <w:rPr>
          <w:spacing w:val="-4"/>
          <w:lang w:val="en-US"/>
        </w:rPr>
        <w:t>During any action taken by the system (the warning and emergency braking phases), the driver can, at any time through a conscious action, e.g. by a steering action or an accelerator kick-down, take control and override the system.</w:t>
      </w:r>
    </w:p>
    <w:p w:rsidR="002E27C0" w:rsidRDefault="00DD007C" w:rsidP="0037398B">
      <w:pPr>
        <w:spacing w:after="120" w:line="240" w:lineRule="auto"/>
        <w:ind w:left="1134" w:right="1134"/>
        <w:jc w:val="both"/>
        <w:rPr>
          <w:lang w:val="en-US"/>
        </w:rPr>
      </w:pPr>
      <w:r w:rsidRPr="00DD007C">
        <w:rPr>
          <w:lang w:val="en-US"/>
        </w:rPr>
        <w:t>The Regulation cannot include all the traffic conditions and infrastructure features in the type-approval process. Actual conditions and features in the real world should not result in false warnings or false braking to the extent that they encourage the d</w:t>
      </w:r>
      <w:r>
        <w:rPr>
          <w:lang w:val="en-US"/>
        </w:rPr>
        <w:t>river to switch the system off."</w:t>
      </w:r>
    </w:p>
    <w:p w:rsidR="0037398B" w:rsidRPr="0037398B" w:rsidRDefault="0010452B" w:rsidP="0037398B">
      <w:pPr>
        <w:autoSpaceDE w:val="0"/>
        <w:autoSpaceDN w:val="0"/>
        <w:adjustRightInd w:val="0"/>
        <w:spacing w:after="120" w:line="240" w:lineRule="auto"/>
        <w:ind w:left="1134" w:right="1134"/>
        <w:rPr>
          <w:iCs/>
          <w:szCs w:val="21"/>
          <w:lang w:val="en-US"/>
        </w:rPr>
      </w:pPr>
      <w:r>
        <w:rPr>
          <w:i/>
          <w:iCs/>
          <w:szCs w:val="21"/>
          <w:lang w:val="en-US"/>
        </w:rPr>
        <w:t>Amend</w:t>
      </w:r>
      <w:r w:rsidR="0037398B" w:rsidRPr="0037398B">
        <w:rPr>
          <w:i/>
          <w:iCs/>
          <w:szCs w:val="21"/>
          <w:lang w:val="en-US"/>
        </w:rPr>
        <w:t xml:space="preserve"> paragraph 5.1.</w:t>
      </w:r>
      <w:r w:rsidR="00DD007C">
        <w:rPr>
          <w:i/>
          <w:iCs/>
          <w:szCs w:val="21"/>
          <w:lang w:val="en-US"/>
        </w:rPr>
        <w:t>2</w:t>
      </w:r>
      <w:r w:rsidR="0037398B" w:rsidRPr="0037398B">
        <w:rPr>
          <w:i/>
          <w:iCs/>
          <w:szCs w:val="21"/>
          <w:lang w:val="en-US"/>
        </w:rPr>
        <w:t>.</w:t>
      </w:r>
      <w:r w:rsidR="0037398B" w:rsidRPr="0037398B">
        <w:rPr>
          <w:iCs/>
          <w:szCs w:val="21"/>
          <w:lang w:val="en-US"/>
        </w:rPr>
        <w:t>, to read:</w:t>
      </w:r>
    </w:p>
    <w:p w:rsidR="0037398B" w:rsidRPr="0037398B" w:rsidRDefault="0037398B" w:rsidP="0037398B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37398B">
        <w:rPr>
          <w:szCs w:val="21"/>
          <w:lang w:val="en-US"/>
        </w:rPr>
        <w:t>"5.1.</w:t>
      </w:r>
      <w:r w:rsidR="00DD007C">
        <w:rPr>
          <w:szCs w:val="21"/>
          <w:lang w:val="en-US"/>
        </w:rPr>
        <w:t>2</w:t>
      </w:r>
      <w:r w:rsidRPr="0037398B">
        <w:rPr>
          <w:szCs w:val="21"/>
          <w:lang w:val="en-US"/>
        </w:rPr>
        <w:t>.</w:t>
      </w:r>
      <w:r w:rsidRPr="0037398B">
        <w:rPr>
          <w:b/>
          <w:szCs w:val="21"/>
          <w:lang w:val="en-US"/>
        </w:rPr>
        <w:tab/>
      </w:r>
      <w:r w:rsidR="00C5056C">
        <w:rPr>
          <w:lang w:val="en-US"/>
        </w:rPr>
        <w:t xml:space="preserve">The effectiveness of AEBS </w:t>
      </w:r>
      <w:r w:rsidRPr="0037398B">
        <w:rPr>
          <w:lang w:val="en-US"/>
        </w:rPr>
        <w:t xml:space="preserve">shall not be adversely affected by magnetic or electrical fields. This shall be demonstrated by fulfilling the technical requirements and </w:t>
      </w:r>
      <w:r w:rsidRPr="0037398B">
        <w:rPr>
          <w:spacing w:val="-4"/>
          <w:lang w:val="en-US"/>
        </w:rPr>
        <w:t xml:space="preserve">respecting the </w:t>
      </w:r>
      <w:r w:rsidRPr="0037398B">
        <w:rPr>
          <w:lang w:val="en-US"/>
        </w:rPr>
        <w:t>transitional provisions of Regulation No. 10 by applying:</w:t>
      </w:r>
    </w:p>
    <w:p w:rsidR="0037398B" w:rsidRPr="0037398B" w:rsidRDefault="0037398B" w:rsidP="0037398B">
      <w:pPr>
        <w:tabs>
          <w:tab w:val="left" w:pos="2835"/>
        </w:tabs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r w:rsidRPr="0037398B">
        <w:rPr>
          <w:lang w:val="en-US"/>
        </w:rPr>
        <w:t>(a)</w:t>
      </w:r>
      <w:r w:rsidRPr="0037398B">
        <w:rPr>
          <w:lang w:val="en-US"/>
        </w:rPr>
        <w:tab/>
        <w:t>The 03 series of amendments for vehicles without a coupling system for charging the R</w:t>
      </w:r>
      <w:r w:rsidRPr="0037398B">
        <w:rPr>
          <w:rStyle w:val="SingleTxtGChar"/>
          <w:lang w:val="en-US"/>
        </w:rPr>
        <w:t xml:space="preserve">echargeable </w:t>
      </w:r>
      <w:r w:rsidR="0010452B">
        <w:rPr>
          <w:rStyle w:val="SingleTxtGChar"/>
          <w:lang w:val="en-US"/>
        </w:rPr>
        <w:t xml:space="preserve">Electric </w:t>
      </w:r>
      <w:r w:rsidRPr="0037398B">
        <w:rPr>
          <w:rStyle w:val="SingleTxtGChar"/>
          <w:lang w:val="en-US"/>
        </w:rPr>
        <w:t>Energy Storage System</w:t>
      </w:r>
      <w:r w:rsidR="009477FE">
        <w:rPr>
          <w:lang w:val="en-US"/>
        </w:rPr>
        <w:t xml:space="preserve"> (traction batteries);</w:t>
      </w:r>
    </w:p>
    <w:p w:rsidR="0037398B" w:rsidRPr="0037398B" w:rsidRDefault="0037398B" w:rsidP="0037398B">
      <w:pPr>
        <w:tabs>
          <w:tab w:val="left" w:pos="2835"/>
        </w:tabs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proofErr w:type="gramStart"/>
      <w:r w:rsidRPr="0037398B">
        <w:rPr>
          <w:lang w:val="en-US"/>
        </w:rPr>
        <w:lastRenderedPageBreak/>
        <w:t>(b)</w:t>
      </w:r>
      <w:r w:rsidRPr="0037398B">
        <w:rPr>
          <w:lang w:val="en-US"/>
        </w:rPr>
        <w:tab/>
        <w:t>The 04 series of amendments for vehicles with a coupling system for charging the R</w:t>
      </w:r>
      <w:r w:rsidRPr="0037398B">
        <w:rPr>
          <w:rStyle w:val="SingleTxtGChar"/>
          <w:lang w:val="en-US"/>
        </w:rPr>
        <w:t xml:space="preserve">echargeable </w:t>
      </w:r>
      <w:r w:rsidR="0010452B">
        <w:rPr>
          <w:rStyle w:val="SingleTxtGChar"/>
          <w:lang w:val="en-US"/>
        </w:rPr>
        <w:t xml:space="preserve">Electric </w:t>
      </w:r>
      <w:r w:rsidRPr="0037398B">
        <w:rPr>
          <w:rStyle w:val="SingleTxtGChar"/>
          <w:lang w:val="en-US"/>
        </w:rPr>
        <w:t>Energy Storage System</w:t>
      </w:r>
      <w:r w:rsidRPr="0037398B">
        <w:rPr>
          <w:lang w:val="en-US"/>
        </w:rPr>
        <w:t xml:space="preserve"> (traction batteries)."</w:t>
      </w:r>
      <w:proofErr w:type="gramEnd"/>
    </w:p>
    <w:p w:rsidR="007E57B1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7E57B1" w:rsidRPr="00AF2205" w:rsidSect="002F7823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60F6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60F68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E57B1">
        <w:rPr>
          <w:szCs w:val="18"/>
          <w:lang w:val="en-US"/>
        </w:rPr>
        <w:t xml:space="preserve">In accordance with the </w:t>
      </w:r>
      <w:proofErr w:type="spellStart"/>
      <w:r w:rsidR="007E57B1">
        <w:rPr>
          <w:szCs w:val="18"/>
          <w:lang w:val="en-US"/>
        </w:rPr>
        <w:t>programme</w:t>
      </w:r>
      <w:proofErr w:type="spellEnd"/>
      <w:r w:rsidR="007E57B1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7E57B1">
        <w:rPr>
          <w:szCs w:val="18"/>
          <w:lang w:val="en-US"/>
        </w:rPr>
        <w:t>programme</w:t>
      </w:r>
      <w:proofErr w:type="spellEnd"/>
      <w:r w:rsidR="007E57B1">
        <w:rPr>
          <w:szCs w:val="18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 w:rsidRPr="00C04C5C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DD007C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2F7823"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0F68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452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5F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7C0"/>
    <w:rsid w:val="002E289D"/>
    <w:rsid w:val="002E36D6"/>
    <w:rsid w:val="002F03FC"/>
    <w:rsid w:val="002F149D"/>
    <w:rsid w:val="002F32A9"/>
    <w:rsid w:val="002F55CB"/>
    <w:rsid w:val="002F7163"/>
    <w:rsid w:val="002F782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8B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0202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5D91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7FE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56C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EA9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07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970B-A3DE-47C0-B388-B08DB0ED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4256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2014-12-24T10:13:00Z</cp:lastPrinted>
  <dcterms:created xsi:type="dcterms:W3CDTF">2015-12-24T10:41:00Z</dcterms:created>
  <dcterms:modified xsi:type="dcterms:W3CDTF">2015-12-24T10:41:00Z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