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r w:rsidR="005F4EA0">
              <w:fldChar w:fldCharType="begin"/>
            </w:r>
            <w:r w:rsidR="005F4EA0">
              <w:instrText xml:space="preserve"> FILLIN  "Введите символ после ЕCE/"  \* MERGEFORMAT </w:instrText>
            </w:r>
            <w:r w:rsidR="005F4EA0">
              <w:fldChar w:fldCharType="separate"/>
            </w:r>
            <w:r w:rsidR="006565AF">
              <w:t>TRANS/WP.11/2016/13</w:t>
            </w:r>
            <w:r w:rsidR="005F4EA0">
              <w:fldChar w:fldCharType="end"/>
            </w:r>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US"/>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5F4EA0">
              <w:fldChar w:fldCharType="separate"/>
            </w:r>
            <w:r w:rsidRPr="00245892">
              <w:fldChar w:fldCharType="end"/>
            </w:r>
            <w:bookmarkEnd w:id="1"/>
          </w:p>
          <w:p w:rsidR="00A658DB" w:rsidRPr="00245892" w:rsidRDefault="00A658DB" w:rsidP="007B199D">
            <w:fldSimple w:instr=" FILLIN  &quot;Введите дату документа&quot; \* MERGEFORMAT ">
              <w:r w:rsidR="006565AF">
                <w:t>20 July 2016</w:t>
              </w:r>
            </w:fldSimple>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result w:val="1"/>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5F4EA0">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DE09BD" w:rsidRPr="00DE09BD" w:rsidRDefault="00DE09BD" w:rsidP="00DE09BD">
      <w:pPr>
        <w:spacing w:before="120"/>
        <w:rPr>
          <w:sz w:val="28"/>
          <w:szCs w:val="28"/>
        </w:rPr>
      </w:pPr>
      <w:r w:rsidRPr="00DE09BD">
        <w:rPr>
          <w:sz w:val="28"/>
          <w:szCs w:val="28"/>
        </w:rPr>
        <w:t>Комитет по внутреннему транспорту</w:t>
      </w:r>
    </w:p>
    <w:p w:rsidR="00DE09BD" w:rsidRPr="00DE09BD" w:rsidRDefault="00DE09BD" w:rsidP="00DE09BD">
      <w:pPr>
        <w:spacing w:before="120"/>
        <w:rPr>
          <w:b/>
          <w:bCs/>
          <w:sz w:val="24"/>
          <w:szCs w:val="24"/>
        </w:rPr>
      </w:pPr>
      <w:r>
        <w:rPr>
          <w:b/>
          <w:bCs/>
          <w:sz w:val="24"/>
          <w:szCs w:val="24"/>
        </w:rPr>
        <w:t>Рабочая группа по перевозкам</w:t>
      </w:r>
      <w:r w:rsidRPr="00DE09BD">
        <w:rPr>
          <w:b/>
          <w:bCs/>
          <w:sz w:val="24"/>
          <w:szCs w:val="24"/>
        </w:rPr>
        <w:br/>
        <w:t>скоропортящихся пищевых продуктов</w:t>
      </w:r>
    </w:p>
    <w:p w:rsidR="00DE09BD" w:rsidRPr="00DE09BD" w:rsidRDefault="00DE09BD" w:rsidP="00DE09BD">
      <w:pPr>
        <w:spacing w:before="120"/>
        <w:rPr>
          <w:b/>
          <w:bCs/>
        </w:rPr>
      </w:pPr>
      <w:r w:rsidRPr="00DE09BD">
        <w:rPr>
          <w:b/>
          <w:bCs/>
        </w:rPr>
        <w:t>Семьдесят вторая сессия</w:t>
      </w:r>
    </w:p>
    <w:p w:rsidR="00DE09BD" w:rsidRPr="00DE09BD" w:rsidRDefault="00DE09BD" w:rsidP="00DE09BD">
      <w:r w:rsidRPr="00DE09BD">
        <w:t>Женева, 4–7 октября 2016 года</w:t>
      </w:r>
    </w:p>
    <w:p w:rsidR="00DE09BD" w:rsidRPr="00DE09BD" w:rsidRDefault="00DE09BD" w:rsidP="00DE09BD">
      <w:r w:rsidRPr="00DE09BD">
        <w:t>Пункт 5 a) предварительной повестки дня</w:t>
      </w:r>
    </w:p>
    <w:p w:rsidR="00DE09BD" w:rsidRPr="00DE09BD" w:rsidRDefault="00DE09BD" w:rsidP="00DE09BD">
      <w:pPr>
        <w:rPr>
          <w:b/>
          <w:bCs/>
        </w:rPr>
      </w:pPr>
      <w:r w:rsidRPr="00DE09BD">
        <w:rPr>
          <w:b/>
          <w:bCs/>
        </w:rPr>
        <w:t>Предложения по поправкам к СПС:</w:t>
      </w:r>
      <w:r w:rsidRPr="00DE09BD">
        <w:rPr>
          <w:b/>
          <w:bCs/>
        </w:rPr>
        <w:br/>
        <w:t>предложения, по которым еще не приняты решения</w:t>
      </w:r>
    </w:p>
    <w:p w:rsidR="00DE09BD" w:rsidRPr="00DE09BD" w:rsidRDefault="00DE09BD" w:rsidP="00DE09BD">
      <w:pPr>
        <w:pStyle w:val="HChGR"/>
      </w:pPr>
      <w:r w:rsidRPr="00DE09BD">
        <w:tab/>
      </w:r>
      <w:r w:rsidRPr="00DE09BD">
        <w:tab/>
        <w:t>Положения, применимые к официальным испытательным станциям</w:t>
      </w:r>
    </w:p>
    <w:p w:rsidR="00DE09BD" w:rsidRPr="00DE09BD" w:rsidRDefault="00DE09BD" w:rsidP="00DE09BD">
      <w:pPr>
        <w:pStyle w:val="H1GR"/>
      </w:pPr>
      <w:r w:rsidRPr="00DE09BD">
        <w:tab/>
      </w:r>
      <w:r w:rsidRPr="00DE09BD">
        <w:tab/>
        <w:t>Передано правительством Франции</w:t>
      </w:r>
    </w:p>
    <w:p w:rsidR="00DE09BD" w:rsidRPr="00DE09BD" w:rsidRDefault="00DE09BD" w:rsidP="00DE09BD">
      <w:pPr>
        <w:pStyle w:val="HChGR"/>
      </w:pPr>
      <w:r w:rsidRPr="00DE09BD">
        <w:tab/>
      </w:r>
      <w:r w:rsidRPr="00DE09BD">
        <w:tab/>
        <w:t>Контекст</w:t>
      </w:r>
    </w:p>
    <w:p w:rsidR="00DE09BD" w:rsidRPr="00DE09BD" w:rsidRDefault="00DE09BD" w:rsidP="00DE09BD">
      <w:pPr>
        <w:pStyle w:val="SingleTxtGR"/>
      </w:pPr>
      <w:r w:rsidRPr="00DE09BD">
        <w:t>1.</w:t>
      </w:r>
      <w:r w:rsidRPr="00DE09BD">
        <w:tab/>
        <w:t xml:space="preserve">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 подписанное в 1970 году, строится на системе испытаний по типу конструкции, которые проводятся официальными испытательными станциями Договаривающихся сторон. </w:t>
      </w:r>
    </w:p>
    <w:p w:rsidR="00DE09BD" w:rsidRPr="00DE09BD" w:rsidRDefault="00DE09BD" w:rsidP="00DE09BD">
      <w:pPr>
        <w:pStyle w:val="SingleTxtGR"/>
      </w:pPr>
      <w:r w:rsidRPr="00DE09BD">
        <w:t>2.</w:t>
      </w:r>
      <w:r w:rsidRPr="00DE09BD">
        <w:tab/>
        <w:t>СПС не содержит определения требований к технической компетенции официальных испытательных станций ни в отношении средств, ни в отношении результатов, что не соответствует нынешним условиям, когда аккредитация получает развитие как средство согласования практических методов на уровне лабораторий.</w:t>
      </w:r>
    </w:p>
    <w:p w:rsidR="00DE09BD" w:rsidRPr="00DE09BD" w:rsidRDefault="00DE09BD" w:rsidP="00DE09BD">
      <w:pPr>
        <w:pStyle w:val="SingleTxtGR"/>
      </w:pPr>
      <w:r w:rsidRPr="00DE09BD">
        <w:t>3.</w:t>
      </w:r>
      <w:r w:rsidRPr="00DE09BD">
        <w:tab/>
        <w:t xml:space="preserve">Хотя </w:t>
      </w:r>
      <w:r>
        <w:t>пять</w:t>
      </w:r>
      <w:r w:rsidRPr="00DE09BD">
        <w:t xml:space="preserve"> стран проголосовали против этого предложения в ходе последней сессии 2015 года, тем не менее</w:t>
      </w:r>
      <w:r w:rsidR="00C60EAE">
        <w:t>,</w:t>
      </w:r>
      <w:r w:rsidRPr="00DE09BD">
        <w:t xml:space="preserve"> Франция х</w:t>
      </w:r>
      <w:r>
        <w:t>отела бы обсудить его еще раз с </w:t>
      </w:r>
      <w:r w:rsidRPr="00DE09BD">
        <w:t>целью установить неоспоримые критерии признания технической компетенции лабораторий, действующих в качестве оф</w:t>
      </w:r>
      <w:r>
        <w:t>ициальных испытательных станций</w:t>
      </w:r>
      <w:r w:rsidRPr="00DE09BD">
        <w:t>.</w:t>
      </w:r>
    </w:p>
    <w:p w:rsidR="00DE09BD" w:rsidRPr="00DE09BD" w:rsidRDefault="00DE09BD" w:rsidP="00DE09BD">
      <w:pPr>
        <w:pStyle w:val="HChGR"/>
        <w:pageBreakBefore/>
      </w:pPr>
      <w:r w:rsidRPr="00DE09BD">
        <w:lastRenderedPageBreak/>
        <w:tab/>
      </w:r>
      <w:r w:rsidRPr="00DE09BD">
        <w:tab/>
        <w:t>Предложение</w:t>
      </w:r>
    </w:p>
    <w:p w:rsidR="00DE09BD" w:rsidRPr="00DE09BD" w:rsidRDefault="00DE09BD" w:rsidP="00DE09BD">
      <w:pPr>
        <w:pStyle w:val="SingleTxtGR"/>
      </w:pPr>
      <w:r w:rsidRPr="00DE09BD">
        <w:t>4.</w:t>
      </w:r>
      <w:r w:rsidRPr="00DE09BD">
        <w:tab/>
        <w:t xml:space="preserve">Многие официальные испытательные станции разработали систему аккредитации своей деятельности по проведению испытаний, описанных в добавлении 1 к приложению 1 к СПС на основе стандарта ISO 17025. С перечнем уже аккредитованных испытательных станций можно ознакомиться в отчете Подкомиссии CERTE за 2015 год. Эта аккредитация гарантирует оценку лабораторий, действующих в качестве испытательных станций, третьей стороной. Кроме того, эта аккредитация обеспечивает определенный уровень согласования практики, сложившейся на уровне соответствующих испытательных станций, которая позволяет официально признавать свидетельства на международном уровне, что как раз и предусматривается СПС. </w:t>
      </w:r>
    </w:p>
    <w:p w:rsidR="00DE09BD" w:rsidRPr="00DE09BD" w:rsidRDefault="00DE09BD" w:rsidP="00DE09BD">
      <w:pPr>
        <w:pStyle w:val="HChGR"/>
      </w:pPr>
      <w:r w:rsidRPr="00DE09BD">
        <w:tab/>
      </w:r>
      <w:r w:rsidRPr="00DE09BD">
        <w:tab/>
        <w:t xml:space="preserve">Последствия </w:t>
      </w:r>
    </w:p>
    <w:p w:rsidR="00DE09BD" w:rsidRPr="00DE09BD" w:rsidRDefault="00DE09BD" w:rsidP="00DE09BD">
      <w:pPr>
        <w:pStyle w:val="SingleTxtGR"/>
      </w:pPr>
      <w:r w:rsidRPr="00DE09BD">
        <w:t>5.</w:t>
      </w:r>
      <w:r w:rsidRPr="00DE09BD">
        <w:tab/>
        <w:t>Аккредитация официальных испытательных станций на уровне каждого государства предполагает введение в действие системы управления качеством, которая обеспечивает возможность отслеживания принятых мер, соблюдение технических процедур и норм и беспристр</w:t>
      </w:r>
      <w:r>
        <w:t>астное рассмотрение заявок. Она </w:t>
      </w:r>
      <w:r w:rsidRPr="00DE09BD">
        <w:t>предполагает необходимость всестороннего знания технических установок и соблюдение основополагающих правил, р</w:t>
      </w:r>
      <w:r>
        <w:t>егламентирующих деятельность по </w:t>
      </w:r>
      <w:r w:rsidRPr="00DE09BD">
        <w:t>проведению испытаний. Аккредитация предполагает, что испытательная станция располагает собственными средствами, позволяющими проводить испытания. Аудиторские проверки третьей стороны проводятся органами по аккредитации каждой страны, которые пользуются особым статусом некоммерческих органов. Сеть органов по аккредитации ИЛАК обеспечивает единообразие правил аккредитации, что в свою очередь обеспечивает высокий уровень признания компетентности лабораторий.</w:t>
      </w:r>
    </w:p>
    <w:p w:rsidR="00DE09BD" w:rsidRPr="00DE09BD" w:rsidRDefault="00DE09BD" w:rsidP="00DE09BD">
      <w:pPr>
        <w:pStyle w:val="HChGR"/>
      </w:pPr>
      <w:r w:rsidRPr="00DE09BD">
        <w:tab/>
      </w:r>
      <w:r w:rsidRPr="00DE09BD">
        <w:tab/>
        <w:t>Экономические последствия этой процедуры</w:t>
      </w:r>
    </w:p>
    <w:p w:rsidR="00DE09BD" w:rsidRPr="00DE09BD" w:rsidRDefault="00DE09BD" w:rsidP="00DE09BD">
      <w:pPr>
        <w:pStyle w:val="SingleTxtGR"/>
      </w:pPr>
      <w:r w:rsidRPr="00DE09BD">
        <w:t>6.</w:t>
      </w:r>
      <w:r w:rsidRPr="00DE09BD">
        <w:tab/>
        <w:t>Расходы на одну аккредитацию можно</w:t>
      </w:r>
      <w:r>
        <w:t xml:space="preserve"> оценить на уровне 3 000 евро в </w:t>
      </w:r>
      <w:r w:rsidRPr="00DE09BD">
        <w:t>год. Эти расходы несут соответствующие лаборатории, но никаких последствий для изготовителей, которые пользуются услугами этих лабораторий, это не повлечет.</w:t>
      </w:r>
    </w:p>
    <w:p w:rsidR="00DE09BD" w:rsidRPr="00DE09BD" w:rsidRDefault="00DE09BD" w:rsidP="00DE09BD">
      <w:pPr>
        <w:pStyle w:val="HChGR"/>
      </w:pPr>
      <w:r w:rsidRPr="00DE09BD">
        <w:tab/>
      </w:r>
      <w:r w:rsidRPr="00DE09BD">
        <w:tab/>
        <w:t>Предложение по поправке</w:t>
      </w:r>
    </w:p>
    <w:p w:rsidR="00DE09BD" w:rsidRPr="00DE09BD" w:rsidRDefault="00DE09BD" w:rsidP="00DE09BD">
      <w:pPr>
        <w:pStyle w:val="SingleTxtGR"/>
      </w:pPr>
      <w:r>
        <w:t>7.</w:t>
      </w:r>
      <w:r w:rsidRPr="00DE09BD">
        <w:tab/>
        <w:t xml:space="preserve">В пункт 1 добавления 1 к приложению 1 предлагается включить текст, выделенный </w:t>
      </w:r>
      <w:r w:rsidRPr="00DE09BD">
        <w:rPr>
          <w:b/>
          <w:bCs/>
        </w:rPr>
        <w:t>жирным шрифтом</w:t>
      </w:r>
      <w:r w:rsidRPr="00DE09BD">
        <w:t>:</w:t>
      </w:r>
    </w:p>
    <w:p w:rsidR="00DE09BD" w:rsidRPr="00DE09BD" w:rsidRDefault="00DE09BD" w:rsidP="00DE09BD">
      <w:pPr>
        <w:pStyle w:val="SingleTxtGR"/>
      </w:pPr>
      <w:r w:rsidRPr="00DE09BD">
        <w:t>«1.</w:t>
      </w:r>
      <w:r w:rsidRPr="00DE09BD">
        <w:tab/>
        <w:t>Контроль соответствия нормам, предписанным в настоящем приложении, производится:</w:t>
      </w:r>
    </w:p>
    <w:p w:rsidR="00DE09BD" w:rsidRPr="00DE09BD" w:rsidRDefault="00DE09BD" w:rsidP="00DE09BD">
      <w:pPr>
        <w:pStyle w:val="SingleTxtGR"/>
      </w:pPr>
      <w:r>
        <w:tab/>
        <w:t>a)</w:t>
      </w:r>
      <w:r>
        <w:tab/>
      </w:r>
      <w:r w:rsidRPr="00DE09BD">
        <w:t>до введения транспортного средства в эксплуатацию;</w:t>
      </w:r>
    </w:p>
    <w:p w:rsidR="00DE09BD" w:rsidRPr="00DE09BD" w:rsidRDefault="00DE09BD" w:rsidP="00DE09BD">
      <w:pPr>
        <w:pStyle w:val="SingleTxtGR"/>
      </w:pPr>
      <w:r>
        <w:tab/>
        <w:t>b)</w:t>
      </w:r>
      <w:r w:rsidRPr="00DE09BD">
        <w:tab/>
        <w:t>периодически, но не реже одного раза в шесть лет; и</w:t>
      </w:r>
    </w:p>
    <w:p w:rsidR="00DE09BD" w:rsidRPr="00DE09BD" w:rsidRDefault="00DE09BD" w:rsidP="00DE09BD">
      <w:pPr>
        <w:pStyle w:val="SingleTxtGR"/>
      </w:pPr>
      <w:r>
        <w:tab/>
        <w:t>c)</w:t>
      </w:r>
      <w:r w:rsidRPr="00DE09BD">
        <w:tab/>
        <w:t>в любое время по требованию компетентного органа.</w:t>
      </w:r>
    </w:p>
    <w:p w:rsidR="00DE09BD" w:rsidRPr="00DE09BD" w:rsidRDefault="00DE09BD" w:rsidP="00DE09BD">
      <w:pPr>
        <w:pStyle w:val="SingleTxtGR"/>
        <w:pageBreakBefore/>
      </w:pPr>
      <w:r>
        <w:rPr>
          <w:lang w:val="en-US"/>
        </w:rPr>
        <w:lastRenderedPageBreak/>
        <w:tab/>
      </w:r>
      <w:r w:rsidRPr="00DE09BD">
        <w:t xml:space="preserve">За исключением случаев, предусмотренных </w:t>
      </w:r>
      <w:r>
        <w:t>в разделах 5 и 6 добавления 2 к </w:t>
      </w:r>
      <w:r w:rsidRPr="00DE09BD">
        <w:t xml:space="preserve">настоящему приложению, контроль производится на испытательной станции, назначенной или уполномоченной компетентным органом страны, где зарегистрировано или принято на учет транспортное средство, если – когда речь идет о контроле, указанном в подпункте а) выше, – ранее не был проведен контроль самого этого транспортного средства или его опытного образца на испытательной станции, назначенной </w:t>
      </w:r>
      <w:r w:rsidRPr="00DE09BD">
        <w:rPr>
          <w:b/>
          <w:bCs/>
        </w:rPr>
        <w:t>и</w:t>
      </w:r>
      <w:r w:rsidRPr="00DE09BD">
        <w:t xml:space="preserve"> уполномоченной в этой связи компетентным органом страны, в которой было изготовлено данное транспортное средство.</w:t>
      </w:r>
    </w:p>
    <w:p w:rsidR="00DE09BD" w:rsidRPr="00DE09BD" w:rsidRDefault="00DE09BD" w:rsidP="00DE09BD">
      <w:pPr>
        <w:pStyle w:val="SingleTxtGR"/>
      </w:pPr>
      <w:r>
        <w:rPr>
          <w:b/>
          <w:bCs/>
        </w:rPr>
        <w:tab/>
      </w:r>
      <w:r w:rsidRPr="00DE09BD">
        <w:rPr>
          <w:b/>
          <w:bCs/>
        </w:rPr>
        <w:t>Назначенная и уполномоченная испытательная станция должна быть аккредитована, в целях проведения соответствующих испытаний, на основании стандарта ISO 17025 соответствующим органом по аккредитации, который является членом Организации международного сотрудничества по аккредитации лабораторий (ИЛАК), по истечении двух лет со дня вступления в силу настоящей поправки</w:t>
      </w:r>
      <w:r w:rsidRPr="00DE09BD">
        <w:t>».</w:t>
      </w:r>
    </w:p>
    <w:p w:rsidR="00A658DB" w:rsidRPr="00DE09BD" w:rsidRDefault="00DE09BD" w:rsidP="00DE09BD">
      <w:pPr>
        <w:spacing w:before="240"/>
        <w:jc w:val="center"/>
        <w:rPr>
          <w:u w:val="single"/>
        </w:rPr>
      </w:pPr>
      <w:r>
        <w:rPr>
          <w:u w:val="single"/>
        </w:rPr>
        <w:tab/>
      </w:r>
      <w:r>
        <w:rPr>
          <w:u w:val="single"/>
        </w:rPr>
        <w:tab/>
      </w:r>
      <w:r>
        <w:rPr>
          <w:u w:val="single"/>
        </w:rPr>
        <w:tab/>
      </w:r>
    </w:p>
    <w:sectPr w:rsidR="00A658DB" w:rsidRPr="00DE09BD"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9BD" w:rsidRDefault="00DE09BD" w:rsidP="00B471C5">
      <w:r>
        <w:separator/>
      </w:r>
    </w:p>
  </w:endnote>
  <w:endnote w:type="continuationSeparator" w:id="0">
    <w:p w:rsidR="00DE09BD" w:rsidRDefault="00DE09BD"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5F4EA0">
      <w:rPr>
        <w:b/>
        <w:noProof/>
        <w:sz w:val="18"/>
        <w:szCs w:val="18"/>
      </w:rPr>
      <w:t>2</w:t>
    </w:r>
    <w:r w:rsidRPr="00BA2D2B">
      <w:rPr>
        <w:b/>
        <w:sz w:val="18"/>
        <w:szCs w:val="18"/>
      </w:rPr>
      <w:fldChar w:fldCharType="end"/>
    </w:r>
    <w:r>
      <w:rPr>
        <w:b/>
        <w:sz w:val="18"/>
        <w:szCs w:val="18"/>
      </w:rPr>
      <w:tab/>
    </w:r>
    <w:r>
      <w:rPr>
        <w:lang w:val="en-US"/>
      </w:rPr>
      <w:t>GE.16-</w:t>
    </w:r>
    <w:r w:rsidR="00DE09BD">
      <w:rPr>
        <w:lang w:val="en-US"/>
      </w:rPr>
      <w:t>12515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DE09BD" w:rsidP="007005EE">
    <w:pPr>
      <w:pStyle w:val="Footer"/>
      <w:rPr>
        <w:lang w:val="en-US"/>
      </w:rPr>
    </w:pPr>
    <w:r>
      <w:rPr>
        <w:lang w:val="en-US"/>
      </w:rPr>
      <w:t>GE.16-12515</w:t>
    </w:r>
    <w:r w:rsidR="007005EE">
      <w:rPr>
        <w:lang w:val="en-US"/>
      </w:rPr>
      <w:tab/>
    </w:r>
    <w:r w:rsidR="007005EE" w:rsidRPr="00BA2D2B">
      <w:rPr>
        <w:b/>
        <w:sz w:val="18"/>
        <w:szCs w:val="18"/>
      </w:rPr>
      <w:fldChar w:fldCharType="begin"/>
    </w:r>
    <w:r w:rsidR="007005EE" w:rsidRPr="00BA2D2B">
      <w:rPr>
        <w:b/>
        <w:sz w:val="18"/>
        <w:szCs w:val="18"/>
      </w:rPr>
      <w:instrText xml:space="preserve"> PAGE  \* Arabic  \* MERGEFORMAT </w:instrText>
    </w:r>
    <w:r w:rsidR="007005EE" w:rsidRPr="00BA2D2B">
      <w:rPr>
        <w:b/>
        <w:sz w:val="18"/>
        <w:szCs w:val="18"/>
      </w:rPr>
      <w:fldChar w:fldCharType="separate"/>
    </w:r>
    <w:r w:rsidR="005F4EA0">
      <w:rPr>
        <w:b/>
        <w:noProof/>
        <w:sz w:val="18"/>
        <w:szCs w:val="18"/>
      </w:rPr>
      <w:t>3</w:t>
    </w:r>
    <w:r w:rsidR="007005EE"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DE09BD" w:rsidRDefault="00A9606E" w:rsidP="007B199D">
          <w:pPr>
            <w:spacing w:after="40"/>
            <w:rPr>
              <w:rFonts w:ascii="C39T30Lfz" w:hAnsi="C39T30Lfz"/>
              <w:spacing w:val="0"/>
              <w:w w:val="100"/>
              <w:kern w:val="0"/>
              <w:lang w:eastAsia="ru-RU"/>
            </w:rPr>
          </w:pPr>
          <w:r w:rsidRPr="001C3ABC">
            <w:rPr>
              <w:lang w:val="en-US"/>
            </w:rPr>
            <w:t>GE.16-</w:t>
          </w:r>
          <w:r w:rsidR="00DE09BD">
            <w:t>12515</w:t>
          </w:r>
          <w:r w:rsidRPr="001C3ABC">
            <w:rPr>
              <w:lang w:val="en-US"/>
            </w:rPr>
            <w:t xml:space="preserve"> (R)</w:t>
          </w:r>
          <w:r w:rsidR="00DE09BD">
            <w:t xml:space="preserve">  050816  050816</w:t>
          </w:r>
        </w:p>
      </w:tc>
      <w:tc>
        <w:tcPr>
          <w:tcW w:w="5056" w:type="dxa"/>
          <w:vMerge w:val="restart"/>
          <w:tcMar>
            <w:left w:w="57" w:type="dxa"/>
            <w:right w:w="57" w:type="dxa"/>
          </w:tcMar>
          <w:vAlign w:val="bottom"/>
        </w:tcPr>
        <w:p w:rsidR="00A9606E" w:rsidRDefault="00A9606E" w:rsidP="007B199D">
          <w:pPr>
            <w:jc w:val="right"/>
          </w:pPr>
          <w:r>
            <w:rPr>
              <w:b/>
              <w:noProof/>
              <w:lang w:val="en-US"/>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DE09BD" w:rsidP="007B199D">
          <w:pPr>
            <w:jc w:val="right"/>
          </w:pPr>
          <w:r>
            <w:rPr>
              <w:noProof/>
              <w:lang w:val="en-US"/>
            </w:rPr>
            <w:drawing>
              <wp:inline distT="0" distB="0" distL="0" distR="0">
                <wp:extent cx="579755" cy="579755"/>
                <wp:effectExtent l="0" t="0" r="0" b="0"/>
                <wp:docPr id="3" name="Рисунок 3" descr="http://undocs.org/m2/QRCode.ashx?DS=ECE/TRANS/WP.11/2016/1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1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DE09BD" w:rsidRDefault="00DE09BD" w:rsidP="007B199D">
          <w:pPr>
            <w:spacing w:after="40"/>
            <w:rPr>
              <w:rFonts w:ascii="C39T30Lfz" w:hAnsi="C39T30Lfz"/>
              <w:spacing w:val="0"/>
              <w:w w:val="100"/>
              <w:kern w:val="0"/>
              <w:sz w:val="56"/>
              <w:szCs w:val="56"/>
              <w:lang w:val="en-US" w:eastAsia="ru-RU"/>
            </w:rPr>
          </w:pPr>
          <w:r w:rsidRPr="00DE09BD">
            <w:rPr>
              <w:rFonts w:ascii="C39T30Lfz" w:hAnsi="C39T30Lfz"/>
              <w:spacing w:val="0"/>
              <w:w w:val="100"/>
              <w:kern w:val="0"/>
              <w:sz w:val="56"/>
              <w:szCs w:val="56"/>
              <w:lang w:val="en-US" w:eastAsia="ru-RU"/>
            </w:rPr>
            <w:t></w:t>
          </w:r>
          <w:r w:rsidRPr="00DE09BD">
            <w:rPr>
              <w:rFonts w:ascii="C39T30Lfz" w:hAnsi="C39T30Lfz"/>
              <w:spacing w:val="0"/>
              <w:w w:val="100"/>
              <w:kern w:val="0"/>
              <w:sz w:val="56"/>
              <w:szCs w:val="56"/>
              <w:lang w:val="en-US" w:eastAsia="ru-RU"/>
            </w:rPr>
            <w:t></w:t>
          </w:r>
          <w:r w:rsidRPr="00DE09BD">
            <w:rPr>
              <w:rFonts w:ascii="C39T30Lfz" w:hAnsi="C39T30Lfz"/>
              <w:spacing w:val="0"/>
              <w:w w:val="100"/>
              <w:kern w:val="0"/>
              <w:sz w:val="56"/>
              <w:szCs w:val="56"/>
              <w:lang w:val="en-US" w:eastAsia="ru-RU"/>
            </w:rPr>
            <w:t></w:t>
          </w:r>
          <w:r w:rsidRPr="00DE09BD">
            <w:rPr>
              <w:rFonts w:ascii="C39T30Lfz" w:hAnsi="C39T30Lfz"/>
              <w:spacing w:val="0"/>
              <w:w w:val="100"/>
              <w:kern w:val="0"/>
              <w:sz w:val="56"/>
              <w:szCs w:val="56"/>
              <w:lang w:val="en-US" w:eastAsia="ru-RU"/>
            </w:rPr>
            <w:t></w:t>
          </w:r>
          <w:r w:rsidRPr="00DE09BD">
            <w:rPr>
              <w:rFonts w:ascii="C39T30Lfz" w:hAnsi="C39T30Lfz"/>
              <w:spacing w:val="0"/>
              <w:w w:val="100"/>
              <w:kern w:val="0"/>
              <w:sz w:val="56"/>
              <w:szCs w:val="56"/>
              <w:lang w:val="en-US" w:eastAsia="ru-RU"/>
            </w:rPr>
            <w:t></w:t>
          </w:r>
          <w:r w:rsidRPr="00DE09BD">
            <w:rPr>
              <w:rFonts w:ascii="C39T30Lfz" w:hAnsi="C39T30Lfz"/>
              <w:spacing w:val="0"/>
              <w:w w:val="100"/>
              <w:kern w:val="0"/>
              <w:sz w:val="56"/>
              <w:szCs w:val="56"/>
              <w:lang w:val="en-US" w:eastAsia="ru-RU"/>
            </w:rPr>
            <w:t></w:t>
          </w:r>
          <w:r w:rsidRPr="00DE09BD">
            <w:rPr>
              <w:rFonts w:ascii="C39T30Lfz" w:hAnsi="C39T30Lfz"/>
              <w:spacing w:val="0"/>
              <w:w w:val="100"/>
              <w:kern w:val="0"/>
              <w:sz w:val="56"/>
              <w:szCs w:val="56"/>
              <w:lang w:val="en-US" w:eastAsia="ru-RU"/>
            </w:rPr>
            <w:t></w:t>
          </w:r>
          <w:r w:rsidRPr="00DE09BD">
            <w:rPr>
              <w:rFonts w:ascii="C39T30Lfz" w:hAnsi="C39T30Lfz"/>
              <w:spacing w:val="0"/>
              <w:w w:val="100"/>
              <w:kern w:val="0"/>
              <w:sz w:val="56"/>
              <w:szCs w:val="56"/>
              <w:lang w:val="en-US" w:eastAsia="ru-RU"/>
            </w:rPr>
            <w:t></w:t>
          </w:r>
          <w:r w:rsidRPr="00DE09BD">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9BD" w:rsidRPr="009141DC" w:rsidRDefault="00DE09BD" w:rsidP="00D1261C">
      <w:pPr>
        <w:tabs>
          <w:tab w:val="left" w:pos="2268"/>
        </w:tabs>
        <w:spacing w:after="80"/>
        <w:ind w:left="680"/>
        <w:rPr>
          <w:u w:val="single"/>
          <w:lang w:val="en-US"/>
        </w:rPr>
      </w:pPr>
      <w:r>
        <w:rPr>
          <w:u w:val="single"/>
          <w:lang w:val="en-US"/>
        </w:rPr>
        <w:tab/>
      </w:r>
    </w:p>
  </w:footnote>
  <w:footnote w:type="continuationSeparator" w:id="0">
    <w:p w:rsidR="00DE09BD" w:rsidRPr="00D1261C" w:rsidRDefault="00DE09BD" w:rsidP="00D1261C">
      <w:pPr>
        <w:tabs>
          <w:tab w:val="left" w:pos="2268"/>
        </w:tabs>
        <w:spacing w:after="80"/>
        <w:rPr>
          <w:u w:val="single"/>
          <w:lang w:val="en-US"/>
        </w:rPr>
      </w:pPr>
      <w:r>
        <w:rPr>
          <w:u w:val="single"/>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7005EE" w:rsidRDefault="00DE09BD">
    <w:pPr>
      <w:pStyle w:val="Header"/>
      <w:rPr>
        <w:lang w:val="en-US"/>
      </w:rPr>
    </w:pPr>
    <w:r w:rsidRPr="00DE09BD">
      <w:rPr>
        <w:lang w:val="en-US"/>
      </w:rPr>
      <w:t>ECE/TRANS/WP.11/2016/13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4D639B" w:rsidRDefault="00DE09BD" w:rsidP="007005EE">
    <w:pPr>
      <w:pStyle w:val="Header"/>
      <w:jc w:val="right"/>
      <w:rPr>
        <w:lang w:val="en-US"/>
      </w:rPr>
    </w:pPr>
    <w:r w:rsidRPr="00DE09BD">
      <w:rPr>
        <w:lang w:val="en-US"/>
      </w:rPr>
      <w:t>ECE/TRANS/WP.11/2016/13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BD"/>
    <w:rsid w:val="000450D1"/>
    <w:rsid w:val="000B1FD5"/>
    <w:rsid w:val="000F2A4F"/>
    <w:rsid w:val="00203F84"/>
    <w:rsid w:val="00275188"/>
    <w:rsid w:val="0028687D"/>
    <w:rsid w:val="002B091C"/>
    <w:rsid w:val="002B3D40"/>
    <w:rsid w:val="002D0CCB"/>
    <w:rsid w:val="00345C79"/>
    <w:rsid w:val="00366A39"/>
    <w:rsid w:val="0048005C"/>
    <w:rsid w:val="004D639B"/>
    <w:rsid w:val="004E242B"/>
    <w:rsid w:val="00544379"/>
    <w:rsid w:val="00566944"/>
    <w:rsid w:val="00572D60"/>
    <w:rsid w:val="005B681D"/>
    <w:rsid w:val="005D56BF"/>
    <w:rsid w:val="005F4EA0"/>
    <w:rsid w:val="0062027E"/>
    <w:rsid w:val="00643644"/>
    <w:rsid w:val="006565AF"/>
    <w:rsid w:val="00665D8D"/>
    <w:rsid w:val="00666CFC"/>
    <w:rsid w:val="006A7A3B"/>
    <w:rsid w:val="006B6B57"/>
    <w:rsid w:val="006F49F1"/>
    <w:rsid w:val="007005EE"/>
    <w:rsid w:val="00705394"/>
    <w:rsid w:val="00743F62"/>
    <w:rsid w:val="00760D3A"/>
    <w:rsid w:val="00773BA8"/>
    <w:rsid w:val="007A1F42"/>
    <w:rsid w:val="007D76DD"/>
    <w:rsid w:val="008717E8"/>
    <w:rsid w:val="008D01AE"/>
    <w:rsid w:val="008E0423"/>
    <w:rsid w:val="009141DC"/>
    <w:rsid w:val="009174A1"/>
    <w:rsid w:val="0098674D"/>
    <w:rsid w:val="00997ACA"/>
    <w:rsid w:val="00A03FB7"/>
    <w:rsid w:val="00A55C56"/>
    <w:rsid w:val="00A658DB"/>
    <w:rsid w:val="00A75A11"/>
    <w:rsid w:val="00A9606E"/>
    <w:rsid w:val="00AD7EAD"/>
    <w:rsid w:val="00B35A32"/>
    <w:rsid w:val="00B432C6"/>
    <w:rsid w:val="00B471C5"/>
    <w:rsid w:val="00B6474A"/>
    <w:rsid w:val="00B94F55"/>
    <w:rsid w:val="00BE1742"/>
    <w:rsid w:val="00C60EAE"/>
    <w:rsid w:val="00D1261C"/>
    <w:rsid w:val="00D26030"/>
    <w:rsid w:val="00D75DCE"/>
    <w:rsid w:val="00DD35AC"/>
    <w:rsid w:val="00DD479F"/>
    <w:rsid w:val="00DE09BD"/>
    <w:rsid w:val="00E15E48"/>
    <w:rsid w:val="00EB0723"/>
    <w:rsid w:val="00EB2957"/>
    <w:rsid w:val="00EE6F37"/>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3C2C62-89C5-44FC-8BF7-70EC6467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65C1-97DA-482B-9882-F9CEDE1E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4098</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Uliana Antipova</dc:creator>
  <cp:lastModifiedBy>Caillot</cp:lastModifiedBy>
  <cp:revision>2</cp:revision>
  <cp:lastPrinted>2016-08-05T10:23:00Z</cp:lastPrinted>
  <dcterms:created xsi:type="dcterms:W3CDTF">2016-08-19T09:46:00Z</dcterms:created>
  <dcterms:modified xsi:type="dcterms:W3CDTF">2016-08-19T09:46:00Z</dcterms:modified>
</cp:coreProperties>
</file>