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7" w:rsidRPr="008A36BE" w:rsidRDefault="00D47787" w:rsidP="00D47787">
      <w:pPr>
        <w:spacing w:line="60" w:lineRule="exact"/>
        <w:rPr>
          <w:color w:val="010000"/>
          <w:sz w:val="6"/>
        </w:rPr>
        <w:sectPr w:rsidR="00D47787" w:rsidRPr="008A36BE" w:rsidSect="00D477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A36BE">
        <w:rPr>
          <w:rStyle w:val="CommentReference"/>
        </w:rPr>
        <w:commentReference w:id="0"/>
      </w:r>
      <w:bookmarkStart w:id="1" w:name="_GoBack"/>
      <w:bookmarkEnd w:id="1"/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36BE">
        <w:lastRenderedPageBreak/>
        <w:t>Европейская экономическая комиссия</w:t>
      </w:r>
    </w:p>
    <w:p w:rsidR="008A36BE" w:rsidRPr="006C5DBA" w:rsidRDefault="008A36BE" w:rsidP="008A36BE">
      <w:pPr>
        <w:spacing w:line="120" w:lineRule="exact"/>
        <w:rPr>
          <w:sz w:val="10"/>
        </w:rPr>
      </w:pPr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A36BE">
        <w:rPr>
          <w:b w:val="0"/>
        </w:rPr>
        <w:t>Комитет по внутреннему транспорту</w:t>
      </w:r>
    </w:p>
    <w:p w:rsidR="008A36BE" w:rsidRPr="006C5DBA" w:rsidRDefault="008A36BE" w:rsidP="008A36BE">
      <w:pPr>
        <w:spacing w:line="120" w:lineRule="exact"/>
        <w:rPr>
          <w:sz w:val="10"/>
        </w:rPr>
      </w:pPr>
    </w:p>
    <w:p w:rsidR="008A36BE" w:rsidRPr="008A36BE" w:rsidRDefault="008A36BE" w:rsidP="008A36B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36BE">
        <w:rPr>
          <w:lang w:val="fr-CH"/>
        </w:rPr>
        <w:t>C</w:t>
      </w:r>
      <w:proofErr w:type="spellStart"/>
      <w:r w:rsidRPr="008A36BE">
        <w:t>емьдесят</w:t>
      </w:r>
      <w:proofErr w:type="spellEnd"/>
      <w:r w:rsidRPr="008A36BE">
        <w:t xml:space="preserve"> восьмая сессия</w:t>
      </w:r>
    </w:p>
    <w:p w:rsidR="008A36BE" w:rsidRPr="008A36BE" w:rsidRDefault="008A36BE" w:rsidP="008A36BE">
      <w:r w:rsidRPr="008A36BE">
        <w:t xml:space="preserve">Женева, 23−26 февраля 2016 года </w:t>
      </w:r>
    </w:p>
    <w:p w:rsidR="008A36BE" w:rsidRPr="008A36BE" w:rsidRDefault="008A36BE" w:rsidP="008A36BE">
      <w:r w:rsidRPr="008A36BE">
        <w:t xml:space="preserve">Пункт 1 предварительной повестки дня </w:t>
      </w:r>
    </w:p>
    <w:p w:rsidR="008A36BE" w:rsidRPr="006C5DBA" w:rsidRDefault="008A36BE" w:rsidP="008A36B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36BE">
        <w:t>Утверждение повестки дня</w:t>
      </w:r>
    </w:p>
    <w:p w:rsidR="008A36BE" w:rsidRPr="006C5DBA" w:rsidRDefault="008A36BE" w:rsidP="008A36BE">
      <w:pPr>
        <w:spacing w:line="120" w:lineRule="exact"/>
        <w:rPr>
          <w:sz w:val="10"/>
        </w:rPr>
      </w:pPr>
    </w:p>
    <w:p w:rsidR="008A36BE" w:rsidRPr="006C5DBA" w:rsidRDefault="008A36BE" w:rsidP="008A36BE">
      <w:pPr>
        <w:spacing w:line="120" w:lineRule="exact"/>
        <w:rPr>
          <w:sz w:val="10"/>
        </w:rPr>
      </w:pPr>
    </w:p>
    <w:p w:rsidR="008A36BE" w:rsidRPr="006C5DBA" w:rsidRDefault="008A36BE" w:rsidP="008A36BE">
      <w:pPr>
        <w:spacing w:line="120" w:lineRule="exact"/>
        <w:rPr>
          <w:sz w:val="10"/>
        </w:rPr>
      </w:pPr>
    </w:p>
    <w:p w:rsidR="008A36BE" w:rsidRPr="00A407F5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6BE">
        <w:tab/>
      </w:r>
      <w:r w:rsidRPr="008A36BE">
        <w:tab/>
        <w:t>Предварительная повестка дня семьдесят восьмой сессии</w:t>
      </w:r>
      <w:r w:rsidR="00A407F5" w:rsidRPr="00A407F5">
        <w:rPr>
          <w:rStyle w:val="FootnoteReference"/>
          <w:b w:val="0"/>
          <w:sz w:val="20"/>
        </w:rPr>
        <w:footnoteReference w:id="1"/>
      </w:r>
      <w:r w:rsidRPr="00A407F5">
        <w:rPr>
          <w:b w:val="0"/>
          <w:position w:val="6"/>
          <w:sz w:val="20"/>
          <w:szCs w:val="20"/>
        </w:rPr>
        <w:t>,</w:t>
      </w:r>
      <w:r w:rsidRPr="00A407F5">
        <w:rPr>
          <w:rStyle w:val="FootnoteReference"/>
          <w:b w:val="0"/>
          <w:sz w:val="20"/>
        </w:rPr>
        <w:t xml:space="preserve"> </w:t>
      </w:r>
      <w:r w:rsidR="00A407F5" w:rsidRPr="00A407F5">
        <w:rPr>
          <w:rStyle w:val="FootnoteReference"/>
          <w:b w:val="0"/>
          <w:sz w:val="20"/>
        </w:rPr>
        <w:footnoteReference w:id="2"/>
      </w:r>
      <w:r w:rsidRPr="008A36BE">
        <w:t>,</w:t>
      </w:r>
    </w:p>
    <w:p w:rsidR="008A36BE" w:rsidRPr="00A407F5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A407F5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A407F5" w:rsidRDefault="008A36BE" w:rsidP="008A36BE">
      <w:pPr>
        <w:pStyle w:val="SingleTxt"/>
      </w:pPr>
      <w:proofErr w:type="gramStart"/>
      <w:r w:rsidRPr="008A36BE">
        <w:t>которая</w:t>
      </w:r>
      <w:proofErr w:type="gramEnd"/>
      <w:r w:rsidRPr="008A36BE">
        <w:t xml:space="preserve"> состоится во Дворце Наций в Женеве и откроется во вторник, 23 февраля 201</w:t>
      </w:r>
      <w:r w:rsidR="003353C5">
        <w:t>6</w:t>
      </w:r>
      <w:r w:rsidRPr="008A36BE">
        <w:t xml:space="preserve"> года, в 11 ч. 00 м. </w:t>
      </w:r>
    </w:p>
    <w:p w:rsidR="008A36BE" w:rsidRPr="00A407F5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</w:pPr>
      <w:r w:rsidRPr="008A36BE">
        <w:t>1.</w:t>
      </w:r>
      <w:r w:rsidRPr="008A36BE">
        <w:tab/>
        <w:t>Утверждение повестки дня.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6BE">
        <w:tab/>
        <w:t>I.</w:t>
      </w:r>
      <w:r w:rsidRPr="008A36BE">
        <w:tab/>
        <w:t>Сегмент, связанный с политикой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6E7984">
      <w:pPr>
        <w:pStyle w:val="SingleTxt"/>
        <w:tabs>
          <w:tab w:val="clear" w:pos="1267"/>
          <w:tab w:val="left" w:pos="-1440"/>
        </w:tabs>
        <w:ind w:left="1755" w:hanging="488"/>
      </w:pPr>
      <w:r w:rsidRPr="008A36BE">
        <w:t>2.</w:t>
      </w:r>
      <w:r w:rsidRPr="008A36BE">
        <w:tab/>
        <w:t xml:space="preserve">Инновации для устойчивого внутреннего транспорта с </w:t>
      </w:r>
      <w:proofErr w:type="spellStart"/>
      <w:r w:rsidRPr="008A36BE">
        <w:t>уделением</w:t>
      </w:r>
      <w:proofErr w:type="spellEnd"/>
      <w:r w:rsidRPr="008A36BE">
        <w:t xml:space="preserve"> особого внимания информационно-коммуникационным технологиям (ИКТ).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1C73BC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8A36BE">
        <w:lastRenderedPageBreak/>
        <w:tab/>
        <w:t>II.</w:t>
      </w:r>
      <w:r w:rsidRPr="008A36BE">
        <w:tab/>
        <w:t>Шестое совещание председателей вспомогательных органов Комитета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E7984" w:rsidRDefault="008A36BE" w:rsidP="006E7984">
      <w:pPr>
        <w:pStyle w:val="SingleTxt"/>
        <w:tabs>
          <w:tab w:val="clear" w:pos="1267"/>
          <w:tab w:val="left" w:pos="-1440"/>
        </w:tabs>
        <w:ind w:left="1755" w:hanging="488"/>
      </w:pPr>
      <w:r w:rsidRPr="008A36BE">
        <w:t>3.</w:t>
      </w:r>
      <w:r w:rsidRPr="008A36BE">
        <w:tab/>
        <w:t>Совещание только для правительственных делегатов с участием председ</w:t>
      </w:r>
      <w:r w:rsidRPr="008A36BE">
        <w:t>а</w:t>
      </w:r>
      <w:r w:rsidRPr="008A36BE">
        <w:t>телей вспомогательных органов Комитета.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6BE">
        <w:tab/>
        <w:t>I</w:t>
      </w:r>
      <w:r w:rsidRPr="008A36BE">
        <w:rPr>
          <w:lang w:val="en-US"/>
        </w:rPr>
        <w:t>I</w:t>
      </w:r>
      <w:r w:rsidRPr="008A36BE">
        <w:t>I.</w:t>
      </w:r>
      <w:r w:rsidRPr="008A36BE">
        <w:tab/>
        <w:t>Транспортная политика и вопросы регулирования, требующие принятия решений со стороны Комитета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8A36BE" w:rsidRDefault="008A36BE" w:rsidP="006E7984">
      <w:pPr>
        <w:pStyle w:val="SingleTxt"/>
        <w:tabs>
          <w:tab w:val="clear" w:pos="1267"/>
          <w:tab w:val="left" w:pos="-1440"/>
        </w:tabs>
        <w:ind w:left="1755" w:hanging="488"/>
      </w:pPr>
      <w:r w:rsidRPr="008A36BE">
        <w:t>4.</w:t>
      </w:r>
      <w:r w:rsidRPr="008A36BE">
        <w:tab/>
        <w:t>Стратегические вопросы горизонтальной политики: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clear" w:pos="2218"/>
          <w:tab w:val="left" w:pos="-1440"/>
          <w:tab w:val="left" w:pos="1746"/>
          <w:tab w:val="left" w:pos="2223"/>
        </w:tabs>
        <w:ind w:left="2232" w:hanging="965"/>
      </w:pPr>
      <w:r>
        <w:tab/>
      </w:r>
      <w:r w:rsidR="008A36BE" w:rsidRPr="008A36BE">
        <w:t>a)</w:t>
      </w:r>
      <w:r w:rsidR="008A36BE" w:rsidRPr="008A36BE">
        <w:tab/>
        <w:t>информация о ходе присоединения к соглашениям и конвенциям Орг</w:t>
      </w:r>
      <w:r w:rsidR="008A36BE" w:rsidRPr="008A36BE">
        <w:t>а</w:t>
      </w:r>
      <w:r w:rsidR="008A36BE" w:rsidRPr="008A36BE">
        <w:t>низации Объединенных Наций в области транспорта, относящимся к ведению Комитета по внутреннему транспорту;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b)</w:t>
      </w:r>
      <w:r w:rsidR="008A36BE" w:rsidRPr="008A36BE">
        <w:tab/>
        <w:t>аналитическая работа ЕЭК ООН в области транспорта;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c)</w:t>
      </w:r>
      <w:r w:rsidR="008A36BE" w:rsidRPr="008A36BE">
        <w:tab/>
        <w:t>диалог по вопросам политики и техническая помощь странам с пер</w:t>
      </w:r>
      <w:r w:rsidR="008A36BE" w:rsidRPr="008A36BE">
        <w:t>е</w:t>
      </w:r>
      <w:r w:rsidR="008A36BE" w:rsidRPr="008A36BE">
        <w:t>ходной экономикой;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clear" w:pos="2218"/>
          <w:tab w:val="left" w:pos="-1440"/>
          <w:tab w:val="left" w:pos="1746"/>
          <w:tab w:val="left" w:pos="2223"/>
        </w:tabs>
        <w:ind w:left="2232" w:hanging="965"/>
      </w:pPr>
      <w:r>
        <w:tab/>
      </w:r>
      <w:r w:rsidR="008A36BE" w:rsidRPr="008A36BE">
        <w:t>d)</w:t>
      </w:r>
      <w:r w:rsidR="008A36BE" w:rsidRPr="008A36BE">
        <w:tab/>
        <w:t>окружающая среда, изменение климата и транспорт:</w:t>
      </w:r>
    </w:p>
    <w:p w:rsidR="008A36BE" w:rsidRPr="008A36BE" w:rsidRDefault="001C73BC" w:rsidP="006E7984">
      <w:pPr>
        <w:pStyle w:val="SingleTxt"/>
        <w:tabs>
          <w:tab w:val="clear" w:pos="1742"/>
          <w:tab w:val="clear" w:pos="2218"/>
          <w:tab w:val="clear" w:pos="2693"/>
          <w:tab w:val="left" w:pos="2223"/>
        </w:tabs>
        <w:ind w:left="2709" w:hanging="956"/>
      </w:pPr>
      <w:r w:rsidRPr="003353C5">
        <w:tab/>
      </w:r>
      <w:r w:rsidR="008A36BE" w:rsidRPr="008A36BE">
        <w:t>i)</w:t>
      </w:r>
      <w:r w:rsidR="008A36BE" w:rsidRPr="008A36BE">
        <w:tab/>
        <w:t xml:space="preserve">последующая деятельность в контексте </w:t>
      </w:r>
      <w:r w:rsidR="003353C5">
        <w:t>«</w:t>
      </w:r>
      <w:r w:rsidR="008A36BE" w:rsidRPr="008A36BE">
        <w:t>Рио+20</w:t>
      </w:r>
      <w:r w:rsidR="003353C5">
        <w:t>»</w:t>
      </w:r>
      <w:r w:rsidR="008A36BE" w:rsidRPr="008A36BE">
        <w:t xml:space="preserve"> и Повестка дня в области развития на период после 2030 года;</w:t>
      </w:r>
    </w:p>
    <w:p w:rsidR="008A36BE" w:rsidRPr="008A36BE" w:rsidRDefault="001C73BC" w:rsidP="006E7984">
      <w:pPr>
        <w:pStyle w:val="SingleTxt"/>
        <w:tabs>
          <w:tab w:val="clear" w:pos="1742"/>
          <w:tab w:val="clear" w:pos="2218"/>
          <w:tab w:val="clear" w:pos="2693"/>
          <w:tab w:val="left" w:pos="2223"/>
        </w:tabs>
        <w:ind w:left="2709" w:hanging="956"/>
      </w:pPr>
      <w:r w:rsidRPr="001C73BC">
        <w:tab/>
      </w:r>
      <w:proofErr w:type="spellStart"/>
      <w:proofErr w:type="gramStart"/>
      <w:r w:rsidR="008A36BE" w:rsidRPr="008A36BE">
        <w:t>ii</w:t>
      </w:r>
      <w:proofErr w:type="spellEnd"/>
      <w:r w:rsidR="008A36BE" w:rsidRPr="008A36BE">
        <w:t>)</w:t>
      </w:r>
      <w:r w:rsidR="008A36BE" w:rsidRPr="008A36BE">
        <w:tab/>
        <w:t>смягчение экологически вредного воздействия перевозок вну</w:t>
      </w:r>
      <w:r w:rsidR="008A36BE" w:rsidRPr="008A36BE">
        <w:t>т</w:t>
      </w:r>
      <w:r w:rsidR="008A36BE" w:rsidRPr="008A36BE">
        <w:t>ренним транспортом;</w:t>
      </w:r>
      <w:proofErr w:type="gramEnd"/>
    </w:p>
    <w:p w:rsidR="008A36BE" w:rsidRPr="008F2161" w:rsidRDefault="001C73BC" w:rsidP="006E7984">
      <w:pPr>
        <w:pStyle w:val="SingleTxt"/>
        <w:tabs>
          <w:tab w:val="clear" w:pos="1742"/>
          <w:tab w:val="clear" w:pos="2218"/>
          <w:tab w:val="clear" w:pos="2693"/>
          <w:tab w:val="left" w:pos="2223"/>
          <w:tab w:val="left" w:pos="2880"/>
        </w:tabs>
        <w:ind w:left="2709" w:hanging="956"/>
      </w:pPr>
      <w:r w:rsidRPr="001C73BC">
        <w:tab/>
      </w:r>
      <w:proofErr w:type="spellStart"/>
      <w:proofErr w:type="gramStart"/>
      <w:r w:rsidR="008A36BE" w:rsidRPr="008A36BE">
        <w:t>iii</w:t>
      </w:r>
      <w:proofErr w:type="spellEnd"/>
      <w:r w:rsidR="008A36BE" w:rsidRPr="008A36BE">
        <w:t>)</w:t>
      </w:r>
      <w:r w:rsidR="008A36BE" w:rsidRPr="008A36BE">
        <w:tab/>
        <w:t>последствия изменения климата для международных транспор</w:t>
      </w:r>
      <w:r w:rsidR="008A36BE" w:rsidRPr="008A36BE">
        <w:t>т</w:t>
      </w:r>
      <w:r w:rsidR="008A36BE" w:rsidRPr="008A36BE">
        <w:t>ных сетей и адаптационные требования</w:t>
      </w:r>
      <w:r w:rsidR="008F2161">
        <w:t>;</w:t>
      </w:r>
      <w:proofErr w:type="gramEnd"/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e)</w:t>
      </w:r>
      <w:r w:rsidR="008A36BE" w:rsidRPr="008A36BE">
        <w:tab/>
        <w:t>Общеевропейская программа по транспорту, окружающей среде и охране здоровья;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f)</w:t>
      </w:r>
      <w:r w:rsidR="008A36BE" w:rsidRPr="008A36BE">
        <w:tab/>
        <w:t>интеллектуальные транспортные системы;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g)</w:t>
      </w:r>
      <w:r w:rsidR="008A36BE" w:rsidRPr="008A36BE">
        <w:tab/>
        <w:t>продолжение поддержки стран, не имеющих выхода к морю: Венская программа действий;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h)</w:t>
      </w:r>
      <w:r w:rsidR="008A36BE" w:rsidRPr="008A36BE">
        <w:tab/>
        <w:t>безопасность на внутреннем транспорте.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5.</w:t>
      </w:r>
      <w:r w:rsidRPr="008A36BE">
        <w:tab/>
        <w:t>Стратегические вопросы, связанные с разными видами транспорта и тем</w:t>
      </w:r>
      <w:r w:rsidRPr="008A36BE">
        <w:t>а</w:t>
      </w:r>
      <w:r w:rsidRPr="008A36BE">
        <w:t>тическими направлениями: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a)</w:t>
      </w:r>
      <w:r w:rsidR="008A36BE" w:rsidRPr="008A36BE">
        <w:tab/>
        <w:t>деятельность, связанная с проектами:</w:t>
      </w:r>
    </w:p>
    <w:p w:rsidR="008A36BE" w:rsidRPr="008A36BE" w:rsidRDefault="001C73BC" w:rsidP="006E7984">
      <w:pPr>
        <w:pStyle w:val="SingleTxt"/>
        <w:tabs>
          <w:tab w:val="clear" w:pos="1742"/>
          <w:tab w:val="clear" w:pos="2218"/>
          <w:tab w:val="clear" w:pos="2693"/>
          <w:tab w:val="left" w:pos="2223"/>
          <w:tab w:val="left" w:pos="2880"/>
        </w:tabs>
        <w:ind w:left="2709" w:hanging="956"/>
      </w:pPr>
      <w:r w:rsidRPr="001C73BC">
        <w:tab/>
      </w:r>
      <w:r w:rsidR="008A36BE" w:rsidRPr="008A36BE">
        <w:t>i)</w:t>
      </w:r>
      <w:r w:rsidR="008A36BE" w:rsidRPr="008A36BE">
        <w:tab/>
        <w:t>проекты Трансъевропейской автомагистрали (ТЕА) и Трансъе</w:t>
      </w:r>
      <w:r w:rsidR="008A36BE" w:rsidRPr="008A36BE">
        <w:t>в</w:t>
      </w:r>
      <w:r w:rsidR="008A36BE" w:rsidRPr="008A36BE">
        <w:t>ропейской железнодорожной магистрали (ТЕЖ);</w:t>
      </w:r>
    </w:p>
    <w:p w:rsidR="008A36BE" w:rsidRPr="008A36BE" w:rsidRDefault="001C73BC" w:rsidP="006E7984">
      <w:pPr>
        <w:pStyle w:val="SingleTxt"/>
        <w:tabs>
          <w:tab w:val="clear" w:pos="1742"/>
          <w:tab w:val="clear" w:pos="2218"/>
          <w:tab w:val="clear" w:pos="2693"/>
          <w:tab w:val="left" w:pos="2223"/>
          <w:tab w:val="left" w:pos="2880"/>
        </w:tabs>
        <w:ind w:left="2709" w:hanging="956"/>
      </w:pPr>
      <w:r w:rsidRPr="001C73BC">
        <w:tab/>
      </w:r>
      <w:proofErr w:type="spellStart"/>
      <w:proofErr w:type="gramStart"/>
      <w:r w:rsidR="008A36BE" w:rsidRPr="008A36BE">
        <w:t>ii</w:t>
      </w:r>
      <w:proofErr w:type="spellEnd"/>
      <w:r w:rsidR="008A36BE" w:rsidRPr="008A36BE">
        <w:t>)</w:t>
      </w:r>
      <w:r w:rsidR="008A36BE" w:rsidRPr="008A36BE">
        <w:tab/>
        <w:t>Проект по евро-азиатским транспортным связям (ЕАТС);</w:t>
      </w:r>
      <w:proofErr w:type="gramEnd"/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b)</w:t>
      </w:r>
      <w:r w:rsidR="008A36BE" w:rsidRPr="008A36BE">
        <w:tab/>
        <w:t>согласование правил в области транспортных средств</w:t>
      </w:r>
      <w:r w:rsidR="008F2161">
        <w:t>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c)</w:t>
      </w:r>
      <w:r w:rsidR="008A36BE" w:rsidRPr="008A36BE">
        <w:tab/>
        <w:t>безопасность дорожного движения;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d)</w:t>
      </w:r>
      <w:r w:rsidR="008A36BE" w:rsidRPr="008A36BE">
        <w:tab/>
        <w:t>автомобильный транспорт;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e)</w:t>
      </w:r>
      <w:r w:rsidR="008A36BE" w:rsidRPr="008A36BE">
        <w:tab/>
        <w:t>железнодорожный транспорт;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f)</w:t>
      </w:r>
      <w:r w:rsidR="008A36BE" w:rsidRPr="008A36BE">
        <w:tab/>
      </w:r>
      <w:proofErr w:type="spellStart"/>
      <w:r w:rsidR="008A36BE" w:rsidRPr="008A36BE">
        <w:t>интермодальные</w:t>
      </w:r>
      <w:proofErr w:type="spellEnd"/>
      <w:r w:rsidR="008A36BE" w:rsidRPr="008A36BE">
        <w:t xml:space="preserve"> перевозки и логистика;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g)</w:t>
      </w:r>
      <w:r w:rsidR="008A36BE" w:rsidRPr="008A36BE">
        <w:tab/>
        <w:t>внутренний водный транспорт;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lastRenderedPageBreak/>
        <w:tab/>
      </w:r>
      <w:r w:rsidR="008A36BE" w:rsidRPr="008A36BE">
        <w:t>h)</w:t>
      </w:r>
      <w:r w:rsidR="008A36BE" w:rsidRPr="008A36BE">
        <w:tab/>
        <w:t xml:space="preserve">активизация работы по облегчению пересечения границ (Конвенция о согласовании, Конвенция МДП, проект </w:t>
      </w:r>
      <w:proofErr w:type="spellStart"/>
      <w:r w:rsidR="008A36BE" w:rsidRPr="008A36BE">
        <w:t>eTIR</w:t>
      </w:r>
      <w:proofErr w:type="spellEnd"/>
      <w:r w:rsidR="008A36BE" w:rsidRPr="008A36BE">
        <w:t xml:space="preserve"> и другие меры по обле</w:t>
      </w:r>
      <w:r w:rsidR="008A36BE" w:rsidRPr="008A36BE">
        <w:t>г</w:t>
      </w:r>
      <w:r w:rsidR="008A36BE" w:rsidRPr="008A36BE">
        <w:t>чению таможенного транзита);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i)</w:t>
      </w:r>
      <w:r w:rsidR="00A049BA" w:rsidRPr="00A049BA">
        <w:tab/>
      </w:r>
      <w:r w:rsidR="008A36BE" w:rsidRPr="008A36BE">
        <w:t>перевозка опасных грузов</w:t>
      </w:r>
      <w:r w:rsidR="008F2161">
        <w:t>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j)</w:t>
      </w:r>
      <w:r w:rsidR="00A049BA" w:rsidRPr="00A049BA">
        <w:tab/>
      </w:r>
      <w:r w:rsidR="008A36BE" w:rsidRPr="008A36BE">
        <w:t>перевозка скоропортящихся пищевых продуктов</w:t>
      </w:r>
      <w:r w:rsidR="008F2161">
        <w:t>;</w:t>
      </w:r>
    </w:p>
    <w:p w:rsidR="008A36BE" w:rsidRPr="008A36BE" w:rsidRDefault="006E7984" w:rsidP="006E7984">
      <w:pPr>
        <w:pStyle w:val="SingleTxt"/>
        <w:tabs>
          <w:tab w:val="clear" w:pos="1267"/>
          <w:tab w:val="clear" w:pos="1742"/>
          <w:tab w:val="left" w:pos="-1440"/>
          <w:tab w:val="left" w:pos="1755"/>
        </w:tabs>
        <w:ind w:left="2232" w:hanging="965"/>
      </w:pPr>
      <w:r>
        <w:tab/>
      </w:r>
      <w:r w:rsidR="008A36BE" w:rsidRPr="008A36BE">
        <w:t>k)</w:t>
      </w:r>
      <w:r w:rsidR="008A36BE" w:rsidRPr="008A36BE">
        <w:tab/>
        <w:t>транспортная статистика и данные</w:t>
      </w:r>
      <w:r w:rsidR="008F2161">
        <w:t>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6.</w:t>
      </w:r>
      <w:r w:rsidRPr="008A36BE">
        <w:tab/>
        <w:t>Вопросы, вытекающие из решений Европейской экономической комиссии Организации Объединенных Наций (ЕЭК ООН), Экономического и Соц</w:t>
      </w:r>
      <w:r w:rsidRPr="008A36BE">
        <w:t>и</w:t>
      </w:r>
      <w:r w:rsidRPr="008A36BE">
        <w:t>ального Совета (ЭКОСОС) и других органов и конференций Организации Объединенных Наций</w:t>
      </w:r>
      <w:r w:rsidR="008F2161">
        <w:t>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7.</w:t>
      </w:r>
      <w:r w:rsidRPr="008A36BE">
        <w:tab/>
        <w:t>Проект годового доклада о деятельности вспомогательных органов Комит</w:t>
      </w:r>
      <w:r w:rsidRPr="008A36BE">
        <w:t>е</w:t>
      </w:r>
      <w:r w:rsidRPr="008A36BE">
        <w:t>та в 2015 году.</w:t>
      </w:r>
    </w:p>
    <w:p w:rsidR="008A36BE" w:rsidRPr="006C5DBA" w:rsidRDefault="008A36BE" w:rsidP="00A407F5">
      <w:pPr>
        <w:pStyle w:val="SingleTxt"/>
        <w:ind w:left="1755" w:hanging="488"/>
      </w:pPr>
      <w:r w:rsidRPr="008A36BE">
        <w:t>8.</w:t>
      </w:r>
      <w:r w:rsidRPr="008A36BE">
        <w:tab/>
        <w:t>Подготовительная работа в связи с 70-й годовщиной Комитета и Отдела по устойчивому транспорту.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6BE">
        <w:tab/>
        <w:t>IV.</w:t>
      </w:r>
      <w:r w:rsidRPr="008A36BE">
        <w:tab/>
        <w:t>Прочие вопросы, связанные с работой вспомогательных органов Комитета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8A36BE" w:rsidRDefault="008A36BE" w:rsidP="006E7984">
      <w:pPr>
        <w:pStyle w:val="SingleTxt"/>
        <w:tabs>
          <w:tab w:val="clear" w:pos="1267"/>
          <w:tab w:val="clear" w:pos="1742"/>
          <w:tab w:val="left" w:pos="-1440"/>
          <w:tab w:val="left" w:pos="1764"/>
        </w:tabs>
        <w:ind w:left="1755" w:hanging="488"/>
      </w:pPr>
      <w:r w:rsidRPr="008A36BE">
        <w:t>9.</w:t>
      </w:r>
      <w:r w:rsidRPr="008A36BE">
        <w:tab/>
        <w:t>Вопросы для одобрения Комитетом и вопросы информационного характера: утверждение докладов вспомогательных органов Комитета.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10.</w:t>
      </w:r>
      <w:r w:rsidRPr="008A36BE">
        <w:tab/>
        <w:t>Итоги совещаний Бюро Комитета по внутреннему транспорту.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11.</w:t>
      </w:r>
      <w:r w:rsidRPr="008A36BE">
        <w:tab/>
        <w:t>Деятельность Комиссии и доклад Комитета Исполнительному комитету.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12.</w:t>
      </w:r>
      <w:r w:rsidRPr="008A36BE">
        <w:tab/>
        <w:t xml:space="preserve">Утверждение двухгодичной оценки работы Комитета на период </w:t>
      </w:r>
      <w:r w:rsidR="008F2161">
        <w:br/>
      </w:r>
      <w:r w:rsidRPr="008A36BE">
        <w:t xml:space="preserve">2014–2015 годов. 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13.</w:t>
      </w:r>
      <w:r w:rsidRPr="008A36BE">
        <w:tab/>
        <w:t>Программа работы и двухгодичная оценка на период 2016–2017 годов и Стратегические рамки на 2018−2019 годы.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14.</w:t>
      </w:r>
      <w:r w:rsidRPr="008A36BE">
        <w:tab/>
        <w:t>Проект плана работы на 2016−2020 годы.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15.</w:t>
      </w:r>
      <w:r w:rsidRPr="008A36BE">
        <w:tab/>
        <w:t>Выборы должностных лиц для сессий Комитета в 2017 и 2018 годах.</w:t>
      </w:r>
    </w:p>
    <w:p w:rsidR="008A36BE" w:rsidRPr="008A36BE" w:rsidRDefault="008A36BE" w:rsidP="00A407F5">
      <w:pPr>
        <w:pStyle w:val="SingleTxt"/>
        <w:ind w:left="1755" w:hanging="488"/>
      </w:pPr>
      <w:r w:rsidRPr="008A36BE">
        <w:t>16.</w:t>
      </w:r>
      <w:r w:rsidRPr="008A36BE">
        <w:tab/>
        <w:t>Состав Бюро Комитета в 2017 и 2018 годах.</w:t>
      </w:r>
    </w:p>
    <w:p w:rsidR="008A36BE" w:rsidRPr="006C5DBA" w:rsidRDefault="008A36BE" w:rsidP="00A407F5">
      <w:pPr>
        <w:pStyle w:val="SingleTxt"/>
        <w:ind w:left="1755" w:hanging="488"/>
      </w:pPr>
      <w:r w:rsidRPr="008A36BE">
        <w:t>17.</w:t>
      </w:r>
      <w:r w:rsidRPr="008A36BE">
        <w:tab/>
        <w:t>Расписание совещаний в 2016 году.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6BE">
        <w:tab/>
        <w:t>V.</w:t>
      </w:r>
      <w:r w:rsidRPr="008A36BE">
        <w:tab/>
        <w:t>Партнерство и деятельность других организаций, представляющая интерес для Комитета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8A36BE" w:rsidRDefault="008A36BE" w:rsidP="008A36BE">
      <w:pPr>
        <w:pStyle w:val="SingleTxt"/>
      </w:pPr>
      <w:r w:rsidRPr="008A36BE">
        <w:t>18.</w:t>
      </w:r>
      <w:r w:rsidRPr="008A36BE">
        <w:tab/>
        <w:t>Изменения на транспорте в Европейском союзе.</w:t>
      </w:r>
    </w:p>
    <w:p w:rsidR="008A36BE" w:rsidRPr="008A36BE" w:rsidRDefault="008A36BE" w:rsidP="008A36BE">
      <w:pPr>
        <w:pStyle w:val="SingleTxt"/>
      </w:pPr>
      <w:r w:rsidRPr="008A36BE">
        <w:t>19.</w:t>
      </w:r>
      <w:r w:rsidRPr="008A36BE">
        <w:tab/>
        <w:t>Изменения, связанные с работой Международного транспортного форума.</w:t>
      </w:r>
    </w:p>
    <w:p w:rsidR="008A36BE" w:rsidRPr="006C5DBA" w:rsidRDefault="008A36BE" w:rsidP="008A36BE">
      <w:pPr>
        <w:pStyle w:val="SingleTxt"/>
      </w:pPr>
      <w:r w:rsidRPr="008A36BE">
        <w:t>20.</w:t>
      </w:r>
      <w:r w:rsidRPr="008A36BE">
        <w:tab/>
        <w:t>Деятельность других организаций, представляющая интерес для Комитета.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3353C5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8A36BE">
        <w:lastRenderedPageBreak/>
        <w:tab/>
      </w:r>
      <w:r w:rsidRPr="008A36BE">
        <w:rPr>
          <w:lang w:val="fr-CH"/>
        </w:rPr>
        <w:t>VI</w:t>
      </w:r>
      <w:r w:rsidRPr="008A36BE">
        <w:t>.</w:t>
      </w:r>
      <w:r w:rsidRPr="008A36BE">
        <w:tab/>
        <w:t>Разное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8A36BE" w:rsidRDefault="008A36BE" w:rsidP="008A36BE">
      <w:pPr>
        <w:pStyle w:val="SingleTxt"/>
      </w:pPr>
      <w:r w:rsidRPr="008A36BE">
        <w:t>21.</w:t>
      </w:r>
      <w:r w:rsidRPr="008A36BE">
        <w:tab/>
        <w:t>Прочие вопросы:</w:t>
      </w:r>
    </w:p>
    <w:p w:rsidR="008A36BE" w:rsidRPr="008A36BE" w:rsidRDefault="008A36BE" w:rsidP="00A049BA">
      <w:pPr>
        <w:pStyle w:val="SingleTxt"/>
        <w:tabs>
          <w:tab w:val="clear" w:pos="1742"/>
          <w:tab w:val="clear" w:pos="2218"/>
          <w:tab w:val="left" w:pos="1890"/>
        </w:tabs>
        <w:ind w:left="2241" w:hanging="488"/>
      </w:pPr>
      <w:r w:rsidRPr="008A36BE">
        <w:t>a)</w:t>
      </w:r>
      <w:r w:rsidRPr="008A36BE">
        <w:tab/>
        <w:t>вопросы, связанные с обслуживанием заседаний, и наличие докуме</w:t>
      </w:r>
      <w:r w:rsidRPr="008A36BE">
        <w:t>н</w:t>
      </w:r>
      <w:r w:rsidRPr="008A36BE">
        <w:t>тов для Комитета и его вспомогательных органов;</w:t>
      </w:r>
    </w:p>
    <w:p w:rsidR="008A36BE" w:rsidRPr="00A407F5" w:rsidRDefault="008A36BE" w:rsidP="00A049BA">
      <w:pPr>
        <w:pStyle w:val="SingleTxt"/>
        <w:tabs>
          <w:tab w:val="clear" w:pos="1742"/>
          <w:tab w:val="clear" w:pos="2218"/>
          <w:tab w:val="left" w:pos="1890"/>
        </w:tabs>
        <w:ind w:left="2241" w:hanging="488"/>
      </w:pPr>
      <w:r w:rsidRPr="008A36BE">
        <w:t>b)</w:t>
      </w:r>
      <w:r w:rsidRPr="008A36BE">
        <w:tab/>
        <w:t>сроки проведения следующей сессии.</w:t>
      </w:r>
    </w:p>
    <w:p w:rsidR="008A36BE" w:rsidRPr="00A407F5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A407F5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6BE">
        <w:tab/>
        <w:t>VII.</w:t>
      </w:r>
      <w:r w:rsidRPr="008A36BE">
        <w:tab/>
        <w:t>Перечень решений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</w:pPr>
      <w:r w:rsidRPr="008A36BE">
        <w:t>22.</w:t>
      </w:r>
      <w:r w:rsidRPr="008A36BE">
        <w:tab/>
        <w:t>Утверждение перечня основных решений семьдесят восьмой сессии.</w:t>
      </w: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8A36BE" w:rsidRPr="006C5DBA" w:rsidRDefault="008A36BE" w:rsidP="008A36BE">
      <w:pPr>
        <w:pStyle w:val="SingleTxt"/>
        <w:spacing w:after="0" w:line="120" w:lineRule="exact"/>
        <w:rPr>
          <w:sz w:val="10"/>
        </w:rPr>
      </w:pPr>
    </w:p>
    <w:p w:rsidR="00D47787" w:rsidRDefault="008A36BE" w:rsidP="008A36B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A36BE">
        <w:tab/>
        <w:t>VIII.</w:t>
      </w:r>
      <w:r w:rsidRPr="008A36BE">
        <w:tab/>
        <w:t>Ориентировочный график работы</w:t>
      </w:r>
    </w:p>
    <w:p w:rsidR="008A36BE" w:rsidRPr="008A36BE" w:rsidRDefault="008A36BE" w:rsidP="008A36B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A36BE" w:rsidRPr="008A36BE" w:rsidSect="00D4778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4T08:37:00Z" w:initials="Start">
    <w:p w:rsidR="00D47787" w:rsidRPr="008A36BE" w:rsidRDefault="00D47787">
      <w:pPr>
        <w:pStyle w:val="CommentText"/>
        <w:rPr>
          <w:lang w:val="en-US"/>
        </w:rPr>
      </w:pPr>
      <w:r>
        <w:fldChar w:fldCharType="begin"/>
      </w:r>
      <w:r w:rsidRPr="008A36BE">
        <w:rPr>
          <w:rStyle w:val="CommentReference"/>
          <w:lang w:val="en-US"/>
        </w:rPr>
        <w:instrText xml:space="preserve"> </w:instrText>
      </w:r>
      <w:r w:rsidRPr="008A36BE">
        <w:rPr>
          <w:lang w:val="en-US"/>
        </w:rPr>
        <w:instrText>PAGE \# "'Page: '#'</w:instrText>
      </w:r>
      <w:r w:rsidRPr="008A36BE">
        <w:rPr>
          <w:lang w:val="en-US"/>
        </w:rPr>
        <w:br/>
        <w:instrText>'"</w:instrText>
      </w:r>
      <w:r w:rsidRPr="008A36B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A36BE">
        <w:rPr>
          <w:lang w:val="en-US"/>
        </w:rPr>
        <w:t>&lt;&lt;ODS JOB NO&gt;&gt;N1527264R&lt;&lt;ODS JOB NO&gt;&gt;</w:t>
      </w:r>
    </w:p>
    <w:p w:rsidR="00D47787" w:rsidRDefault="00D47787">
      <w:pPr>
        <w:pStyle w:val="CommentText"/>
      </w:pPr>
      <w:r>
        <w:t>&lt;&lt;ODS DOC SYMBOL1&gt;&gt;ECE/TRANS/253&lt;&lt;ODS DOC SYMBOL1&gt;&gt;</w:t>
      </w:r>
    </w:p>
    <w:p w:rsidR="00D47787" w:rsidRDefault="00D4778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EC" w:rsidRDefault="00F368EC" w:rsidP="008A1A7A">
      <w:pPr>
        <w:spacing w:line="240" w:lineRule="auto"/>
      </w:pPr>
      <w:r>
        <w:separator/>
      </w:r>
    </w:p>
  </w:endnote>
  <w:endnote w:type="continuationSeparator" w:id="0">
    <w:p w:rsidR="00F368EC" w:rsidRDefault="00F368E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47787" w:rsidTr="00D4778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47787" w:rsidRPr="00D47787" w:rsidRDefault="00D47787" w:rsidP="00D4778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7CB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77CBD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47787" w:rsidRPr="00D47787" w:rsidRDefault="00D47787" w:rsidP="00D4778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27FCD">
            <w:rPr>
              <w:b w:val="0"/>
              <w:color w:val="000000"/>
              <w:sz w:val="14"/>
            </w:rPr>
            <w:t>GE.15-21064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47787" w:rsidRPr="00D47787" w:rsidRDefault="00D47787" w:rsidP="00D47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47787" w:rsidTr="00D4778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47787" w:rsidRPr="00D47787" w:rsidRDefault="00D47787" w:rsidP="00D4778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27FCD">
            <w:rPr>
              <w:b w:val="0"/>
              <w:color w:val="000000"/>
              <w:sz w:val="14"/>
            </w:rPr>
            <w:t>GE.15-21064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47787" w:rsidRPr="00D47787" w:rsidRDefault="00D47787" w:rsidP="00D4778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7CB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C77CBD">
              <w:rPr>
                <w:noProof/>
              </w:rPr>
              <w:t>3</w:t>
            </w:r>
          </w:fldSimple>
        </w:p>
      </w:tc>
    </w:tr>
  </w:tbl>
  <w:p w:rsidR="00D47787" w:rsidRPr="00D47787" w:rsidRDefault="00D47787" w:rsidP="00D47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47787" w:rsidTr="00D47787">
      <w:tc>
        <w:tcPr>
          <w:tcW w:w="3873" w:type="dxa"/>
        </w:tcPr>
        <w:p w:rsidR="00D47787" w:rsidRDefault="00D47787" w:rsidP="00D47787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B5FC62F" wp14:editId="7442A42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5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5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GE.15-21064 (R)</w:t>
          </w:r>
          <w:r>
            <w:rPr>
              <w:color w:val="010000"/>
            </w:rPr>
            <w:t xml:space="preserve">    1</w:t>
          </w:r>
          <w:r w:rsidR="00A049BA">
            <w:rPr>
              <w:color w:val="010000"/>
              <w:lang w:val="en-US"/>
            </w:rPr>
            <w:t>2</w:t>
          </w:r>
          <w:r>
            <w:rPr>
              <w:color w:val="010000"/>
            </w:rPr>
            <w:t>1215    141215</w:t>
          </w:r>
        </w:p>
        <w:p w:rsidR="00D47787" w:rsidRPr="00D47787" w:rsidRDefault="00D47787" w:rsidP="00D4778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*1521064*</w:t>
          </w:r>
        </w:p>
      </w:tc>
      <w:tc>
        <w:tcPr>
          <w:tcW w:w="5127" w:type="dxa"/>
        </w:tcPr>
        <w:p w:rsidR="00D47787" w:rsidRDefault="00D47787" w:rsidP="00D4778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BA07D61" wp14:editId="16F6CCD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7787" w:rsidRPr="00D47787" w:rsidRDefault="00D47787" w:rsidP="00D4778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EC" w:rsidRPr="00A407F5" w:rsidRDefault="00A407F5" w:rsidP="00A407F5">
      <w:pPr>
        <w:pStyle w:val="Footer"/>
        <w:spacing w:after="80"/>
        <w:ind w:left="792"/>
        <w:rPr>
          <w:sz w:val="16"/>
        </w:rPr>
      </w:pPr>
      <w:r w:rsidRPr="00A407F5">
        <w:rPr>
          <w:sz w:val="16"/>
        </w:rPr>
        <w:t>__________________</w:t>
      </w:r>
    </w:p>
  </w:footnote>
  <w:footnote w:type="continuationSeparator" w:id="0">
    <w:p w:rsidR="00F368EC" w:rsidRPr="00A407F5" w:rsidRDefault="00A407F5" w:rsidP="00A407F5">
      <w:pPr>
        <w:pStyle w:val="Footer"/>
        <w:spacing w:after="80"/>
        <w:ind w:left="792"/>
        <w:rPr>
          <w:sz w:val="16"/>
        </w:rPr>
      </w:pPr>
      <w:r w:rsidRPr="00A407F5">
        <w:rPr>
          <w:sz w:val="16"/>
        </w:rPr>
        <w:t>__________________</w:t>
      </w:r>
    </w:p>
  </w:footnote>
  <w:footnote w:id="1">
    <w:p w:rsidR="00A407F5" w:rsidRPr="006C5DBA" w:rsidRDefault="00A407F5" w:rsidP="00A407F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A407F5">
        <w:tab/>
      </w:r>
      <w:r w:rsidRPr="00345876">
        <w:t xml:space="preserve"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</w:t>
      </w:r>
      <w:proofErr w:type="gramStart"/>
      <w:r w:rsidRPr="00345876">
        <w:t>До сессии документы можно загрузить с веб-сайта Отдела транспорта ЕЭК ООН (</w:t>
      </w:r>
      <w:hyperlink r:id="rId1" w:history="1">
        <w:r w:rsidRPr="006C5DBA">
          <w:rPr>
            <w:rStyle w:val="Hyperlink"/>
            <w:color w:val="auto"/>
            <w:u w:val="none"/>
          </w:rPr>
          <w:t>www.unece.org/trans/main/itc/itc.html</w:t>
        </w:r>
      </w:hyperlink>
      <w:r w:rsidRPr="00345876">
        <w:t>) или с общедоступного веб-сайта Системы официальной документации (СОД) ООН (</w:t>
      </w:r>
      <w:hyperlink r:id="rId2" w:history="1">
        <w:r w:rsidRPr="000A3EB4">
          <w:t>http://documents.un.org/</w:t>
        </w:r>
      </w:hyperlink>
      <w:r w:rsidRPr="00345876">
        <w:t>).</w:t>
      </w:r>
      <w:proofErr w:type="gramEnd"/>
      <w:r w:rsidRPr="00345876">
        <w:t xml:space="preserve"> В ходе сессии официальные документы можно получить в Секции распространения документов ЮНОГ (комната C. 337, третий этаж, Дворец Наций).</w:t>
      </w:r>
    </w:p>
  </w:footnote>
  <w:footnote w:id="2">
    <w:p w:rsidR="00A407F5" w:rsidRPr="00A407F5" w:rsidRDefault="00A407F5" w:rsidP="000A3EB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C5DBA">
        <w:tab/>
      </w:r>
      <w:r>
        <w:rPr>
          <w:rStyle w:val="FootnoteReference"/>
        </w:rPr>
        <w:footnoteRef/>
      </w:r>
      <w:r w:rsidRPr="00A407F5">
        <w:tab/>
      </w:r>
      <w:r w:rsidRPr="00345876">
        <w:t xml:space="preserve">Делегатов просят заполнить регистрационный бланк, имеющийся на веб-сайте Отдела транспорта ЕЭК ООН в Интернете </w:t>
      </w:r>
      <w:r w:rsidRPr="000A3EB4">
        <w:t>(</w:t>
      </w:r>
      <w:hyperlink r:id="rId3" w:history="1">
        <w:r w:rsidR="000A3EB4" w:rsidRPr="000A3EB4">
          <w:t>http://www.unece.org/trans/registfr.html</w:t>
        </w:r>
      </w:hyperlink>
      <w:r w:rsidRPr="000A3EB4">
        <w:t xml:space="preserve">). Его </w:t>
      </w:r>
      <w:r w:rsidRPr="00345876">
        <w:t xml:space="preserve">следует направить в секретариат ЕЭК ООН не </w:t>
      </w:r>
      <w:proofErr w:type="gramStart"/>
      <w:r w:rsidRPr="00345876">
        <w:t>позднее</w:t>
      </w:r>
      <w:proofErr w:type="gramEnd"/>
      <w:r w:rsidRPr="00345876">
        <w:t xml:space="preserve"> чем за одну неделю до начала сессии по электронной почте (George.Georgiadis@unece.org или Anastasia.Barinova@unece.org) либо по факсу (41 22 917 0039). По прибытии во Дворец Наций делег</w:t>
      </w:r>
      <w:r w:rsidR="003E74B7">
        <w:t>атам следует получить пропуск в </w:t>
      </w:r>
      <w:r w:rsidRPr="00345876">
        <w:t xml:space="preserve">Секции охраны и безопасности ЮНОГ, которая находится у въезда со стороны </w:t>
      </w:r>
      <w:proofErr w:type="spellStart"/>
      <w:r w:rsidRPr="00345876">
        <w:t>Прени</w:t>
      </w:r>
      <w:proofErr w:type="spellEnd"/>
      <w:r w:rsidRPr="00345876">
        <w:t xml:space="preserve"> </w:t>
      </w:r>
      <w:r w:rsidRPr="00A407F5">
        <w:br/>
      </w:r>
      <w:r w:rsidRPr="00345876">
        <w:t>(</w:t>
      </w:r>
      <w:proofErr w:type="spellStart"/>
      <w:r w:rsidRPr="00345876">
        <w:t>Pregny</w:t>
      </w:r>
      <w:proofErr w:type="spellEnd"/>
      <w:r w:rsidRPr="00345876">
        <w:t xml:space="preserve"> </w:t>
      </w:r>
      <w:proofErr w:type="spellStart"/>
      <w:r w:rsidRPr="00345876">
        <w:t>Gate</w:t>
      </w:r>
      <w:proofErr w:type="spellEnd"/>
      <w:r w:rsidRPr="00345876">
        <w:t xml:space="preserve">) (14, </w:t>
      </w:r>
      <w:proofErr w:type="spellStart"/>
      <w:r w:rsidRPr="00345876">
        <w:t>Avenue</w:t>
      </w:r>
      <w:proofErr w:type="spellEnd"/>
      <w:r w:rsidRPr="00345876">
        <w:t xml:space="preserve"> </w:t>
      </w:r>
      <w:proofErr w:type="spellStart"/>
      <w:r w:rsidRPr="00345876">
        <w:t>de</w:t>
      </w:r>
      <w:proofErr w:type="spellEnd"/>
      <w:r w:rsidRPr="00345876">
        <w:t xml:space="preserve"> </w:t>
      </w:r>
      <w:proofErr w:type="spellStart"/>
      <w:r w:rsidRPr="00345876">
        <w:t>la</w:t>
      </w:r>
      <w:proofErr w:type="spellEnd"/>
      <w:r w:rsidRPr="00345876">
        <w:t xml:space="preserve"> </w:t>
      </w:r>
      <w:proofErr w:type="spellStart"/>
      <w:r w:rsidRPr="00345876">
        <w:t>Paix</w:t>
      </w:r>
      <w:proofErr w:type="spellEnd"/>
      <w:r w:rsidRPr="00345876">
        <w:t xml:space="preserve">). В случае затруднений </w:t>
      </w:r>
      <w:r>
        <w:t>просьба связаться по телефону с</w:t>
      </w:r>
      <w:r>
        <w:rPr>
          <w:lang w:val="en-US"/>
        </w:rPr>
        <w:t> </w:t>
      </w:r>
      <w:r w:rsidRPr="00345876">
        <w:t xml:space="preserve">секретариатом (внутренний номер 72761). Схему Дворца Наций и другую полезную информацию см. на веб-сайте </w:t>
      </w:r>
      <w:hyperlink r:id="rId4" w:history="1">
        <w:r w:rsidRPr="000A3EB4">
          <w:t>www.unece.org/meetings/practical.htm</w:t>
        </w:r>
      </w:hyperlink>
      <w:r w:rsidRPr="0034587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47787" w:rsidTr="00D4778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47787" w:rsidRPr="00D47787" w:rsidRDefault="00D47787" w:rsidP="00D4778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27FCD">
            <w:rPr>
              <w:b/>
            </w:rPr>
            <w:t>ECE/TRANS/253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47787" w:rsidRDefault="00D47787" w:rsidP="00D47787">
          <w:pPr>
            <w:pStyle w:val="Header"/>
          </w:pPr>
        </w:p>
      </w:tc>
    </w:tr>
  </w:tbl>
  <w:p w:rsidR="00D47787" w:rsidRPr="00D47787" w:rsidRDefault="00D47787" w:rsidP="00D47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47787" w:rsidTr="00D4778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47787" w:rsidRDefault="00D47787" w:rsidP="00D4778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47787" w:rsidRPr="00D47787" w:rsidRDefault="00D47787" w:rsidP="00D4778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27FCD">
            <w:rPr>
              <w:b/>
            </w:rPr>
            <w:t>ECE/TRANS/253</w:t>
          </w:r>
          <w:r>
            <w:rPr>
              <w:b/>
            </w:rPr>
            <w:fldChar w:fldCharType="end"/>
          </w:r>
        </w:p>
      </w:tc>
    </w:tr>
  </w:tbl>
  <w:p w:rsidR="00D47787" w:rsidRPr="00D47787" w:rsidRDefault="00D47787" w:rsidP="00D47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47787" w:rsidTr="00D4778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47787" w:rsidRPr="00D47787" w:rsidRDefault="00D47787" w:rsidP="00D4778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47787" w:rsidRDefault="00D47787" w:rsidP="00D4778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47787" w:rsidRPr="00D47787" w:rsidRDefault="00D47787" w:rsidP="00D4778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/TRANS/253</w:t>
          </w:r>
        </w:p>
      </w:tc>
    </w:tr>
    <w:tr w:rsidR="00D47787" w:rsidRPr="006C5DBA" w:rsidTr="00D4778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7787" w:rsidRPr="00D47787" w:rsidRDefault="00D47787" w:rsidP="00D4778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BE33344" wp14:editId="7632868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7787" w:rsidRPr="00D47787" w:rsidRDefault="00D47787" w:rsidP="00D4778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7787" w:rsidRPr="00D47787" w:rsidRDefault="00D47787" w:rsidP="00D4778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47787" w:rsidRPr="008A36BE" w:rsidRDefault="00D47787" w:rsidP="00D47787">
          <w:pPr>
            <w:pStyle w:val="Distribution"/>
            <w:rPr>
              <w:color w:val="000000"/>
              <w:lang w:val="en-US"/>
            </w:rPr>
          </w:pPr>
          <w:r w:rsidRPr="008A36BE">
            <w:rPr>
              <w:color w:val="000000"/>
              <w:lang w:val="en-US"/>
            </w:rPr>
            <w:t>Distr.: General</w:t>
          </w:r>
        </w:p>
        <w:p w:rsidR="00D47787" w:rsidRPr="008A36BE" w:rsidRDefault="00D47787" w:rsidP="00D47787">
          <w:pPr>
            <w:pStyle w:val="Publication"/>
            <w:rPr>
              <w:color w:val="000000"/>
              <w:lang w:val="en-US"/>
            </w:rPr>
          </w:pPr>
          <w:r w:rsidRPr="008A36BE">
            <w:rPr>
              <w:color w:val="000000"/>
              <w:lang w:val="en-US"/>
            </w:rPr>
            <w:t>1 December 2015</w:t>
          </w:r>
        </w:p>
        <w:p w:rsidR="00D47787" w:rsidRPr="008A36BE" w:rsidRDefault="00D47787" w:rsidP="00D47787">
          <w:pPr>
            <w:rPr>
              <w:color w:val="000000"/>
              <w:lang w:val="en-US"/>
            </w:rPr>
          </w:pPr>
          <w:r w:rsidRPr="008A36BE">
            <w:rPr>
              <w:color w:val="000000"/>
              <w:lang w:val="en-US"/>
            </w:rPr>
            <w:t>Russian</w:t>
          </w:r>
        </w:p>
        <w:p w:rsidR="00D47787" w:rsidRPr="008A36BE" w:rsidRDefault="00D47787" w:rsidP="00D47787">
          <w:pPr>
            <w:pStyle w:val="Original"/>
            <w:rPr>
              <w:color w:val="000000"/>
              <w:lang w:val="en-US"/>
            </w:rPr>
          </w:pPr>
          <w:r w:rsidRPr="008A36BE">
            <w:rPr>
              <w:color w:val="000000"/>
              <w:lang w:val="en-US"/>
            </w:rPr>
            <w:t>Original: English</w:t>
          </w:r>
        </w:p>
        <w:p w:rsidR="00D47787" w:rsidRPr="008A36BE" w:rsidRDefault="00D47787" w:rsidP="00D47787">
          <w:pPr>
            <w:rPr>
              <w:lang w:val="en-US"/>
            </w:rPr>
          </w:pPr>
        </w:p>
      </w:tc>
    </w:tr>
  </w:tbl>
  <w:p w:rsidR="00D47787" w:rsidRPr="008A36BE" w:rsidRDefault="00D47787" w:rsidP="00D4778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064*"/>
    <w:docVar w:name="CreationDt" w:val="12/14/2015 8:37: AM"/>
    <w:docVar w:name="DocCategory" w:val="Doc"/>
    <w:docVar w:name="DocType" w:val="Final"/>
    <w:docVar w:name="DutyStation" w:val="Geneva"/>
    <w:docVar w:name="FooterJN" w:val="GE.15-21064"/>
    <w:docVar w:name="jobn" w:val="GE.15-21064 (R)"/>
    <w:docVar w:name="jobnDT" w:val="GE.15-21064 (R)   141215"/>
    <w:docVar w:name="jobnDTDT" w:val="GE.15-21064 (R)   141215   141215"/>
    <w:docVar w:name="JobNo" w:val="GE.1521064R"/>
    <w:docVar w:name="JobNo2" w:val="1527264R"/>
    <w:docVar w:name="LocalDrive" w:val="0"/>
    <w:docVar w:name="OandT" w:val="ei"/>
    <w:docVar w:name="PaperSize" w:val="A4"/>
    <w:docVar w:name="sss1" w:val="ECE/TRANS/253"/>
    <w:docVar w:name="sss2" w:val="-"/>
    <w:docVar w:name="Symbol1" w:val="ECE/TRANS/253"/>
    <w:docVar w:name="Symbol2" w:val="-"/>
  </w:docVars>
  <w:rsids>
    <w:rsidRoot w:val="00F368E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3EB4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C73BC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53C5"/>
    <w:rsid w:val="00337D91"/>
    <w:rsid w:val="00343513"/>
    <w:rsid w:val="00346BFB"/>
    <w:rsid w:val="00350756"/>
    <w:rsid w:val="003542EE"/>
    <w:rsid w:val="003542F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E74B7"/>
    <w:rsid w:val="00401CDD"/>
    <w:rsid w:val="00402244"/>
    <w:rsid w:val="00410A3F"/>
    <w:rsid w:val="00415DEC"/>
    <w:rsid w:val="00415FF8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C5DBA"/>
    <w:rsid w:val="006D58BE"/>
    <w:rsid w:val="006E1418"/>
    <w:rsid w:val="006E7984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36BE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161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2AF5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49BA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07F5"/>
    <w:rsid w:val="00A452CF"/>
    <w:rsid w:val="00A46574"/>
    <w:rsid w:val="00A471A3"/>
    <w:rsid w:val="00A47B1B"/>
    <w:rsid w:val="00A56D0A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77CBD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7787"/>
    <w:rsid w:val="00D554C9"/>
    <w:rsid w:val="00D60D62"/>
    <w:rsid w:val="00D61BB7"/>
    <w:rsid w:val="00D62DA9"/>
    <w:rsid w:val="00D70D97"/>
    <w:rsid w:val="00D7165D"/>
    <w:rsid w:val="00D75705"/>
    <w:rsid w:val="00D80424"/>
    <w:rsid w:val="00D86E9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27FCD"/>
    <w:rsid w:val="00F30632"/>
    <w:rsid w:val="00F31B97"/>
    <w:rsid w:val="00F32BCD"/>
    <w:rsid w:val="00F33544"/>
    <w:rsid w:val="00F35ACF"/>
    <w:rsid w:val="00F36445"/>
    <w:rsid w:val="00F368EC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4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8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8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6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6BE"/>
    <w:rPr>
      <w:rFonts w:ascii="Consolas" w:hAnsi="Consolas" w:cs="Times New Roman"/>
      <w:spacing w:val="4"/>
      <w:w w:val="103"/>
      <w:kern w:val="14"/>
      <w:sz w:val="21"/>
      <w:szCs w:val="21"/>
      <w:lang w:val="ru-RU"/>
    </w:rPr>
  </w:style>
  <w:style w:type="character" w:styleId="Hyperlink">
    <w:name w:val="Hyperlink"/>
    <w:basedOn w:val="DefaultParagraphFont"/>
    <w:uiPriority w:val="99"/>
    <w:unhideWhenUsed/>
    <w:rsid w:val="00A40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4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8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8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6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6BE"/>
    <w:rPr>
      <w:rFonts w:ascii="Consolas" w:hAnsi="Consolas" w:cs="Times New Roman"/>
      <w:spacing w:val="4"/>
      <w:w w:val="103"/>
      <w:kern w:val="14"/>
      <w:sz w:val="21"/>
      <w:szCs w:val="21"/>
      <w:lang w:val="ru-RU"/>
    </w:rPr>
  </w:style>
  <w:style w:type="character" w:styleId="Hyperlink">
    <w:name w:val="Hyperlink"/>
    <w:basedOn w:val="DefaultParagraphFont"/>
    <w:uiPriority w:val="99"/>
    <w:unhideWhenUsed/>
    <w:rsid w:val="00A40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registfr.html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itc/itc.html" TargetMode="External"/><Relationship Id="rId4" Type="http://schemas.openxmlformats.org/officeDocument/2006/relationships/hyperlink" Target="http://www.unece.org/meetings/practical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D7B7-B8EF-452E-BC01-AAC32FD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Anastasia Barinova</cp:lastModifiedBy>
  <cp:revision>2</cp:revision>
  <cp:lastPrinted>2015-12-14T08:46:00Z</cp:lastPrinted>
  <dcterms:created xsi:type="dcterms:W3CDTF">2016-01-18T10:19:00Z</dcterms:created>
  <dcterms:modified xsi:type="dcterms:W3CDTF">2016-01-18T10:19:00Z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1521064R</vt:lpwstr>
  </property>
  <property fmtid="{D5CDD505-2E9C-101B-9397-08002B2CF9AE}" pid="3" name="ODSRefJobNo">
    <vt:lpwstr>1527264R</vt:lpwstr>
  </property>
  <property fmtid="{D5CDD505-2E9C-101B-9397-08002B2CF9AE}" pid="4" name="Symbol1">
    <vt:lpwstr>ECE/TRANS/253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141215</vt:lpwstr>
  </property>
</Properties>
</file>