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92606" w:rsidTr="009E6CB7">
        <w:trPr>
          <w:cantSplit/>
          <w:trHeight w:hRule="exact" w:val="851"/>
        </w:trPr>
        <w:tc>
          <w:tcPr>
            <w:tcW w:w="1276" w:type="dxa"/>
            <w:tcBorders>
              <w:bottom w:val="single" w:sz="4" w:space="0" w:color="auto"/>
            </w:tcBorders>
            <w:vAlign w:val="bottom"/>
          </w:tcPr>
          <w:p w:rsidR="009E6CB7" w:rsidRPr="00692606" w:rsidRDefault="009E6CB7" w:rsidP="009E6CB7">
            <w:pPr>
              <w:spacing w:after="80"/>
            </w:pPr>
          </w:p>
        </w:tc>
        <w:tc>
          <w:tcPr>
            <w:tcW w:w="2268" w:type="dxa"/>
            <w:tcBorders>
              <w:bottom w:val="single" w:sz="4" w:space="0" w:color="auto"/>
            </w:tcBorders>
            <w:vAlign w:val="bottom"/>
          </w:tcPr>
          <w:p w:rsidR="009E6CB7" w:rsidRPr="00692606" w:rsidRDefault="009E6CB7" w:rsidP="009E6CB7">
            <w:pPr>
              <w:spacing w:after="80" w:line="300" w:lineRule="exact"/>
              <w:rPr>
                <w:b/>
                <w:sz w:val="24"/>
                <w:szCs w:val="24"/>
              </w:rPr>
            </w:pPr>
            <w:r w:rsidRPr="00692606">
              <w:rPr>
                <w:sz w:val="28"/>
                <w:szCs w:val="28"/>
              </w:rPr>
              <w:t>United Nations</w:t>
            </w:r>
          </w:p>
        </w:tc>
        <w:tc>
          <w:tcPr>
            <w:tcW w:w="6095" w:type="dxa"/>
            <w:gridSpan w:val="2"/>
            <w:tcBorders>
              <w:bottom w:val="single" w:sz="4" w:space="0" w:color="auto"/>
            </w:tcBorders>
            <w:vAlign w:val="bottom"/>
          </w:tcPr>
          <w:p w:rsidR="009E6CB7" w:rsidRPr="00692606" w:rsidRDefault="003A5F98" w:rsidP="00646BFB">
            <w:pPr>
              <w:jc w:val="right"/>
            </w:pPr>
            <w:r w:rsidRPr="00692606">
              <w:rPr>
                <w:sz w:val="40"/>
              </w:rPr>
              <w:t>ECE</w:t>
            </w:r>
            <w:r w:rsidRPr="00692606">
              <w:t>/TRANS/2016/</w:t>
            </w:r>
            <w:r w:rsidR="00B10812" w:rsidRPr="00692606">
              <w:t>30</w:t>
            </w:r>
          </w:p>
        </w:tc>
      </w:tr>
      <w:tr w:rsidR="009E6CB7" w:rsidRPr="00692606" w:rsidTr="009E6CB7">
        <w:trPr>
          <w:cantSplit/>
          <w:trHeight w:hRule="exact" w:val="2835"/>
        </w:trPr>
        <w:tc>
          <w:tcPr>
            <w:tcW w:w="1276" w:type="dxa"/>
            <w:tcBorders>
              <w:top w:val="single" w:sz="4" w:space="0" w:color="auto"/>
              <w:bottom w:val="single" w:sz="12" w:space="0" w:color="auto"/>
            </w:tcBorders>
          </w:tcPr>
          <w:p w:rsidR="009E6CB7" w:rsidRPr="00692606" w:rsidRDefault="00BC7F91" w:rsidP="009E6CB7">
            <w:pPr>
              <w:spacing w:before="120"/>
            </w:pPr>
            <w:r w:rsidRPr="00CA457E">
              <w:rPr>
                <w:noProof/>
                <w:lang w:val="en-US"/>
              </w:rPr>
              <w:drawing>
                <wp:inline distT="0" distB="0" distL="0" distR="0" wp14:anchorId="0B8704DB" wp14:editId="55D204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692606" w:rsidRDefault="009E6CB7" w:rsidP="009E6CB7">
            <w:pPr>
              <w:spacing w:before="120" w:line="420" w:lineRule="exact"/>
              <w:rPr>
                <w:sz w:val="40"/>
                <w:szCs w:val="40"/>
              </w:rPr>
            </w:pPr>
            <w:r w:rsidRPr="00692606">
              <w:rPr>
                <w:b/>
                <w:sz w:val="40"/>
                <w:szCs w:val="40"/>
              </w:rPr>
              <w:t>Economic and Social Council</w:t>
            </w:r>
          </w:p>
        </w:tc>
        <w:tc>
          <w:tcPr>
            <w:tcW w:w="2835" w:type="dxa"/>
            <w:tcBorders>
              <w:top w:val="single" w:sz="4" w:space="0" w:color="auto"/>
              <w:bottom w:val="single" w:sz="12" w:space="0" w:color="auto"/>
            </w:tcBorders>
          </w:tcPr>
          <w:p w:rsidR="009E6CB7" w:rsidRPr="00692606" w:rsidRDefault="003A5F98" w:rsidP="003A5F98">
            <w:pPr>
              <w:spacing w:before="240" w:line="240" w:lineRule="exact"/>
            </w:pPr>
            <w:r w:rsidRPr="00692606">
              <w:t>Distr.: General</w:t>
            </w:r>
          </w:p>
          <w:p w:rsidR="003A5F98" w:rsidRPr="00692606" w:rsidRDefault="003A5F98" w:rsidP="003A5F98">
            <w:pPr>
              <w:spacing w:line="240" w:lineRule="exact"/>
            </w:pPr>
            <w:r w:rsidRPr="00692606">
              <w:t>15 December 2015</w:t>
            </w:r>
          </w:p>
          <w:p w:rsidR="003A5F98" w:rsidRPr="00692606" w:rsidRDefault="003A5F98" w:rsidP="003A5F98">
            <w:pPr>
              <w:spacing w:line="240" w:lineRule="exact"/>
            </w:pPr>
          </w:p>
          <w:p w:rsidR="003A5F98" w:rsidRPr="00692606" w:rsidRDefault="003A5F98" w:rsidP="003A5F98">
            <w:pPr>
              <w:spacing w:line="240" w:lineRule="exact"/>
            </w:pPr>
            <w:r w:rsidRPr="00692606">
              <w:t>Original: English</w:t>
            </w:r>
          </w:p>
        </w:tc>
      </w:tr>
    </w:tbl>
    <w:p w:rsidR="003A5F98" w:rsidRPr="00692606" w:rsidRDefault="003A5F98" w:rsidP="003A5F98">
      <w:pPr>
        <w:spacing w:before="120"/>
        <w:rPr>
          <w:b/>
          <w:bCs/>
          <w:sz w:val="28"/>
          <w:szCs w:val="28"/>
        </w:rPr>
      </w:pPr>
      <w:r w:rsidRPr="00692606">
        <w:rPr>
          <w:b/>
          <w:bCs/>
          <w:sz w:val="28"/>
          <w:szCs w:val="28"/>
        </w:rPr>
        <w:t>Economic Commission for Europe</w:t>
      </w:r>
    </w:p>
    <w:p w:rsidR="003A5F98" w:rsidRPr="00692606" w:rsidRDefault="003A5F98" w:rsidP="003A5F98">
      <w:pPr>
        <w:spacing w:before="120"/>
        <w:rPr>
          <w:sz w:val="28"/>
          <w:szCs w:val="28"/>
        </w:rPr>
      </w:pPr>
      <w:r w:rsidRPr="00692606">
        <w:rPr>
          <w:sz w:val="28"/>
          <w:szCs w:val="28"/>
        </w:rPr>
        <w:t>Inland Transport Committee</w:t>
      </w:r>
    </w:p>
    <w:p w:rsidR="003A5F98" w:rsidRPr="00E114B5" w:rsidRDefault="003A5F98" w:rsidP="003A5F98">
      <w:pPr>
        <w:spacing w:before="120"/>
        <w:rPr>
          <w:b/>
          <w:bCs/>
        </w:rPr>
      </w:pPr>
      <w:r w:rsidRPr="00E114B5">
        <w:rPr>
          <w:b/>
          <w:bCs/>
        </w:rPr>
        <w:t xml:space="preserve">Seventy-eighth </w:t>
      </w:r>
      <w:proofErr w:type="gramStart"/>
      <w:r w:rsidRPr="00E114B5">
        <w:rPr>
          <w:b/>
          <w:bCs/>
        </w:rPr>
        <w:t>session</w:t>
      </w:r>
      <w:proofErr w:type="gramEnd"/>
    </w:p>
    <w:p w:rsidR="003A5F98" w:rsidRPr="00692606" w:rsidRDefault="003A5F98" w:rsidP="003A5F98">
      <w:pPr>
        <w:rPr>
          <w:b/>
          <w:bCs/>
        </w:rPr>
      </w:pPr>
      <w:r w:rsidRPr="00692606">
        <w:t>Geneva</w:t>
      </w:r>
      <w:r w:rsidR="00DE71F6" w:rsidRPr="00692606">
        <w:t>, 23–26 February 2016</w:t>
      </w:r>
      <w:r w:rsidR="00DE71F6" w:rsidRPr="00692606">
        <w:br/>
        <w:t>Item 13</w:t>
      </w:r>
      <w:r w:rsidRPr="00692606">
        <w:t xml:space="preserve"> of the provisional agenda</w:t>
      </w:r>
      <w:r w:rsidRPr="00692606">
        <w:br/>
      </w:r>
      <w:r w:rsidR="00DE71F6" w:rsidRPr="00692606">
        <w:rPr>
          <w:b/>
          <w:bCs/>
        </w:rPr>
        <w:t xml:space="preserve">Programme of work and biennial evaluation for 2016–2017 </w:t>
      </w:r>
      <w:r w:rsidR="00DE71F6" w:rsidRPr="00692606">
        <w:rPr>
          <w:b/>
          <w:bCs/>
        </w:rPr>
        <w:br/>
        <w:t>and Strategic Framework for 2018–2019</w:t>
      </w:r>
    </w:p>
    <w:p w:rsidR="00DE71F6" w:rsidRPr="00692606" w:rsidRDefault="00DE71F6" w:rsidP="00DE71F6">
      <w:pPr>
        <w:pStyle w:val="HChG"/>
      </w:pPr>
      <w:r w:rsidRPr="00692606">
        <w:tab/>
      </w:r>
      <w:r w:rsidRPr="00692606">
        <w:tab/>
        <w:t>Draft Strategic Framework for the period 2018-2019</w:t>
      </w:r>
    </w:p>
    <w:p w:rsidR="00DE71F6" w:rsidRPr="00692606" w:rsidRDefault="00DE71F6" w:rsidP="00DE71F6">
      <w:pPr>
        <w:pStyle w:val="H1G"/>
      </w:pPr>
      <w:r w:rsidRPr="00692606">
        <w:tab/>
      </w:r>
      <w:r w:rsidRPr="00692606">
        <w:tab/>
        <w:t xml:space="preserve">Note by the secretariat </w:t>
      </w:r>
      <w:bookmarkStart w:id="0" w:name="_GoBack"/>
      <w:bookmarkEnd w:id="0"/>
    </w:p>
    <w:p w:rsidR="00DE71F6" w:rsidRPr="00692606" w:rsidRDefault="00DE71F6" w:rsidP="00DE71F6">
      <w:pPr>
        <w:pStyle w:val="HChG"/>
      </w:pPr>
      <w:r w:rsidRPr="00692606">
        <w:tab/>
        <w:t>I.</w:t>
      </w:r>
      <w:r w:rsidRPr="00692606">
        <w:tab/>
        <w:t xml:space="preserve">Introduction </w:t>
      </w:r>
    </w:p>
    <w:p w:rsidR="00DE71F6" w:rsidRPr="00692606" w:rsidRDefault="00DE71F6" w:rsidP="00DE71F6">
      <w:pPr>
        <w:pStyle w:val="SingleTxtG"/>
      </w:pPr>
      <w:r w:rsidRPr="00692606">
        <w:t xml:space="preserve">1. </w:t>
      </w:r>
      <w:r w:rsidRPr="00692606">
        <w:tab/>
        <w:t xml:space="preserve">The </w:t>
      </w:r>
      <w:r w:rsidR="00692606">
        <w:t>d</w:t>
      </w:r>
      <w:r w:rsidR="00692606" w:rsidRPr="00692606">
        <w:t xml:space="preserve">raft </w:t>
      </w:r>
      <w:r w:rsidRPr="00692606">
        <w:t>Strategic Framework</w:t>
      </w:r>
      <w:r w:rsidR="00D672A0">
        <w:t xml:space="preserve">, </w:t>
      </w:r>
      <w:r w:rsidRPr="00692606">
        <w:t xml:space="preserve">the expected accomplishments and the strategy have been prepared </w:t>
      </w:r>
      <w:proofErr w:type="gramStart"/>
      <w:r w:rsidRPr="00692606">
        <w:t>on the basis of</w:t>
      </w:r>
      <w:proofErr w:type="gramEnd"/>
      <w:r w:rsidRPr="00692606">
        <w:t xml:space="preserve"> the mandate of the Transport Subprogramme, the accomplishments achieved in the previous biennium and the United Nations guidelines for preparing the strategic biennial plans. The Strategic Framework must be reviewed by the Sectoral Committees, (or their Bureaux – in case </w:t>
      </w:r>
      <w:r w:rsidR="00692606">
        <w:t>the</w:t>
      </w:r>
      <w:r w:rsidR="00692606" w:rsidRPr="00692606">
        <w:t xml:space="preserve"> </w:t>
      </w:r>
      <w:r w:rsidRPr="00692606">
        <w:t xml:space="preserve">Committees </w:t>
      </w:r>
      <w:r w:rsidR="00692606">
        <w:t xml:space="preserve">do </w:t>
      </w:r>
      <w:r w:rsidRPr="00692606">
        <w:t xml:space="preserve">not meet during the last four months of 2015) before its submission to the Executive Committee in December 2015 and to United Nations Headquarters in early 2016. The Bureau </w:t>
      </w:r>
      <w:proofErr w:type="gramStart"/>
      <w:r w:rsidRPr="00692606">
        <w:rPr>
          <w:b/>
          <w:bCs/>
        </w:rPr>
        <w:t>is invited</w:t>
      </w:r>
      <w:proofErr w:type="gramEnd"/>
      <w:r w:rsidRPr="00692606">
        <w:rPr>
          <w:b/>
          <w:bCs/>
        </w:rPr>
        <w:t xml:space="preserve"> to consider and adopt </w:t>
      </w:r>
      <w:r w:rsidRPr="00692606">
        <w:t xml:space="preserve">the UNECE Transport </w:t>
      </w:r>
      <w:proofErr w:type="spellStart"/>
      <w:r w:rsidRPr="00692606">
        <w:t>Subprogramme</w:t>
      </w:r>
      <w:proofErr w:type="spellEnd"/>
      <w:r w:rsidRPr="00692606">
        <w:t xml:space="preserve"> </w:t>
      </w:r>
      <w:r w:rsidR="00692606">
        <w:t>d</w:t>
      </w:r>
      <w:r w:rsidRPr="00692606">
        <w:t>raft Strategic Framework (biennial programme plan) for the period 2018–2019.</w:t>
      </w:r>
    </w:p>
    <w:p w:rsidR="00DE71F6" w:rsidRPr="00692606" w:rsidRDefault="00DE71F6" w:rsidP="00DE71F6">
      <w:pPr>
        <w:pStyle w:val="HChG"/>
      </w:pPr>
      <w:r w:rsidRPr="00692606">
        <w:br w:type="page"/>
      </w:r>
      <w:r w:rsidRPr="00692606">
        <w:lastRenderedPageBreak/>
        <w:tab/>
        <w:t>II.</w:t>
      </w:r>
      <w:r w:rsidRPr="00692606">
        <w:tab/>
      </w:r>
      <w:proofErr w:type="spellStart"/>
      <w:r w:rsidRPr="00692606">
        <w:t>Subprogrammes</w:t>
      </w:r>
      <w:proofErr w:type="spellEnd"/>
    </w:p>
    <w:p w:rsidR="00DE71F6" w:rsidRPr="00692606" w:rsidRDefault="00DE71F6" w:rsidP="00DE71F6">
      <w:pPr>
        <w:pStyle w:val="H1G"/>
      </w:pPr>
      <w:r w:rsidRPr="00692606">
        <w:tab/>
      </w:r>
      <w:r w:rsidRPr="00692606">
        <w:tab/>
        <w:t>Subprogramme 2</w:t>
      </w:r>
      <w:r w:rsidRPr="00692606">
        <w:br/>
        <w:t>Transport</w:t>
      </w:r>
    </w:p>
    <w:tbl>
      <w:tblPr>
        <w:tblW w:w="9639" w:type="dxa"/>
        <w:tblInd w:w="18" w:type="dxa"/>
        <w:tblCellMar>
          <w:left w:w="0" w:type="dxa"/>
          <w:right w:w="0" w:type="dxa"/>
        </w:tblCellMar>
        <w:tblLook w:val="04A0" w:firstRow="1" w:lastRow="0" w:firstColumn="1" w:lastColumn="0" w:noHBand="0" w:noVBand="1"/>
      </w:tblPr>
      <w:tblGrid>
        <w:gridCol w:w="2851"/>
        <w:gridCol w:w="3188"/>
        <w:gridCol w:w="893"/>
        <w:gridCol w:w="948"/>
        <w:gridCol w:w="884"/>
        <w:gridCol w:w="875"/>
      </w:tblGrid>
      <w:tr w:rsidR="00DE71F6" w:rsidRPr="00692606" w:rsidTr="001354FE">
        <w:tc>
          <w:tcPr>
            <w:tcW w:w="9639" w:type="dxa"/>
            <w:gridSpan w:val="6"/>
            <w:tcBorders>
              <w:top w:val="single" w:sz="4" w:space="0" w:color="auto"/>
              <w:bottom w:val="single" w:sz="4" w:space="0" w:color="auto"/>
            </w:tcBorders>
            <w:hideMark/>
          </w:tcPr>
          <w:p w:rsidR="00DE71F6" w:rsidRPr="00692606" w:rsidRDefault="00DE71F6" w:rsidP="001354FE">
            <w:pPr>
              <w:keepNext/>
              <w:keepLines/>
              <w:spacing w:before="80" w:after="120" w:line="210" w:lineRule="exact"/>
              <w:ind w:right="43"/>
              <w:rPr>
                <w:rFonts w:eastAsia="Calibri"/>
                <w:spacing w:val="4"/>
                <w:w w:val="103"/>
                <w:kern w:val="14"/>
              </w:rPr>
            </w:pPr>
            <w:r w:rsidRPr="00692606">
              <w:rPr>
                <w:rFonts w:eastAsia="Calibri"/>
                <w:b/>
                <w:spacing w:val="4"/>
                <w:w w:val="103"/>
                <w:kern w:val="14"/>
              </w:rPr>
              <w:t>Objective of the Organization:</w:t>
            </w:r>
            <w:r w:rsidRPr="00692606">
              <w:rPr>
                <w:rFonts w:eastAsia="Calibri"/>
                <w:spacing w:val="4"/>
                <w:w w:val="103"/>
                <w:kern w:val="14"/>
              </w:rPr>
              <w:t xml:space="preserve"> To promote sustainable transport which is safe, clean and competitive, through the development of freight and personal mobility by inland transport modes, by improving traffic safety, environmental performance, energy efficiency, inland transport security and efficient service provision in the transport sector</w:t>
            </w:r>
          </w:p>
        </w:tc>
      </w:tr>
      <w:tr w:rsidR="00DE71F6" w:rsidRPr="00692606" w:rsidTr="001354FE">
        <w:tc>
          <w:tcPr>
            <w:tcW w:w="2851" w:type="dxa"/>
            <w:vMerge w:val="restart"/>
            <w:tcBorders>
              <w:top w:val="single" w:sz="4" w:space="0" w:color="auto"/>
            </w:tcBorders>
            <w:vAlign w:val="bottom"/>
            <w:hideMark/>
          </w:tcPr>
          <w:p w:rsidR="00DE71F6" w:rsidRPr="00692606" w:rsidRDefault="00DE71F6" w:rsidP="001354FE">
            <w:pPr>
              <w:keepNext/>
              <w:keepLines/>
              <w:spacing w:before="81" w:after="81" w:line="160" w:lineRule="exact"/>
              <w:ind w:right="43"/>
              <w:rPr>
                <w:rFonts w:eastAsia="Calibri"/>
                <w:i/>
                <w:spacing w:val="4"/>
                <w:w w:val="103"/>
                <w:kern w:val="14"/>
              </w:rPr>
            </w:pPr>
            <w:r w:rsidRPr="00692606">
              <w:rPr>
                <w:rFonts w:eastAsia="Calibri"/>
                <w:i/>
                <w:spacing w:val="4"/>
                <w:w w:val="103"/>
                <w:kern w:val="14"/>
              </w:rPr>
              <w:t>Expected accomplishments of the Secretariat</w:t>
            </w:r>
          </w:p>
        </w:tc>
        <w:tc>
          <w:tcPr>
            <w:tcW w:w="3188" w:type="dxa"/>
            <w:vMerge w:val="restart"/>
            <w:tcBorders>
              <w:top w:val="single" w:sz="4" w:space="0" w:color="auto"/>
            </w:tcBorders>
            <w:vAlign w:val="bottom"/>
            <w:hideMark/>
          </w:tcPr>
          <w:p w:rsidR="00DE71F6" w:rsidRPr="00692606" w:rsidRDefault="00DE71F6" w:rsidP="001354FE">
            <w:pPr>
              <w:keepNext/>
              <w:keepLines/>
              <w:spacing w:before="81" w:after="81" w:line="160" w:lineRule="exact"/>
              <w:ind w:left="144" w:right="43"/>
              <w:rPr>
                <w:rFonts w:eastAsia="Calibri"/>
                <w:i/>
                <w:spacing w:val="4"/>
                <w:w w:val="103"/>
                <w:kern w:val="14"/>
              </w:rPr>
            </w:pPr>
            <w:r w:rsidRPr="00692606">
              <w:rPr>
                <w:rFonts w:eastAsia="Calibri"/>
                <w:i/>
                <w:spacing w:val="4"/>
                <w:w w:val="103"/>
                <w:kern w:val="14"/>
              </w:rPr>
              <w:t>Indicators of achievement</w:t>
            </w:r>
          </w:p>
        </w:tc>
        <w:tc>
          <w:tcPr>
            <w:tcW w:w="3600" w:type="dxa"/>
            <w:gridSpan w:val="4"/>
            <w:tcBorders>
              <w:top w:val="single" w:sz="4" w:space="0" w:color="auto"/>
              <w:bottom w:val="single" w:sz="4" w:space="0" w:color="auto"/>
            </w:tcBorders>
            <w:hideMark/>
          </w:tcPr>
          <w:p w:rsidR="00DE71F6" w:rsidRPr="00692606" w:rsidRDefault="00DE71F6" w:rsidP="001354FE">
            <w:pPr>
              <w:keepNext/>
              <w:keepLines/>
              <w:spacing w:before="81" w:after="81" w:line="160" w:lineRule="exact"/>
              <w:ind w:right="43"/>
              <w:jc w:val="center"/>
              <w:rPr>
                <w:rFonts w:eastAsia="Calibri"/>
                <w:i/>
                <w:spacing w:val="4"/>
                <w:w w:val="103"/>
                <w:kern w:val="14"/>
              </w:rPr>
            </w:pPr>
            <w:r w:rsidRPr="00692606">
              <w:rPr>
                <w:rFonts w:eastAsia="Calibri"/>
                <w:i/>
                <w:spacing w:val="4"/>
                <w:w w:val="103"/>
                <w:kern w:val="14"/>
              </w:rPr>
              <w:t>Performance measures</w:t>
            </w:r>
          </w:p>
        </w:tc>
      </w:tr>
      <w:tr w:rsidR="00DE71F6" w:rsidRPr="00692606" w:rsidTr="001354FE">
        <w:tc>
          <w:tcPr>
            <w:tcW w:w="2851" w:type="dxa"/>
            <w:vMerge/>
            <w:tcBorders>
              <w:bottom w:val="single" w:sz="12" w:space="0" w:color="auto"/>
            </w:tcBorders>
            <w:vAlign w:val="center"/>
            <w:hideMark/>
          </w:tcPr>
          <w:p w:rsidR="00DE71F6" w:rsidRPr="00692606" w:rsidRDefault="00DE71F6" w:rsidP="001354FE">
            <w:pPr>
              <w:keepNext/>
              <w:keepLines/>
              <w:spacing w:before="81" w:after="81" w:line="160" w:lineRule="exact"/>
              <w:ind w:right="43"/>
              <w:rPr>
                <w:rFonts w:eastAsia="Calibri"/>
                <w:i/>
                <w:spacing w:val="4"/>
                <w:w w:val="103"/>
                <w:kern w:val="14"/>
              </w:rPr>
            </w:pPr>
          </w:p>
        </w:tc>
        <w:tc>
          <w:tcPr>
            <w:tcW w:w="3188" w:type="dxa"/>
            <w:vMerge/>
            <w:tcBorders>
              <w:bottom w:val="single" w:sz="12" w:space="0" w:color="auto"/>
            </w:tcBorders>
            <w:vAlign w:val="center"/>
            <w:hideMark/>
          </w:tcPr>
          <w:p w:rsidR="00DE71F6" w:rsidRPr="00692606" w:rsidRDefault="00DE71F6" w:rsidP="001354FE">
            <w:pPr>
              <w:keepNext/>
              <w:keepLines/>
              <w:spacing w:before="81" w:after="81" w:line="160" w:lineRule="exact"/>
              <w:ind w:left="144" w:right="43"/>
              <w:rPr>
                <w:rFonts w:eastAsia="Calibri"/>
                <w:i/>
                <w:spacing w:val="4"/>
                <w:w w:val="103"/>
                <w:kern w:val="14"/>
              </w:rPr>
            </w:pPr>
          </w:p>
        </w:tc>
        <w:tc>
          <w:tcPr>
            <w:tcW w:w="893" w:type="dxa"/>
            <w:tcBorders>
              <w:top w:val="single" w:sz="4" w:space="0" w:color="auto"/>
              <w:bottom w:val="single" w:sz="12" w:space="0" w:color="auto"/>
            </w:tcBorders>
            <w:hideMark/>
          </w:tcPr>
          <w:p w:rsidR="00DE71F6" w:rsidRPr="00692606" w:rsidRDefault="00DE71F6" w:rsidP="001354FE">
            <w:pPr>
              <w:keepNext/>
              <w:keepLines/>
              <w:spacing w:before="81" w:after="81" w:line="160" w:lineRule="exact"/>
              <w:ind w:left="86" w:right="43"/>
              <w:jc w:val="center"/>
              <w:rPr>
                <w:rFonts w:eastAsia="Calibri"/>
                <w:i/>
                <w:spacing w:val="4"/>
                <w:w w:val="103"/>
                <w:kern w:val="14"/>
              </w:rPr>
            </w:pPr>
          </w:p>
        </w:tc>
        <w:tc>
          <w:tcPr>
            <w:tcW w:w="948" w:type="dxa"/>
            <w:tcBorders>
              <w:top w:val="single" w:sz="4" w:space="0" w:color="auto"/>
              <w:bottom w:val="single" w:sz="12" w:space="0" w:color="auto"/>
            </w:tcBorders>
            <w:hideMark/>
          </w:tcPr>
          <w:p w:rsidR="00DE71F6" w:rsidRPr="00692606" w:rsidRDefault="00DE71F6" w:rsidP="001354FE">
            <w:pPr>
              <w:keepNext/>
              <w:keepLines/>
              <w:spacing w:before="81" w:after="81" w:line="160" w:lineRule="exact"/>
              <w:ind w:right="43"/>
              <w:jc w:val="center"/>
              <w:rPr>
                <w:rFonts w:eastAsia="Calibri"/>
                <w:i/>
                <w:spacing w:val="4"/>
                <w:w w:val="103"/>
                <w:kern w:val="14"/>
              </w:rPr>
            </w:pPr>
            <w:r w:rsidRPr="00692606">
              <w:rPr>
                <w:rFonts w:eastAsia="Calibri"/>
                <w:i/>
                <w:spacing w:val="4"/>
                <w:w w:val="103"/>
                <w:kern w:val="14"/>
              </w:rPr>
              <w:t>2018-2019</w:t>
            </w:r>
          </w:p>
        </w:tc>
        <w:tc>
          <w:tcPr>
            <w:tcW w:w="884" w:type="dxa"/>
            <w:tcBorders>
              <w:top w:val="single" w:sz="4" w:space="0" w:color="auto"/>
              <w:bottom w:val="single" w:sz="12" w:space="0" w:color="auto"/>
            </w:tcBorders>
            <w:hideMark/>
          </w:tcPr>
          <w:p w:rsidR="00DE71F6" w:rsidRPr="00692606" w:rsidRDefault="00DE71F6" w:rsidP="001354FE">
            <w:pPr>
              <w:keepNext/>
              <w:keepLines/>
              <w:spacing w:before="81" w:after="81" w:line="160" w:lineRule="exact"/>
              <w:ind w:right="43"/>
              <w:jc w:val="center"/>
              <w:rPr>
                <w:rFonts w:eastAsia="Calibri"/>
                <w:i/>
                <w:spacing w:val="4"/>
                <w:w w:val="103"/>
                <w:kern w:val="14"/>
              </w:rPr>
            </w:pPr>
            <w:r w:rsidRPr="00692606">
              <w:rPr>
                <w:rFonts w:eastAsia="Calibri"/>
                <w:i/>
                <w:spacing w:val="4"/>
                <w:w w:val="103"/>
                <w:kern w:val="14"/>
              </w:rPr>
              <w:t>2016-2017</w:t>
            </w:r>
          </w:p>
        </w:tc>
        <w:tc>
          <w:tcPr>
            <w:tcW w:w="875" w:type="dxa"/>
            <w:tcBorders>
              <w:top w:val="single" w:sz="4" w:space="0" w:color="auto"/>
              <w:bottom w:val="single" w:sz="12" w:space="0" w:color="auto"/>
            </w:tcBorders>
            <w:hideMark/>
          </w:tcPr>
          <w:p w:rsidR="00DE71F6" w:rsidRPr="00692606" w:rsidRDefault="00DE71F6" w:rsidP="001354FE">
            <w:pPr>
              <w:keepNext/>
              <w:keepLines/>
              <w:spacing w:before="81" w:after="81" w:line="160" w:lineRule="exact"/>
              <w:ind w:right="43"/>
              <w:jc w:val="center"/>
              <w:rPr>
                <w:rFonts w:eastAsia="Calibri"/>
                <w:i/>
                <w:spacing w:val="4"/>
                <w:w w:val="103"/>
                <w:kern w:val="14"/>
              </w:rPr>
            </w:pPr>
            <w:r w:rsidRPr="00692606">
              <w:rPr>
                <w:rFonts w:eastAsia="Calibri"/>
                <w:i/>
                <w:spacing w:val="4"/>
                <w:w w:val="103"/>
                <w:kern w:val="14"/>
              </w:rPr>
              <w:t>2014-2015</w:t>
            </w:r>
          </w:p>
        </w:tc>
      </w:tr>
      <w:tr w:rsidR="00DE71F6" w:rsidRPr="00692606" w:rsidTr="001354FE">
        <w:trPr>
          <w:trHeight w:hRule="exact" w:val="115"/>
        </w:trPr>
        <w:tc>
          <w:tcPr>
            <w:tcW w:w="2851" w:type="dxa"/>
            <w:tcBorders>
              <w:top w:val="single" w:sz="12" w:space="0" w:color="auto"/>
            </w:tcBorders>
          </w:tcPr>
          <w:p w:rsidR="00DE71F6" w:rsidRPr="00692606" w:rsidRDefault="00DE71F6" w:rsidP="001354FE">
            <w:pPr>
              <w:keepNext/>
              <w:keepLines/>
              <w:spacing w:line="240" w:lineRule="exact"/>
              <w:ind w:right="43"/>
              <w:rPr>
                <w:rFonts w:eastAsia="Calibri"/>
                <w:spacing w:val="4"/>
                <w:w w:val="103"/>
                <w:kern w:val="14"/>
              </w:rPr>
            </w:pPr>
          </w:p>
        </w:tc>
        <w:tc>
          <w:tcPr>
            <w:tcW w:w="3188" w:type="dxa"/>
            <w:tcBorders>
              <w:top w:val="single" w:sz="12" w:space="0" w:color="auto"/>
            </w:tcBorders>
          </w:tcPr>
          <w:p w:rsidR="00DE71F6" w:rsidRPr="00692606" w:rsidRDefault="00DE71F6" w:rsidP="001354FE">
            <w:pPr>
              <w:keepNext/>
              <w:keepLines/>
              <w:spacing w:line="240" w:lineRule="exact"/>
              <w:ind w:left="144" w:right="43"/>
              <w:rPr>
                <w:rFonts w:eastAsia="Calibri"/>
                <w:spacing w:val="4"/>
                <w:w w:val="103"/>
                <w:kern w:val="14"/>
              </w:rPr>
            </w:pPr>
          </w:p>
        </w:tc>
        <w:tc>
          <w:tcPr>
            <w:tcW w:w="893" w:type="dxa"/>
            <w:tcBorders>
              <w:top w:val="single" w:sz="12" w:space="0" w:color="auto"/>
            </w:tcBorders>
          </w:tcPr>
          <w:p w:rsidR="00DE71F6" w:rsidRPr="00692606" w:rsidRDefault="00DE71F6" w:rsidP="001354FE">
            <w:pPr>
              <w:keepNext/>
              <w:keepLines/>
              <w:spacing w:line="240" w:lineRule="exact"/>
              <w:ind w:left="86" w:right="43"/>
              <w:rPr>
                <w:rFonts w:eastAsia="Calibri"/>
                <w:spacing w:val="4"/>
                <w:w w:val="103"/>
                <w:kern w:val="14"/>
              </w:rPr>
            </w:pPr>
          </w:p>
        </w:tc>
        <w:tc>
          <w:tcPr>
            <w:tcW w:w="948" w:type="dxa"/>
            <w:tcBorders>
              <w:top w:val="single" w:sz="12" w:space="0" w:color="auto"/>
            </w:tcBorders>
          </w:tcPr>
          <w:p w:rsidR="00DE71F6" w:rsidRPr="00692606" w:rsidRDefault="00DE71F6" w:rsidP="001354FE">
            <w:pPr>
              <w:keepNext/>
              <w:keepLines/>
              <w:spacing w:line="240" w:lineRule="exact"/>
              <w:ind w:right="43"/>
              <w:jc w:val="right"/>
              <w:rPr>
                <w:rFonts w:eastAsia="Calibri"/>
                <w:spacing w:val="4"/>
                <w:w w:val="103"/>
                <w:kern w:val="14"/>
              </w:rPr>
            </w:pPr>
          </w:p>
        </w:tc>
        <w:tc>
          <w:tcPr>
            <w:tcW w:w="884" w:type="dxa"/>
            <w:tcBorders>
              <w:top w:val="single" w:sz="12" w:space="0" w:color="auto"/>
            </w:tcBorders>
          </w:tcPr>
          <w:p w:rsidR="00DE71F6" w:rsidRPr="00692606" w:rsidRDefault="00DE71F6" w:rsidP="001354FE">
            <w:pPr>
              <w:keepNext/>
              <w:keepLines/>
              <w:spacing w:line="240" w:lineRule="exact"/>
              <w:ind w:right="43"/>
              <w:jc w:val="right"/>
              <w:rPr>
                <w:rFonts w:eastAsia="Calibri"/>
                <w:spacing w:val="4"/>
                <w:w w:val="103"/>
                <w:kern w:val="14"/>
              </w:rPr>
            </w:pPr>
          </w:p>
        </w:tc>
        <w:tc>
          <w:tcPr>
            <w:tcW w:w="875" w:type="dxa"/>
            <w:tcBorders>
              <w:top w:val="single" w:sz="12" w:space="0" w:color="auto"/>
            </w:tcBorders>
          </w:tcPr>
          <w:p w:rsidR="00DE71F6" w:rsidRPr="00692606" w:rsidRDefault="00DE71F6" w:rsidP="001354FE">
            <w:pPr>
              <w:keepNext/>
              <w:keepLines/>
              <w:spacing w:line="240" w:lineRule="exact"/>
              <w:ind w:right="43"/>
              <w:jc w:val="right"/>
              <w:rPr>
                <w:rFonts w:eastAsia="Calibri"/>
                <w:spacing w:val="4"/>
                <w:w w:val="103"/>
                <w:kern w:val="14"/>
              </w:rPr>
            </w:pPr>
          </w:p>
        </w:tc>
      </w:tr>
      <w:tr w:rsidR="00DE71F6" w:rsidRPr="00692606" w:rsidTr="001354FE">
        <w:tc>
          <w:tcPr>
            <w:tcW w:w="2851" w:type="dxa"/>
            <w:vMerge w:val="restart"/>
            <w:hideMark/>
          </w:tcPr>
          <w:p w:rsidR="00DE71F6" w:rsidRPr="00692606" w:rsidRDefault="00DE71F6" w:rsidP="001354FE">
            <w:pPr>
              <w:tabs>
                <w:tab w:val="left" w:pos="408"/>
              </w:tabs>
              <w:spacing w:before="40" w:after="40" w:line="240" w:lineRule="auto"/>
              <w:rPr>
                <w:rFonts w:eastAsia="Calibri"/>
                <w:spacing w:val="4"/>
                <w:w w:val="103"/>
                <w:kern w:val="14"/>
              </w:rPr>
            </w:pPr>
            <w:r w:rsidRPr="00692606">
              <w:rPr>
                <w:rFonts w:eastAsia="Calibri"/>
                <w:spacing w:val="4"/>
                <w:w w:val="103"/>
                <w:kern w:val="14"/>
              </w:rPr>
              <w:t>(a)</w:t>
            </w:r>
            <w:r w:rsidRPr="00692606">
              <w:rPr>
                <w:rFonts w:eastAsia="Calibri"/>
                <w:spacing w:val="4"/>
                <w:w w:val="103"/>
                <w:kern w:val="14"/>
              </w:rPr>
              <w:tab/>
              <w:t>Strengthened legal and regulatory framework for international land (road, rail, inland waterway and intermodal transport) transport, transport infrastructure, border-crossing facilitation, transport of dangerous goods, vehicle construction and other transport-related services</w:t>
            </w:r>
          </w:p>
        </w:tc>
        <w:tc>
          <w:tcPr>
            <w:tcW w:w="3188" w:type="dxa"/>
            <w:vMerge w:val="restart"/>
            <w:hideMark/>
          </w:tcPr>
          <w:p w:rsidR="00DE71F6" w:rsidRPr="00692606" w:rsidRDefault="00DE71F6" w:rsidP="001354FE">
            <w:pPr>
              <w:tabs>
                <w:tab w:val="left" w:pos="574"/>
                <w:tab w:val="left" w:pos="1000"/>
              </w:tabs>
              <w:spacing w:before="40" w:after="40" w:line="240" w:lineRule="auto"/>
              <w:ind w:left="574" w:right="43" w:hanging="425"/>
              <w:rPr>
                <w:rFonts w:eastAsia="Calibri"/>
                <w:spacing w:val="4"/>
                <w:w w:val="103"/>
                <w:kern w:val="14"/>
              </w:rPr>
            </w:pPr>
            <w:r w:rsidRPr="00692606">
              <w:rPr>
                <w:rFonts w:eastAsia="Calibri"/>
                <w:spacing w:val="4"/>
                <w:w w:val="103"/>
                <w:kern w:val="14"/>
              </w:rPr>
              <w:t>(a)</w:t>
            </w:r>
            <w:r w:rsidRPr="00692606">
              <w:rPr>
                <w:rFonts w:eastAsia="Calibri"/>
                <w:spacing w:val="4"/>
                <w:w w:val="103"/>
                <w:kern w:val="14"/>
              </w:rPr>
              <w:tab/>
              <w:t>(</w:t>
            </w:r>
            <w:proofErr w:type="spellStart"/>
            <w:r w:rsidRPr="00692606">
              <w:rPr>
                <w:rFonts w:eastAsia="Calibri"/>
                <w:spacing w:val="4"/>
                <w:w w:val="103"/>
                <w:kern w:val="14"/>
              </w:rPr>
              <w:t>i</w:t>
            </w:r>
            <w:proofErr w:type="spellEnd"/>
            <w:r w:rsidRPr="00692606">
              <w:rPr>
                <w:rFonts w:eastAsia="Calibri"/>
                <w:spacing w:val="4"/>
                <w:w w:val="103"/>
                <w:kern w:val="14"/>
              </w:rPr>
              <w:t>)</w:t>
            </w:r>
            <w:r w:rsidRPr="00692606">
              <w:rPr>
                <w:rFonts w:eastAsia="Calibri"/>
                <w:spacing w:val="4"/>
                <w:w w:val="103"/>
                <w:kern w:val="14"/>
              </w:rPr>
              <w:tab/>
              <w:t xml:space="preserve">Number of United Nations legal instruments on transport administered by ECE that are in force </w:t>
            </w: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Target</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50</w:t>
            </w: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p>
        </w:tc>
      </w:tr>
      <w:tr w:rsidR="00DE71F6" w:rsidRPr="00692606" w:rsidTr="001354FE">
        <w:tc>
          <w:tcPr>
            <w:tcW w:w="2851" w:type="dxa"/>
            <w:vMerge/>
            <w:hideMark/>
          </w:tcPr>
          <w:p w:rsidR="00DE71F6" w:rsidRPr="00692606" w:rsidRDefault="00DE71F6" w:rsidP="001354FE">
            <w:pPr>
              <w:tabs>
                <w:tab w:val="left" w:pos="408"/>
              </w:tabs>
              <w:spacing w:before="40" w:after="40" w:line="240" w:lineRule="auto"/>
              <w:rPr>
                <w:rFonts w:eastAsia="Calibri"/>
                <w:spacing w:val="4"/>
                <w:w w:val="103"/>
                <w:kern w:val="14"/>
              </w:rPr>
            </w:pPr>
          </w:p>
        </w:tc>
        <w:tc>
          <w:tcPr>
            <w:tcW w:w="3188" w:type="dxa"/>
            <w:vMerge/>
            <w:hideMark/>
          </w:tcPr>
          <w:p w:rsidR="00DE71F6" w:rsidRPr="00692606" w:rsidRDefault="00DE71F6" w:rsidP="001354FE">
            <w:pPr>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Estimate</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p>
        </w:tc>
      </w:tr>
      <w:tr w:rsidR="00DE71F6" w:rsidRPr="00692606" w:rsidTr="001354FE">
        <w:tc>
          <w:tcPr>
            <w:tcW w:w="2851" w:type="dxa"/>
            <w:vMerge/>
            <w:hideMark/>
          </w:tcPr>
          <w:p w:rsidR="00DE71F6" w:rsidRPr="00692606" w:rsidRDefault="00DE71F6" w:rsidP="001354FE">
            <w:pPr>
              <w:tabs>
                <w:tab w:val="left" w:pos="408"/>
              </w:tabs>
              <w:spacing w:before="40" w:after="40" w:line="240" w:lineRule="auto"/>
              <w:rPr>
                <w:rFonts w:eastAsia="Calibri"/>
                <w:spacing w:val="4"/>
                <w:w w:val="103"/>
                <w:kern w:val="14"/>
              </w:rPr>
            </w:pPr>
          </w:p>
        </w:tc>
        <w:tc>
          <w:tcPr>
            <w:tcW w:w="3188" w:type="dxa"/>
            <w:vMerge/>
            <w:hideMark/>
          </w:tcPr>
          <w:p w:rsidR="00DE71F6" w:rsidRPr="00692606" w:rsidRDefault="00DE71F6" w:rsidP="001354FE">
            <w:pPr>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Actual</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p>
        </w:tc>
      </w:tr>
      <w:tr w:rsidR="00DE71F6" w:rsidRPr="00692606" w:rsidTr="001354FE">
        <w:tc>
          <w:tcPr>
            <w:tcW w:w="2851" w:type="dxa"/>
            <w:vMerge/>
            <w:hideMark/>
          </w:tcPr>
          <w:p w:rsidR="00DE71F6" w:rsidRPr="00692606" w:rsidRDefault="00DE71F6" w:rsidP="001354FE">
            <w:pPr>
              <w:tabs>
                <w:tab w:val="left" w:pos="408"/>
              </w:tabs>
              <w:spacing w:before="40" w:after="40" w:line="240" w:lineRule="auto"/>
              <w:rPr>
                <w:rFonts w:eastAsia="Calibri"/>
                <w:spacing w:val="4"/>
                <w:w w:val="103"/>
                <w:kern w:val="14"/>
              </w:rPr>
            </w:pPr>
          </w:p>
        </w:tc>
        <w:tc>
          <w:tcPr>
            <w:tcW w:w="3188" w:type="dxa"/>
            <w:vMerge w:val="restart"/>
            <w:tcBorders>
              <w:bottom w:val="single" w:sz="4" w:space="0" w:color="auto"/>
            </w:tcBorders>
            <w:hideMark/>
          </w:tcPr>
          <w:p w:rsidR="00DE71F6" w:rsidRPr="00692606" w:rsidRDefault="00DE71F6" w:rsidP="001354FE">
            <w:pPr>
              <w:tabs>
                <w:tab w:val="left" w:pos="574"/>
                <w:tab w:val="left" w:pos="1000"/>
              </w:tabs>
              <w:spacing w:before="40" w:after="40" w:line="240" w:lineRule="auto"/>
              <w:ind w:left="574" w:right="43" w:hanging="425"/>
              <w:rPr>
                <w:rFonts w:eastAsia="Calibri"/>
                <w:spacing w:val="4"/>
                <w:w w:val="103"/>
                <w:kern w:val="14"/>
              </w:rPr>
            </w:pPr>
            <w:r w:rsidRPr="00692606">
              <w:rPr>
                <w:rFonts w:eastAsia="Calibri"/>
                <w:spacing w:val="4"/>
                <w:w w:val="103"/>
                <w:kern w:val="14"/>
              </w:rPr>
              <w:tab/>
              <w:t>(ii)</w:t>
            </w:r>
            <w:r w:rsidRPr="00692606">
              <w:rPr>
                <w:rFonts w:eastAsia="Calibri"/>
                <w:spacing w:val="4"/>
                <w:w w:val="103"/>
                <w:kern w:val="14"/>
              </w:rPr>
              <w:tab/>
              <w:t xml:space="preserve">Number of new vehicle regulations and amendments adopted </w:t>
            </w: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Target</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100</w:t>
            </w: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100</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100</w:t>
            </w:r>
          </w:p>
        </w:tc>
      </w:tr>
      <w:tr w:rsidR="00DE71F6" w:rsidRPr="00692606" w:rsidTr="001354FE">
        <w:tc>
          <w:tcPr>
            <w:tcW w:w="2851" w:type="dxa"/>
            <w:vMerge/>
            <w:hideMark/>
          </w:tcPr>
          <w:p w:rsidR="00DE71F6" w:rsidRPr="00692606" w:rsidRDefault="00DE71F6" w:rsidP="001354FE">
            <w:pPr>
              <w:tabs>
                <w:tab w:val="left" w:pos="408"/>
              </w:tabs>
              <w:spacing w:before="40" w:after="40" w:line="240" w:lineRule="auto"/>
              <w:rPr>
                <w:rFonts w:eastAsia="Calibri"/>
                <w:spacing w:val="4"/>
                <w:w w:val="103"/>
                <w:kern w:val="14"/>
              </w:rPr>
            </w:pPr>
          </w:p>
        </w:tc>
        <w:tc>
          <w:tcPr>
            <w:tcW w:w="3188" w:type="dxa"/>
            <w:vMerge/>
            <w:tcBorders>
              <w:top w:val="single" w:sz="4" w:space="0" w:color="auto"/>
              <w:bottom w:val="single" w:sz="4" w:space="0" w:color="auto"/>
            </w:tcBorders>
            <w:hideMark/>
          </w:tcPr>
          <w:p w:rsidR="00DE71F6" w:rsidRPr="00692606" w:rsidRDefault="00DE71F6" w:rsidP="001354FE">
            <w:pPr>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Estimate</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100</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100</w:t>
            </w:r>
          </w:p>
        </w:tc>
      </w:tr>
      <w:tr w:rsidR="00DE71F6" w:rsidRPr="00692606" w:rsidTr="001354FE">
        <w:tc>
          <w:tcPr>
            <w:tcW w:w="2851" w:type="dxa"/>
            <w:vMerge/>
            <w:hideMark/>
          </w:tcPr>
          <w:p w:rsidR="00DE71F6" w:rsidRPr="00692606" w:rsidRDefault="00DE71F6" w:rsidP="001354FE">
            <w:pPr>
              <w:tabs>
                <w:tab w:val="left" w:pos="408"/>
              </w:tabs>
              <w:spacing w:before="40" w:after="40" w:line="240" w:lineRule="auto"/>
              <w:rPr>
                <w:rFonts w:eastAsia="Calibri"/>
                <w:spacing w:val="4"/>
                <w:w w:val="103"/>
                <w:kern w:val="14"/>
              </w:rPr>
            </w:pPr>
          </w:p>
        </w:tc>
        <w:tc>
          <w:tcPr>
            <w:tcW w:w="3188" w:type="dxa"/>
            <w:vMerge/>
            <w:tcBorders>
              <w:top w:val="single" w:sz="4" w:space="0" w:color="auto"/>
            </w:tcBorders>
            <w:hideMark/>
          </w:tcPr>
          <w:p w:rsidR="00DE71F6" w:rsidRPr="00692606" w:rsidRDefault="00DE71F6" w:rsidP="001354FE">
            <w:pPr>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Actual</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75" w:type="dxa"/>
            <w:tcMar>
              <w:right w:w="227" w:type="dxa"/>
            </w:tcMar>
          </w:tcPr>
          <w:p w:rsidR="00DE71F6" w:rsidRPr="00692606" w:rsidRDefault="00DE71F6" w:rsidP="0001308E">
            <w:pPr>
              <w:spacing w:before="40" w:after="40" w:line="240" w:lineRule="auto"/>
              <w:ind w:right="43"/>
              <w:jc w:val="right"/>
              <w:rPr>
                <w:rFonts w:eastAsia="Calibri"/>
                <w:spacing w:val="4"/>
                <w:w w:val="103"/>
                <w:kern w:val="14"/>
              </w:rPr>
            </w:pPr>
            <w:r w:rsidRPr="00692606">
              <w:rPr>
                <w:rFonts w:eastAsia="Calibri"/>
                <w:spacing w:val="4"/>
                <w:w w:val="103"/>
                <w:kern w:val="14"/>
              </w:rPr>
              <w:t>*</w:t>
            </w:r>
            <w:r w:rsidR="0001308E" w:rsidRPr="00692606">
              <w:rPr>
                <w:rStyle w:val="FootnoteReference"/>
                <w:rFonts w:eastAsia="Calibri"/>
                <w:spacing w:val="4"/>
                <w:w w:val="103"/>
                <w:kern w:val="14"/>
              </w:rPr>
              <w:footnoteReference w:id="2"/>
            </w:r>
          </w:p>
        </w:tc>
      </w:tr>
      <w:tr w:rsidR="00DE71F6" w:rsidRPr="00692606" w:rsidTr="001354FE">
        <w:tc>
          <w:tcPr>
            <w:tcW w:w="2851" w:type="dxa"/>
            <w:vMerge/>
            <w:hideMark/>
          </w:tcPr>
          <w:p w:rsidR="00DE71F6" w:rsidRPr="00692606" w:rsidRDefault="00DE71F6" w:rsidP="001354FE">
            <w:pPr>
              <w:tabs>
                <w:tab w:val="left" w:pos="408"/>
              </w:tabs>
              <w:spacing w:before="40" w:after="40" w:line="240" w:lineRule="auto"/>
              <w:rPr>
                <w:rFonts w:eastAsia="Calibri"/>
                <w:spacing w:val="4"/>
                <w:w w:val="103"/>
                <w:kern w:val="14"/>
              </w:rPr>
            </w:pPr>
          </w:p>
        </w:tc>
        <w:tc>
          <w:tcPr>
            <w:tcW w:w="3188" w:type="dxa"/>
            <w:vMerge w:val="restart"/>
            <w:tcBorders>
              <w:bottom w:val="single" w:sz="4" w:space="0" w:color="auto"/>
            </w:tcBorders>
            <w:hideMark/>
          </w:tcPr>
          <w:p w:rsidR="00DE71F6" w:rsidRPr="00692606" w:rsidRDefault="00DE71F6" w:rsidP="001354FE">
            <w:pPr>
              <w:tabs>
                <w:tab w:val="left" w:pos="574"/>
                <w:tab w:val="left" w:pos="1000"/>
              </w:tabs>
              <w:spacing w:before="40" w:after="40" w:line="240" w:lineRule="auto"/>
              <w:ind w:left="574" w:right="43" w:hanging="425"/>
              <w:rPr>
                <w:rFonts w:eastAsia="Calibri"/>
                <w:spacing w:val="4"/>
                <w:w w:val="103"/>
                <w:kern w:val="14"/>
              </w:rPr>
            </w:pPr>
            <w:r w:rsidRPr="00692606">
              <w:rPr>
                <w:rFonts w:eastAsia="Calibri"/>
                <w:spacing w:val="4"/>
                <w:w w:val="103"/>
                <w:kern w:val="14"/>
              </w:rPr>
              <w:tab/>
              <w:t>(iii)</w:t>
            </w:r>
            <w:r w:rsidRPr="00692606">
              <w:rPr>
                <w:rFonts w:eastAsia="Calibri"/>
                <w:spacing w:val="4"/>
                <w:w w:val="103"/>
                <w:kern w:val="14"/>
              </w:rPr>
              <w:tab/>
              <w:t>Number of international legal instruments brought in compliance with the latest revised edition of the United Nations Recommendations on the Transport of Dangerous Goods</w:t>
            </w:r>
          </w:p>
          <w:p w:rsidR="00DE71F6" w:rsidRPr="00692606" w:rsidRDefault="00DE71F6" w:rsidP="001354FE">
            <w:pPr>
              <w:tabs>
                <w:tab w:val="left" w:pos="574"/>
                <w:tab w:val="left" w:pos="1000"/>
              </w:tabs>
              <w:spacing w:before="40" w:after="40" w:line="240" w:lineRule="auto"/>
              <w:ind w:left="574" w:right="43" w:hanging="425"/>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Target</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6</w:t>
            </w: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6</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6</w:t>
            </w:r>
          </w:p>
        </w:tc>
      </w:tr>
      <w:tr w:rsidR="00DE71F6" w:rsidRPr="00692606" w:rsidTr="001354FE">
        <w:tc>
          <w:tcPr>
            <w:tcW w:w="2851" w:type="dxa"/>
            <w:vMerge/>
            <w:hideMark/>
          </w:tcPr>
          <w:p w:rsidR="00DE71F6" w:rsidRPr="00692606" w:rsidRDefault="00DE71F6" w:rsidP="001354FE">
            <w:pPr>
              <w:tabs>
                <w:tab w:val="left" w:pos="408"/>
              </w:tabs>
              <w:spacing w:before="40" w:after="40" w:line="240" w:lineRule="auto"/>
              <w:rPr>
                <w:rFonts w:eastAsia="Calibri"/>
                <w:spacing w:val="4"/>
                <w:w w:val="103"/>
                <w:kern w:val="14"/>
              </w:rPr>
            </w:pPr>
          </w:p>
        </w:tc>
        <w:tc>
          <w:tcPr>
            <w:tcW w:w="3188" w:type="dxa"/>
            <w:vMerge/>
            <w:tcBorders>
              <w:top w:val="single" w:sz="4" w:space="0" w:color="auto"/>
              <w:bottom w:val="single" w:sz="4" w:space="0" w:color="auto"/>
            </w:tcBorders>
            <w:hideMark/>
          </w:tcPr>
          <w:p w:rsidR="00DE71F6" w:rsidRPr="00692606" w:rsidRDefault="00DE71F6" w:rsidP="001354FE">
            <w:pPr>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Estimate</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6</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6</w:t>
            </w:r>
          </w:p>
        </w:tc>
      </w:tr>
      <w:tr w:rsidR="00DE71F6" w:rsidRPr="00692606" w:rsidTr="001354FE">
        <w:tc>
          <w:tcPr>
            <w:tcW w:w="2851" w:type="dxa"/>
            <w:vMerge/>
            <w:tcBorders>
              <w:bottom w:val="single" w:sz="4" w:space="0" w:color="auto"/>
            </w:tcBorders>
            <w:hideMark/>
          </w:tcPr>
          <w:p w:rsidR="00DE71F6" w:rsidRPr="00692606" w:rsidRDefault="00DE71F6" w:rsidP="001354FE">
            <w:pPr>
              <w:tabs>
                <w:tab w:val="left" w:pos="408"/>
              </w:tabs>
              <w:spacing w:before="40" w:after="40" w:line="240" w:lineRule="auto"/>
              <w:rPr>
                <w:rFonts w:eastAsia="Calibri"/>
                <w:spacing w:val="4"/>
                <w:w w:val="103"/>
                <w:kern w:val="14"/>
              </w:rPr>
            </w:pPr>
          </w:p>
        </w:tc>
        <w:tc>
          <w:tcPr>
            <w:tcW w:w="3188" w:type="dxa"/>
            <w:vMerge/>
            <w:tcBorders>
              <w:top w:val="single" w:sz="4" w:space="0" w:color="auto"/>
              <w:bottom w:val="single" w:sz="4" w:space="0" w:color="auto"/>
            </w:tcBorders>
            <w:hideMark/>
          </w:tcPr>
          <w:p w:rsidR="00DE71F6" w:rsidRPr="00692606" w:rsidRDefault="00DE71F6" w:rsidP="001354FE">
            <w:pPr>
              <w:tabs>
                <w:tab w:val="left" w:pos="567"/>
              </w:tabs>
              <w:spacing w:before="40" w:after="40" w:line="240" w:lineRule="auto"/>
              <w:ind w:left="144"/>
              <w:rPr>
                <w:rFonts w:eastAsia="Calibri"/>
                <w:spacing w:val="4"/>
                <w:w w:val="103"/>
                <w:kern w:val="14"/>
              </w:rPr>
            </w:pPr>
          </w:p>
        </w:tc>
        <w:tc>
          <w:tcPr>
            <w:tcW w:w="893" w:type="dxa"/>
            <w:tcBorders>
              <w:bottom w:val="single" w:sz="4" w:space="0" w:color="auto"/>
            </w:tcBorders>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Actual</w:t>
            </w:r>
          </w:p>
        </w:tc>
        <w:tc>
          <w:tcPr>
            <w:tcW w:w="948" w:type="dxa"/>
            <w:tcBorders>
              <w:bottom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Borders>
              <w:bottom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75" w:type="dxa"/>
            <w:tcBorders>
              <w:bottom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r w:rsidRPr="00692606">
              <w:rPr>
                <w:rFonts w:eastAsia="Calibri"/>
                <w:spacing w:val="4"/>
                <w:w w:val="103"/>
                <w:kern w:val="14"/>
                <w:vertAlign w:val="superscript"/>
              </w:rPr>
              <w:t>1</w:t>
            </w:r>
          </w:p>
        </w:tc>
      </w:tr>
      <w:tr w:rsidR="00DE71F6" w:rsidRPr="00692606" w:rsidTr="001354FE">
        <w:tc>
          <w:tcPr>
            <w:tcW w:w="2851" w:type="dxa"/>
            <w:vMerge w:val="restart"/>
            <w:tcBorders>
              <w:top w:val="single" w:sz="4" w:space="0" w:color="auto"/>
              <w:bottom w:val="single" w:sz="8" w:space="0" w:color="auto"/>
            </w:tcBorders>
            <w:hideMark/>
          </w:tcPr>
          <w:p w:rsidR="00DE71F6" w:rsidRPr="00692606" w:rsidRDefault="00DE71F6" w:rsidP="001354FE">
            <w:pPr>
              <w:tabs>
                <w:tab w:val="left" w:pos="408"/>
              </w:tabs>
              <w:spacing w:before="40" w:after="40" w:line="240" w:lineRule="auto"/>
              <w:rPr>
                <w:rFonts w:eastAsia="Calibri"/>
                <w:spacing w:val="4"/>
                <w:w w:val="103"/>
                <w:kern w:val="14"/>
              </w:rPr>
            </w:pPr>
            <w:r w:rsidRPr="00692606">
              <w:rPr>
                <w:rFonts w:eastAsia="Calibri"/>
                <w:spacing w:val="4"/>
                <w:w w:val="103"/>
                <w:kern w:val="14"/>
              </w:rPr>
              <w:t>(b)</w:t>
            </w:r>
            <w:r w:rsidRPr="00692606">
              <w:rPr>
                <w:rFonts w:eastAsia="Calibri"/>
                <w:spacing w:val="4"/>
                <w:w w:val="103"/>
                <w:kern w:val="14"/>
              </w:rPr>
              <w:tab/>
              <w:t>Greater geographical coverage and more effective monitoring of implementation of United Nations legal instruments and recommendations on transport administered by ECE</w:t>
            </w:r>
          </w:p>
        </w:tc>
        <w:tc>
          <w:tcPr>
            <w:tcW w:w="3188" w:type="dxa"/>
            <w:vMerge w:val="restart"/>
            <w:tcBorders>
              <w:top w:val="single" w:sz="4" w:space="0" w:color="auto"/>
              <w:bottom w:val="single" w:sz="8" w:space="0" w:color="auto"/>
            </w:tcBorders>
            <w:hideMark/>
          </w:tcPr>
          <w:p w:rsidR="00DE71F6" w:rsidRPr="00692606" w:rsidRDefault="00DE71F6" w:rsidP="001354FE">
            <w:pPr>
              <w:tabs>
                <w:tab w:val="left" w:pos="574"/>
                <w:tab w:val="left" w:pos="1000"/>
              </w:tabs>
              <w:spacing w:before="40" w:after="40" w:line="240" w:lineRule="auto"/>
              <w:ind w:left="574" w:right="43" w:hanging="425"/>
              <w:rPr>
                <w:rFonts w:eastAsia="Calibri"/>
                <w:spacing w:val="4"/>
                <w:w w:val="103"/>
                <w:kern w:val="14"/>
              </w:rPr>
            </w:pPr>
            <w:r w:rsidRPr="00692606">
              <w:rPr>
                <w:rFonts w:eastAsia="Calibri"/>
                <w:spacing w:val="4"/>
                <w:w w:val="103"/>
                <w:kern w:val="14"/>
              </w:rPr>
              <w:t>(b)</w:t>
            </w:r>
            <w:r w:rsidRPr="00692606">
              <w:rPr>
                <w:rFonts w:eastAsia="Calibri"/>
                <w:spacing w:val="4"/>
                <w:w w:val="103"/>
                <w:kern w:val="14"/>
              </w:rPr>
              <w:tab/>
              <w:t>(</w:t>
            </w:r>
            <w:proofErr w:type="spellStart"/>
            <w:r w:rsidRPr="00692606">
              <w:rPr>
                <w:rFonts w:eastAsia="Calibri"/>
                <w:spacing w:val="4"/>
                <w:w w:val="103"/>
                <w:kern w:val="14"/>
              </w:rPr>
              <w:t>i</w:t>
            </w:r>
            <w:proofErr w:type="spellEnd"/>
            <w:r w:rsidRPr="00692606">
              <w:rPr>
                <w:rFonts w:eastAsia="Calibri"/>
                <w:spacing w:val="4"/>
                <w:w w:val="103"/>
                <w:kern w:val="14"/>
              </w:rPr>
              <w:t>)</w:t>
            </w:r>
            <w:r w:rsidRPr="00692606">
              <w:rPr>
                <w:rFonts w:eastAsia="Calibri"/>
                <w:spacing w:val="4"/>
                <w:w w:val="103"/>
                <w:kern w:val="14"/>
              </w:rPr>
              <w:tab/>
              <w:t>Increased number of Contracting Parties, including from outside the region, to United Nations legal instruments and recommendations on transport administered by ECE</w:t>
            </w:r>
          </w:p>
        </w:tc>
        <w:tc>
          <w:tcPr>
            <w:tcW w:w="893" w:type="dxa"/>
            <w:tcBorders>
              <w:top w:val="single" w:sz="4" w:space="0" w:color="auto"/>
            </w:tcBorders>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Target</w:t>
            </w:r>
          </w:p>
        </w:tc>
        <w:tc>
          <w:tcPr>
            <w:tcW w:w="948" w:type="dxa"/>
            <w:tcBorders>
              <w:top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1720</w:t>
            </w:r>
          </w:p>
        </w:tc>
        <w:tc>
          <w:tcPr>
            <w:tcW w:w="884" w:type="dxa"/>
            <w:tcBorders>
              <w:top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1,710</w:t>
            </w:r>
          </w:p>
        </w:tc>
        <w:tc>
          <w:tcPr>
            <w:tcW w:w="875" w:type="dxa"/>
            <w:tcBorders>
              <w:top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1,700</w:t>
            </w:r>
          </w:p>
        </w:tc>
      </w:tr>
      <w:tr w:rsidR="00DE71F6" w:rsidRPr="00692606" w:rsidTr="001354FE">
        <w:tc>
          <w:tcPr>
            <w:tcW w:w="2851" w:type="dxa"/>
            <w:vMerge/>
            <w:tcBorders>
              <w:bottom w:val="single" w:sz="8" w:space="0" w:color="auto"/>
            </w:tcBorders>
            <w:hideMark/>
          </w:tcPr>
          <w:p w:rsidR="00DE71F6" w:rsidRPr="00692606" w:rsidRDefault="00DE71F6" w:rsidP="001354FE">
            <w:pPr>
              <w:tabs>
                <w:tab w:val="left" w:pos="408"/>
              </w:tabs>
              <w:spacing w:before="40" w:after="40" w:line="240" w:lineRule="auto"/>
              <w:ind w:right="115"/>
              <w:rPr>
                <w:rFonts w:eastAsia="Calibri"/>
                <w:spacing w:val="4"/>
                <w:w w:val="103"/>
                <w:kern w:val="14"/>
              </w:rPr>
            </w:pPr>
          </w:p>
        </w:tc>
        <w:tc>
          <w:tcPr>
            <w:tcW w:w="3188" w:type="dxa"/>
            <w:vMerge/>
            <w:tcBorders>
              <w:top w:val="single" w:sz="4" w:space="0" w:color="auto"/>
              <w:bottom w:val="single" w:sz="8" w:space="0" w:color="auto"/>
            </w:tcBorders>
            <w:hideMark/>
          </w:tcPr>
          <w:p w:rsidR="00DE71F6" w:rsidRPr="00692606" w:rsidRDefault="00DE71F6" w:rsidP="001354FE">
            <w:pPr>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Estimate</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1,710</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1,700</w:t>
            </w:r>
          </w:p>
        </w:tc>
      </w:tr>
      <w:tr w:rsidR="00DE71F6" w:rsidRPr="00692606" w:rsidTr="001354FE">
        <w:tc>
          <w:tcPr>
            <w:tcW w:w="2851" w:type="dxa"/>
            <w:vMerge/>
            <w:tcBorders>
              <w:bottom w:val="single" w:sz="8" w:space="0" w:color="auto"/>
            </w:tcBorders>
            <w:hideMark/>
          </w:tcPr>
          <w:p w:rsidR="00DE71F6" w:rsidRPr="00692606" w:rsidRDefault="00DE71F6" w:rsidP="001354FE">
            <w:pPr>
              <w:tabs>
                <w:tab w:val="left" w:pos="408"/>
              </w:tabs>
              <w:spacing w:before="40" w:after="40" w:line="240" w:lineRule="auto"/>
              <w:ind w:right="115"/>
              <w:rPr>
                <w:rFonts w:eastAsia="Calibri"/>
                <w:spacing w:val="4"/>
                <w:w w:val="103"/>
                <w:kern w:val="14"/>
              </w:rPr>
            </w:pPr>
          </w:p>
        </w:tc>
        <w:tc>
          <w:tcPr>
            <w:tcW w:w="3188" w:type="dxa"/>
            <w:vMerge/>
            <w:tcBorders>
              <w:top w:val="single" w:sz="4" w:space="0" w:color="auto"/>
            </w:tcBorders>
            <w:hideMark/>
          </w:tcPr>
          <w:p w:rsidR="00DE71F6" w:rsidRPr="00692606" w:rsidRDefault="00DE71F6" w:rsidP="001354FE">
            <w:pPr>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Actual</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r w:rsidRPr="00692606">
              <w:rPr>
                <w:rFonts w:eastAsia="Calibri"/>
                <w:spacing w:val="4"/>
                <w:w w:val="103"/>
                <w:kern w:val="14"/>
                <w:vertAlign w:val="superscript"/>
              </w:rPr>
              <w:t>1</w:t>
            </w:r>
          </w:p>
        </w:tc>
      </w:tr>
      <w:tr w:rsidR="00DE71F6" w:rsidRPr="00692606" w:rsidTr="001354FE">
        <w:tc>
          <w:tcPr>
            <w:tcW w:w="2851" w:type="dxa"/>
            <w:vMerge/>
            <w:tcBorders>
              <w:bottom w:val="single" w:sz="8" w:space="0" w:color="auto"/>
            </w:tcBorders>
            <w:hideMark/>
          </w:tcPr>
          <w:p w:rsidR="00DE71F6" w:rsidRPr="00692606" w:rsidRDefault="00DE71F6" w:rsidP="001354FE">
            <w:pPr>
              <w:tabs>
                <w:tab w:val="left" w:pos="408"/>
              </w:tabs>
              <w:spacing w:before="40" w:after="40" w:line="240" w:lineRule="auto"/>
              <w:ind w:right="115"/>
              <w:rPr>
                <w:rFonts w:eastAsia="Calibri"/>
                <w:spacing w:val="4"/>
                <w:w w:val="103"/>
                <w:kern w:val="14"/>
              </w:rPr>
            </w:pPr>
          </w:p>
        </w:tc>
        <w:tc>
          <w:tcPr>
            <w:tcW w:w="3188" w:type="dxa"/>
            <w:vMerge w:val="restart"/>
            <w:tcBorders>
              <w:bottom w:val="single" w:sz="8" w:space="0" w:color="auto"/>
            </w:tcBorders>
            <w:hideMark/>
          </w:tcPr>
          <w:p w:rsidR="00DE71F6" w:rsidRPr="00692606" w:rsidRDefault="00DE71F6" w:rsidP="001354FE">
            <w:pPr>
              <w:tabs>
                <w:tab w:val="left" w:pos="574"/>
                <w:tab w:val="left" w:pos="1000"/>
              </w:tabs>
              <w:spacing w:before="40" w:after="40" w:line="240" w:lineRule="auto"/>
              <w:ind w:left="574" w:right="43" w:hanging="425"/>
              <w:rPr>
                <w:rFonts w:eastAsia="Calibri"/>
                <w:spacing w:val="4"/>
                <w:w w:val="103"/>
                <w:kern w:val="14"/>
              </w:rPr>
            </w:pPr>
            <w:r w:rsidRPr="00692606">
              <w:rPr>
                <w:rFonts w:eastAsia="Calibri"/>
                <w:spacing w:val="4"/>
                <w:w w:val="103"/>
                <w:kern w:val="14"/>
              </w:rPr>
              <w:tab/>
              <w:t>(ii)</w:t>
            </w:r>
            <w:r w:rsidRPr="00692606">
              <w:rPr>
                <w:rFonts w:eastAsia="Calibri"/>
                <w:spacing w:val="4"/>
                <w:w w:val="103"/>
                <w:kern w:val="14"/>
              </w:rPr>
              <w:tab/>
              <w:t>Increased number of mechanisms agreed by Contracting Parties for monitoring the implementation of United Nations legal instruments and recommendations administered by ECE</w:t>
            </w:r>
          </w:p>
          <w:p w:rsidR="00DE71F6" w:rsidRPr="00692606" w:rsidRDefault="00DE71F6" w:rsidP="001354FE">
            <w:pPr>
              <w:tabs>
                <w:tab w:val="left" w:pos="574"/>
                <w:tab w:val="left" w:pos="1000"/>
              </w:tabs>
              <w:spacing w:before="40" w:after="40" w:line="240" w:lineRule="auto"/>
              <w:ind w:left="574" w:right="43" w:hanging="425"/>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Target</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9</w:t>
            </w: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8</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7</w:t>
            </w:r>
          </w:p>
        </w:tc>
      </w:tr>
      <w:tr w:rsidR="00DE71F6" w:rsidRPr="00692606" w:rsidTr="001354FE">
        <w:tc>
          <w:tcPr>
            <w:tcW w:w="2851" w:type="dxa"/>
            <w:vMerge/>
            <w:tcBorders>
              <w:bottom w:val="single" w:sz="8" w:space="0" w:color="auto"/>
            </w:tcBorders>
            <w:hideMark/>
          </w:tcPr>
          <w:p w:rsidR="00DE71F6" w:rsidRPr="00692606" w:rsidRDefault="00DE71F6" w:rsidP="001354FE">
            <w:pPr>
              <w:tabs>
                <w:tab w:val="left" w:pos="408"/>
              </w:tabs>
              <w:spacing w:before="40" w:after="40" w:line="240" w:lineRule="auto"/>
              <w:ind w:right="115"/>
              <w:rPr>
                <w:rFonts w:eastAsia="Calibri"/>
                <w:spacing w:val="4"/>
                <w:w w:val="103"/>
                <w:kern w:val="14"/>
              </w:rPr>
            </w:pPr>
          </w:p>
        </w:tc>
        <w:tc>
          <w:tcPr>
            <w:tcW w:w="3188" w:type="dxa"/>
            <w:vMerge/>
            <w:tcBorders>
              <w:top w:val="single" w:sz="4" w:space="0" w:color="auto"/>
              <w:bottom w:val="single" w:sz="8" w:space="0" w:color="auto"/>
            </w:tcBorders>
            <w:hideMark/>
          </w:tcPr>
          <w:p w:rsidR="00DE71F6" w:rsidRPr="00692606" w:rsidRDefault="00DE71F6" w:rsidP="001354FE">
            <w:pPr>
              <w:tabs>
                <w:tab w:val="left" w:pos="531"/>
              </w:tabs>
              <w:spacing w:before="40" w:after="40" w:line="240" w:lineRule="auto"/>
              <w:ind w:left="144" w:right="43"/>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Estimate</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8</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7</w:t>
            </w:r>
          </w:p>
        </w:tc>
      </w:tr>
      <w:tr w:rsidR="00DE71F6" w:rsidRPr="00692606" w:rsidTr="001354FE">
        <w:tc>
          <w:tcPr>
            <w:tcW w:w="2851" w:type="dxa"/>
            <w:vMerge/>
            <w:tcBorders>
              <w:bottom w:val="single" w:sz="4" w:space="0" w:color="auto"/>
            </w:tcBorders>
            <w:hideMark/>
          </w:tcPr>
          <w:p w:rsidR="00DE71F6" w:rsidRPr="00692606" w:rsidRDefault="00DE71F6" w:rsidP="001354FE">
            <w:pPr>
              <w:tabs>
                <w:tab w:val="left" w:pos="408"/>
              </w:tabs>
              <w:spacing w:before="40" w:after="40" w:line="240" w:lineRule="auto"/>
              <w:ind w:right="115"/>
              <w:rPr>
                <w:rFonts w:eastAsia="Calibri"/>
                <w:spacing w:val="4"/>
                <w:w w:val="103"/>
                <w:kern w:val="14"/>
              </w:rPr>
            </w:pPr>
          </w:p>
        </w:tc>
        <w:tc>
          <w:tcPr>
            <w:tcW w:w="3188" w:type="dxa"/>
            <w:vMerge/>
            <w:tcBorders>
              <w:top w:val="single" w:sz="4" w:space="0" w:color="auto"/>
              <w:bottom w:val="single" w:sz="4" w:space="0" w:color="auto"/>
            </w:tcBorders>
            <w:hideMark/>
          </w:tcPr>
          <w:p w:rsidR="00DE71F6" w:rsidRPr="00692606" w:rsidRDefault="00DE71F6" w:rsidP="001354FE">
            <w:pPr>
              <w:tabs>
                <w:tab w:val="left" w:pos="531"/>
              </w:tabs>
              <w:spacing w:before="40" w:after="40" w:line="240" w:lineRule="auto"/>
              <w:ind w:left="144" w:right="43"/>
              <w:rPr>
                <w:rFonts w:eastAsia="Calibri"/>
                <w:spacing w:val="4"/>
                <w:w w:val="103"/>
                <w:kern w:val="14"/>
              </w:rPr>
            </w:pPr>
          </w:p>
        </w:tc>
        <w:tc>
          <w:tcPr>
            <w:tcW w:w="893" w:type="dxa"/>
            <w:tcBorders>
              <w:bottom w:val="single" w:sz="4" w:space="0" w:color="auto"/>
            </w:tcBorders>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Actual</w:t>
            </w:r>
          </w:p>
        </w:tc>
        <w:tc>
          <w:tcPr>
            <w:tcW w:w="948" w:type="dxa"/>
            <w:tcBorders>
              <w:bottom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Borders>
              <w:bottom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75" w:type="dxa"/>
            <w:tcBorders>
              <w:bottom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r w:rsidRPr="00692606">
              <w:rPr>
                <w:rFonts w:eastAsia="Calibri"/>
                <w:spacing w:val="4"/>
                <w:w w:val="103"/>
                <w:kern w:val="14"/>
                <w:vertAlign w:val="superscript"/>
              </w:rPr>
              <w:t>1</w:t>
            </w:r>
          </w:p>
        </w:tc>
      </w:tr>
      <w:tr w:rsidR="00DE71F6" w:rsidRPr="00692606" w:rsidTr="001354FE">
        <w:tc>
          <w:tcPr>
            <w:tcW w:w="2851" w:type="dxa"/>
            <w:vMerge w:val="restart"/>
            <w:tcBorders>
              <w:top w:val="single" w:sz="4" w:space="0" w:color="auto"/>
            </w:tcBorders>
            <w:hideMark/>
          </w:tcPr>
          <w:p w:rsidR="00DE71F6" w:rsidRPr="00692606" w:rsidRDefault="00DE71F6" w:rsidP="001354FE">
            <w:pPr>
              <w:keepNext/>
              <w:keepLines/>
              <w:tabs>
                <w:tab w:val="left" w:pos="408"/>
              </w:tabs>
              <w:spacing w:before="40" w:after="40" w:line="240" w:lineRule="auto"/>
              <w:rPr>
                <w:rFonts w:eastAsia="Calibri"/>
                <w:spacing w:val="4"/>
                <w:w w:val="103"/>
                <w:kern w:val="14"/>
              </w:rPr>
            </w:pPr>
            <w:r w:rsidRPr="00692606">
              <w:rPr>
                <w:rFonts w:eastAsia="Calibri"/>
                <w:spacing w:val="4"/>
                <w:w w:val="103"/>
                <w:kern w:val="14"/>
              </w:rPr>
              <w:lastRenderedPageBreak/>
              <w:t>(c)</w:t>
            </w:r>
            <w:r w:rsidRPr="00692606">
              <w:rPr>
                <w:rFonts w:eastAsia="Calibri"/>
                <w:spacing w:val="4"/>
                <w:w w:val="103"/>
                <w:kern w:val="14"/>
              </w:rPr>
              <w:tab/>
              <w:t>Enhanced capacity in ECE member States, particularly in landlocked developing countries, for the development of the pan-European and transcontinental transport infrastructure and transport facilitation measures</w:t>
            </w:r>
          </w:p>
        </w:tc>
        <w:tc>
          <w:tcPr>
            <w:tcW w:w="3188" w:type="dxa"/>
            <w:vMerge w:val="restart"/>
            <w:tcBorders>
              <w:top w:val="single" w:sz="4" w:space="0" w:color="auto"/>
            </w:tcBorders>
            <w:hideMark/>
          </w:tcPr>
          <w:p w:rsidR="00DE71F6" w:rsidRPr="00692606" w:rsidRDefault="00DE71F6" w:rsidP="001354FE">
            <w:pPr>
              <w:keepNext/>
              <w:keepLines/>
              <w:tabs>
                <w:tab w:val="left" w:pos="574"/>
                <w:tab w:val="left" w:pos="1000"/>
              </w:tabs>
              <w:spacing w:before="40" w:after="40" w:line="240" w:lineRule="auto"/>
              <w:ind w:left="574" w:right="43" w:hanging="425"/>
              <w:rPr>
                <w:rFonts w:eastAsia="Calibri"/>
                <w:spacing w:val="4"/>
                <w:w w:val="103"/>
                <w:kern w:val="14"/>
              </w:rPr>
            </w:pPr>
            <w:r w:rsidRPr="00692606">
              <w:rPr>
                <w:rFonts w:eastAsia="Calibri"/>
                <w:spacing w:val="4"/>
                <w:w w:val="103"/>
                <w:kern w:val="14"/>
              </w:rPr>
              <w:t>(c)</w:t>
            </w:r>
            <w:r w:rsidRPr="00692606">
              <w:rPr>
                <w:rFonts w:eastAsia="Calibri"/>
                <w:spacing w:val="4"/>
                <w:w w:val="103"/>
                <w:kern w:val="14"/>
              </w:rPr>
              <w:tab/>
              <w:t>(</w:t>
            </w:r>
            <w:proofErr w:type="spellStart"/>
            <w:r w:rsidRPr="00692606">
              <w:rPr>
                <w:rFonts w:eastAsia="Calibri"/>
                <w:spacing w:val="4"/>
                <w:w w:val="103"/>
                <w:kern w:val="14"/>
              </w:rPr>
              <w:t>i</w:t>
            </w:r>
            <w:proofErr w:type="spellEnd"/>
            <w:r w:rsidRPr="00692606">
              <w:rPr>
                <w:rFonts w:eastAsia="Calibri"/>
                <w:spacing w:val="4"/>
                <w:w w:val="103"/>
                <w:kern w:val="14"/>
              </w:rPr>
              <w:t>)</w:t>
            </w:r>
            <w:r w:rsidRPr="00692606">
              <w:rPr>
                <w:rFonts w:eastAsia="Calibri"/>
                <w:spacing w:val="4"/>
                <w:w w:val="103"/>
                <w:kern w:val="14"/>
              </w:rPr>
              <w:tab/>
              <w:t>Increased number of Contracting Parties to four key transport infrastructure agreements</w:t>
            </w:r>
          </w:p>
        </w:tc>
        <w:tc>
          <w:tcPr>
            <w:tcW w:w="893" w:type="dxa"/>
            <w:tcBorders>
              <w:top w:val="single" w:sz="4" w:space="0" w:color="auto"/>
            </w:tcBorders>
            <w:hideMark/>
          </w:tcPr>
          <w:p w:rsidR="00DE71F6" w:rsidRPr="00692606" w:rsidRDefault="00DE71F6" w:rsidP="001354FE">
            <w:pPr>
              <w:keepNext/>
              <w:keepLines/>
              <w:spacing w:before="40" w:after="40" w:line="240" w:lineRule="auto"/>
              <w:ind w:left="86" w:right="43"/>
              <w:rPr>
                <w:rFonts w:eastAsia="Calibri"/>
                <w:spacing w:val="4"/>
                <w:w w:val="103"/>
                <w:kern w:val="14"/>
              </w:rPr>
            </w:pPr>
            <w:r w:rsidRPr="00692606">
              <w:rPr>
                <w:rFonts w:eastAsia="Calibri"/>
                <w:spacing w:val="4"/>
                <w:w w:val="103"/>
                <w:kern w:val="14"/>
              </w:rPr>
              <w:t>Target</w:t>
            </w:r>
          </w:p>
        </w:tc>
        <w:tc>
          <w:tcPr>
            <w:tcW w:w="948" w:type="dxa"/>
            <w:tcBorders>
              <w:top w:val="single" w:sz="4" w:space="0" w:color="auto"/>
            </w:tcBorders>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116</w:t>
            </w:r>
          </w:p>
        </w:tc>
        <w:tc>
          <w:tcPr>
            <w:tcW w:w="884" w:type="dxa"/>
            <w:tcBorders>
              <w:top w:val="single" w:sz="4" w:space="0" w:color="auto"/>
            </w:tcBorders>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116</w:t>
            </w:r>
          </w:p>
        </w:tc>
        <w:tc>
          <w:tcPr>
            <w:tcW w:w="875" w:type="dxa"/>
            <w:tcBorders>
              <w:top w:val="single" w:sz="4" w:space="0" w:color="auto"/>
            </w:tcBorders>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115</w:t>
            </w:r>
          </w:p>
        </w:tc>
      </w:tr>
      <w:tr w:rsidR="00DE71F6" w:rsidRPr="00692606" w:rsidTr="001354FE">
        <w:tc>
          <w:tcPr>
            <w:tcW w:w="2851" w:type="dxa"/>
            <w:vMerge/>
            <w:vAlign w:val="center"/>
            <w:hideMark/>
          </w:tcPr>
          <w:p w:rsidR="00DE71F6" w:rsidRPr="00692606" w:rsidRDefault="00DE71F6" w:rsidP="001354FE">
            <w:pPr>
              <w:keepNext/>
              <w:keepLines/>
              <w:tabs>
                <w:tab w:val="left" w:pos="549"/>
              </w:tabs>
              <w:spacing w:before="40" w:after="40" w:line="240" w:lineRule="auto"/>
              <w:rPr>
                <w:rFonts w:eastAsia="Calibri"/>
                <w:spacing w:val="4"/>
                <w:w w:val="103"/>
                <w:kern w:val="14"/>
              </w:rPr>
            </w:pPr>
          </w:p>
        </w:tc>
        <w:tc>
          <w:tcPr>
            <w:tcW w:w="3188" w:type="dxa"/>
            <w:vMerge/>
            <w:vAlign w:val="center"/>
            <w:hideMark/>
          </w:tcPr>
          <w:p w:rsidR="00DE71F6" w:rsidRPr="00692606" w:rsidRDefault="00DE71F6" w:rsidP="001354FE">
            <w:pPr>
              <w:keepNext/>
              <w:keepLines/>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keepNext/>
              <w:keepLines/>
              <w:spacing w:before="40" w:after="40" w:line="240" w:lineRule="auto"/>
              <w:ind w:left="86" w:right="43"/>
              <w:rPr>
                <w:rFonts w:eastAsia="Calibri"/>
                <w:spacing w:val="4"/>
                <w:w w:val="103"/>
                <w:kern w:val="14"/>
              </w:rPr>
            </w:pPr>
            <w:r w:rsidRPr="00692606">
              <w:rPr>
                <w:rFonts w:eastAsia="Calibri"/>
                <w:spacing w:val="4"/>
                <w:w w:val="103"/>
                <w:kern w:val="14"/>
              </w:rPr>
              <w:t>Estimate</w:t>
            </w:r>
          </w:p>
        </w:tc>
        <w:tc>
          <w:tcPr>
            <w:tcW w:w="948"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116</w:t>
            </w:r>
          </w:p>
        </w:tc>
        <w:tc>
          <w:tcPr>
            <w:tcW w:w="875"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115</w:t>
            </w:r>
          </w:p>
        </w:tc>
      </w:tr>
      <w:tr w:rsidR="00DE71F6" w:rsidRPr="00692606" w:rsidTr="001354FE">
        <w:tc>
          <w:tcPr>
            <w:tcW w:w="2851" w:type="dxa"/>
            <w:vMerge/>
            <w:vAlign w:val="center"/>
            <w:hideMark/>
          </w:tcPr>
          <w:p w:rsidR="00DE71F6" w:rsidRPr="00692606" w:rsidRDefault="00DE71F6" w:rsidP="001354FE">
            <w:pPr>
              <w:keepNext/>
              <w:keepLines/>
              <w:tabs>
                <w:tab w:val="left" w:pos="549"/>
              </w:tabs>
              <w:spacing w:before="40" w:after="40" w:line="240" w:lineRule="auto"/>
              <w:rPr>
                <w:rFonts w:eastAsia="Calibri"/>
                <w:spacing w:val="4"/>
                <w:w w:val="103"/>
                <w:kern w:val="14"/>
              </w:rPr>
            </w:pPr>
          </w:p>
        </w:tc>
        <w:tc>
          <w:tcPr>
            <w:tcW w:w="3188" w:type="dxa"/>
            <w:vMerge/>
            <w:vAlign w:val="center"/>
            <w:hideMark/>
          </w:tcPr>
          <w:p w:rsidR="00DE71F6" w:rsidRPr="00692606" w:rsidRDefault="00DE71F6" w:rsidP="001354FE">
            <w:pPr>
              <w:keepNext/>
              <w:keepLines/>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keepNext/>
              <w:keepLines/>
              <w:spacing w:before="40" w:after="40" w:line="240" w:lineRule="auto"/>
              <w:ind w:left="86" w:right="43"/>
              <w:rPr>
                <w:rFonts w:eastAsia="Calibri"/>
                <w:spacing w:val="4"/>
                <w:w w:val="103"/>
                <w:kern w:val="14"/>
              </w:rPr>
            </w:pPr>
            <w:r w:rsidRPr="00692606">
              <w:rPr>
                <w:rFonts w:eastAsia="Calibri"/>
                <w:spacing w:val="4"/>
                <w:w w:val="103"/>
                <w:kern w:val="14"/>
              </w:rPr>
              <w:t>Actual</w:t>
            </w:r>
          </w:p>
        </w:tc>
        <w:tc>
          <w:tcPr>
            <w:tcW w:w="948"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p>
        </w:tc>
        <w:tc>
          <w:tcPr>
            <w:tcW w:w="875"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115</w:t>
            </w:r>
          </w:p>
        </w:tc>
      </w:tr>
      <w:tr w:rsidR="00DE71F6" w:rsidRPr="00692606" w:rsidTr="001354FE">
        <w:tc>
          <w:tcPr>
            <w:tcW w:w="2851" w:type="dxa"/>
            <w:vMerge/>
            <w:vAlign w:val="center"/>
            <w:hideMark/>
          </w:tcPr>
          <w:p w:rsidR="00DE71F6" w:rsidRPr="00692606" w:rsidRDefault="00DE71F6" w:rsidP="001354FE">
            <w:pPr>
              <w:keepNext/>
              <w:keepLines/>
              <w:tabs>
                <w:tab w:val="left" w:pos="549"/>
              </w:tabs>
              <w:suppressAutoHyphens w:val="0"/>
              <w:spacing w:line="240" w:lineRule="auto"/>
              <w:rPr>
                <w:rFonts w:eastAsia="Calibri"/>
                <w:spacing w:val="4"/>
                <w:w w:val="103"/>
                <w:kern w:val="14"/>
              </w:rPr>
            </w:pPr>
          </w:p>
        </w:tc>
        <w:tc>
          <w:tcPr>
            <w:tcW w:w="3188" w:type="dxa"/>
            <w:vMerge w:val="restart"/>
            <w:hideMark/>
          </w:tcPr>
          <w:p w:rsidR="00DE71F6" w:rsidRPr="00692606" w:rsidRDefault="00DE71F6" w:rsidP="001354FE">
            <w:pPr>
              <w:keepNext/>
              <w:keepLines/>
              <w:tabs>
                <w:tab w:val="left" w:pos="574"/>
                <w:tab w:val="left" w:pos="1000"/>
              </w:tabs>
              <w:spacing w:before="40" w:after="40" w:line="240" w:lineRule="auto"/>
              <w:ind w:left="574" w:right="43" w:hanging="425"/>
              <w:rPr>
                <w:rFonts w:eastAsia="Calibri"/>
                <w:spacing w:val="4"/>
                <w:w w:val="103"/>
                <w:kern w:val="14"/>
              </w:rPr>
            </w:pPr>
            <w:r w:rsidRPr="00692606">
              <w:rPr>
                <w:rFonts w:eastAsia="Calibri"/>
                <w:spacing w:val="4"/>
                <w:w w:val="103"/>
                <w:kern w:val="14"/>
              </w:rPr>
              <w:tab/>
              <w:t>(ii)</w:t>
            </w:r>
            <w:r w:rsidRPr="00692606">
              <w:rPr>
                <w:rFonts w:eastAsia="Calibri"/>
                <w:spacing w:val="4"/>
                <w:w w:val="103"/>
                <w:kern w:val="14"/>
              </w:rPr>
              <w:tab/>
              <w:t>Number of United Nations Member States using the ECE common framework for subregional transport infrastructure development (EATL, TEM and TER)</w:t>
            </w:r>
          </w:p>
          <w:p w:rsidR="00DE71F6" w:rsidRPr="00692606" w:rsidRDefault="00DE71F6" w:rsidP="001354FE">
            <w:pPr>
              <w:keepNext/>
              <w:keepLines/>
              <w:tabs>
                <w:tab w:val="left" w:pos="574"/>
                <w:tab w:val="left" w:pos="1000"/>
              </w:tabs>
              <w:spacing w:before="40" w:after="40" w:line="240" w:lineRule="auto"/>
              <w:ind w:left="574" w:right="43" w:hanging="425"/>
              <w:rPr>
                <w:rFonts w:eastAsia="Calibri"/>
                <w:spacing w:val="4"/>
                <w:w w:val="103"/>
                <w:kern w:val="14"/>
              </w:rPr>
            </w:pPr>
          </w:p>
        </w:tc>
        <w:tc>
          <w:tcPr>
            <w:tcW w:w="893" w:type="dxa"/>
            <w:hideMark/>
          </w:tcPr>
          <w:p w:rsidR="00DE71F6" w:rsidRPr="00692606" w:rsidRDefault="00DE71F6" w:rsidP="001354FE">
            <w:pPr>
              <w:keepNext/>
              <w:keepLines/>
              <w:spacing w:before="40" w:after="40" w:line="240" w:lineRule="auto"/>
              <w:ind w:left="86" w:right="43"/>
              <w:rPr>
                <w:rFonts w:eastAsia="Calibri"/>
                <w:spacing w:val="4"/>
                <w:w w:val="103"/>
                <w:kern w:val="14"/>
              </w:rPr>
            </w:pPr>
            <w:r w:rsidRPr="00692606">
              <w:rPr>
                <w:rFonts w:eastAsia="Calibri"/>
                <w:spacing w:val="4"/>
                <w:w w:val="103"/>
                <w:kern w:val="14"/>
              </w:rPr>
              <w:t>Target</w:t>
            </w:r>
          </w:p>
        </w:tc>
        <w:tc>
          <w:tcPr>
            <w:tcW w:w="948"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55</w:t>
            </w:r>
          </w:p>
        </w:tc>
        <w:tc>
          <w:tcPr>
            <w:tcW w:w="884"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w:t>
            </w:r>
          </w:p>
        </w:tc>
        <w:tc>
          <w:tcPr>
            <w:tcW w:w="875"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w:t>
            </w:r>
          </w:p>
        </w:tc>
      </w:tr>
      <w:tr w:rsidR="00DE71F6" w:rsidRPr="00692606" w:rsidTr="001354FE">
        <w:tc>
          <w:tcPr>
            <w:tcW w:w="2851" w:type="dxa"/>
            <w:vMerge/>
            <w:vAlign w:val="center"/>
            <w:hideMark/>
          </w:tcPr>
          <w:p w:rsidR="00DE71F6" w:rsidRPr="00692606" w:rsidRDefault="00DE71F6" w:rsidP="001354FE">
            <w:pPr>
              <w:keepNext/>
              <w:keepLines/>
              <w:tabs>
                <w:tab w:val="left" w:pos="549"/>
              </w:tabs>
              <w:spacing w:before="40" w:after="40" w:line="240" w:lineRule="auto"/>
              <w:rPr>
                <w:rFonts w:eastAsia="Calibri"/>
                <w:spacing w:val="4"/>
                <w:w w:val="103"/>
                <w:kern w:val="14"/>
              </w:rPr>
            </w:pPr>
          </w:p>
        </w:tc>
        <w:tc>
          <w:tcPr>
            <w:tcW w:w="3188" w:type="dxa"/>
            <w:vMerge/>
            <w:vAlign w:val="center"/>
            <w:hideMark/>
          </w:tcPr>
          <w:p w:rsidR="00DE71F6" w:rsidRPr="00692606" w:rsidRDefault="00DE71F6" w:rsidP="001354FE">
            <w:pPr>
              <w:keepNext/>
              <w:keepLines/>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keepNext/>
              <w:keepLines/>
              <w:spacing w:before="40" w:after="40" w:line="240" w:lineRule="auto"/>
              <w:ind w:left="86" w:right="43"/>
              <w:rPr>
                <w:rFonts w:eastAsia="Calibri"/>
                <w:spacing w:val="4"/>
                <w:w w:val="103"/>
                <w:kern w:val="14"/>
              </w:rPr>
            </w:pPr>
            <w:r w:rsidRPr="00692606">
              <w:rPr>
                <w:rFonts w:eastAsia="Calibri"/>
                <w:spacing w:val="4"/>
                <w:w w:val="103"/>
                <w:kern w:val="14"/>
              </w:rPr>
              <w:t>Estimate</w:t>
            </w:r>
          </w:p>
        </w:tc>
        <w:tc>
          <w:tcPr>
            <w:tcW w:w="948"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w:t>
            </w:r>
          </w:p>
        </w:tc>
        <w:tc>
          <w:tcPr>
            <w:tcW w:w="875" w:type="dxa"/>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w:t>
            </w:r>
          </w:p>
        </w:tc>
      </w:tr>
      <w:tr w:rsidR="00DE71F6" w:rsidRPr="00692606" w:rsidTr="001354FE">
        <w:tc>
          <w:tcPr>
            <w:tcW w:w="2851" w:type="dxa"/>
            <w:vMerge/>
            <w:tcBorders>
              <w:bottom w:val="single" w:sz="4" w:space="0" w:color="auto"/>
            </w:tcBorders>
            <w:vAlign w:val="center"/>
            <w:hideMark/>
          </w:tcPr>
          <w:p w:rsidR="00DE71F6" w:rsidRPr="00692606" w:rsidRDefault="00DE71F6" w:rsidP="001354FE">
            <w:pPr>
              <w:keepNext/>
              <w:keepLines/>
              <w:tabs>
                <w:tab w:val="left" w:pos="549"/>
              </w:tabs>
              <w:spacing w:before="40" w:after="40" w:line="240" w:lineRule="auto"/>
              <w:rPr>
                <w:rFonts w:eastAsia="Calibri"/>
                <w:spacing w:val="4"/>
                <w:w w:val="103"/>
                <w:kern w:val="14"/>
              </w:rPr>
            </w:pPr>
          </w:p>
        </w:tc>
        <w:tc>
          <w:tcPr>
            <w:tcW w:w="3188" w:type="dxa"/>
            <w:vMerge/>
            <w:tcBorders>
              <w:bottom w:val="single" w:sz="4" w:space="0" w:color="auto"/>
            </w:tcBorders>
            <w:vAlign w:val="center"/>
            <w:hideMark/>
          </w:tcPr>
          <w:p w:rsidR="00DE71F6" w:rsidRPr="00692606" w:rsidRDefault="00DE71F6" w:rsidP="001354FE">
            <w:pPr>
              <w:keepNext/>
              <w:keepLines/>
              <w:tabs>
                <w:tab w:val="left" w:pos="567"/>
              </w:tabs>
              <w:spacing w:before="40" w:after="40" w:line="240" w:lineRule="auto"/>
              <w:ind w:left="144"/>
              <w:rPr>
                <w:rFonts w:eastAsia="Calibri"/>
                <w:spacing w:val="4"/>
                <w:w w:val="103"/>
                <w:kern w:val="14"/>
              </w:rPr>
            </w:pPr>
          </w:p>
        </w:tc>
        <w:tc>
          <w:tcPr>
            <w:tcW w:w="893" w:type="dxa"/>
            <w:tcBorders>
              <w:bottom w:val="single" w:sz="4" w:space="0" w:color="auto"/>
            </w:tcBorders>
            <w:hideMark/>
          </w:tcPr>
          <w:p w:rsidR="00DE71F6" w:rsidRPr="00692606" w:rsidRDefault="00DE71F6" w:rsidP="001354FE">
            <w:pPr>
              <w:keepNext/>
              <w:keepLines/>
              <w:spacing w:before="40" w:after="40" w:line="240" w:lineRule="auto"/>
              <w:ind w:left="86" w:right="43"/>
              <w:rPr>
                <w:rFonts w:eastAsia="Calibri"/>
                <w:spacing w:val="4"/>
                <w:w w:val="103"/>
                <w:kern w:val="14"/>
              </w:rPr>
            </w:pPr>
            <w:r w:rsidRPr="00692606">
              <w:rPr>
                <w:rFonts w:eastAsia="Calibri"/>
                <w:spacing w:val="4"/>
                <w:w w:val="103"/>
                <w:kern w:val="14"/>
              </w:rPr>
              <w:t>Actual</w:t>
            </w:r>
          </w:p>
        </w:tc>
        <w:tc>
          <w:tcPr>
            <w:tcW w:w="948" w:type="dxa"/>
            <w:tcBorders>
              <w:bottom w:val="single" w:sz="4" w:space="0" w:color="auto"/>
            </w:tcBorders>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p>
        </w:tc>
        <w:tc>
          <w:tcPr>
            <w:tcW w:w="884" w:type="dxa"/>
            <w:tcBorders>
              <w:bottom w:val="single" w:sz="4" w:space="0" w:color="auto"/>
            </w:tcBorders>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p>
        </w:tc>
        <w:tc>
          <w:tcPr>
            <w:tcW w:w="875" w:type="dxa"/>
            <w:tcBorders>
              <w:bottom w:val="single" w:sz="4" w:space="0" w:color="auto"/>
            </w:tcBorders>
            <w:tcMar>
              <w:right w:w="227" w:type="dxa"/>
            </w:tcMar>
          </w:tcPr>
          <w:p w:rsidR="00DE71F6" w:rsidRPr="00692606" w:rsidRDefault="00DE71F6" w:rsidP="001354FE">
            <w:pPr>
              <w:keepNext/>
              <w:keepLines/>
              <w:spacing w:before="40" w:after="40" w:line="240" w:lineRule="auto"/>
              <w:ind w:right="43"/>
              <w:jc w:val="right"/>
              <w:rPr>
                <w:rFonts w:eastAsia="Calibri"/>
                <w:spacing w:val="4"/>
                <w:w w:val="103"/>
                <w:kern w:val="14"/>
              </w:rPr>
            </w:pPr>
            <w:r w:rsidRPr="00692606">
              <w:rPr>
                <w:rFonts w:eastAsia="Calibri"/>
                <w:spacing w:val="4"/>
                <w:w w:val="103"/>
                <w:kern w:val="14"/>
              </w:rPr>
              <w:t>-</w:t>
            </w:r>
          </w:p>
        </w:tc>
      </w:tr>
      <w:tr w:rsidR="00DE71F6" w:rsidRPr="00692606" w:rsidTr="001354FE">
        <w:tc>
          <w:tcPr>
            <w:tcW w:w="2851" w:type="dxa"/>
            <w:vMerge w:val="restart"/>
            <w:tcBorders>
              <w:top w:val="single" w:sz="4" w:space="0" w:color="auto"/>
            </w:tcBorders>
            <w:hideMark/>
          </w:tcPr>
          <w:p w:rsidR="00DE71F6" w:rsidRPr="00692606" w:rsidRDefault="00DE71F6" w:rsidP="001354FE">
            <w:pPr>
              <w:tabs>
                <w:tab w:val="left" w:pos="549"/>
              </w:tabs>
              <w:spacing w:before="40" w:after="40" w:line="240" w:lineRule="auto"/>
              <w:rPr>
                <w:rFonts w:eastAsia="Calibri"/>
                <w:spacing w:val="4"/>
                <w:w w:val="103"/>
                <w:kern w:val="14"/>
              </w:rPr>
            </w:pPr>
            <w:r w:rsidRPr="00692606">
              <w:rPr>
                <w:rFonts w:eastAsia="Calibri"/>
                <w:spacing w:val="4"/>
                <w:w w:val="103"/>
                <w:kern w:val="14"/>
              </w:rPr>
              <w:t>(d)</w:t>
            </w:r>
            <w:r w:rsidRPr="00692606">
              <w:rPr>
                <w:rFonts w:eastAsia="Calibri"/>
                <w:spacing w:val="4"/>
                <w:w w:val="103"/>
                <w:kern w:val="14"/>
              </w:rPr>
              <w:tab/>
              <w:t>Strengthened capacity to implement relevant U</w:t>
            </w:r>
            <w:r w:rsidR="006E2175" w:rsidRPr="00692606">
              <w:rPr>
                <w:rFonts w:eastAsia="Calibri"/>
                <w:spacing w:val="4"/>
                <w:w w:val="103"/>
                <w:kern w:val="14"/>
              </w:rPr>
              <w:t xml:space="preserve">nited </w:t>
            </w:r>
            <w:r w:rsidRPr="00692606">
              <w:rPr>
                <w:rFonts w:eastAsia="Calibri"/>
                <w:spacing w:val="4"/>
                <w:w w:val="103"/>
                <w:kern w:val="14"/>
              </w:rPr>
              <w:t>N</w:t>
            </w:r>
            <w:r w:rsidR="006E2175" w:rsidRPr="00692606">
              <w:rPr>
                <w:rFonts w:eastAsia="Calibri"/>
                <w:spacing w:val="4"/>
                <w:w w:val="103"/>
                <w:kern w:val="14"/>
              </w:rPr>
              <w:t>ations</w:t>
            </w:r>
            <w:r w:rsidRPr="00692606">
              <w:rPr>
                <w:rFonts w:eastAsia="Calibri"/>
                <w:spacing w:val="4"/>
                <w:w w:val="103"/>
                <w:kern w:val="14"/>
              </w:rPr>
              <w:t xml:space="preserve"> legal instruments, norms and regulations on transport, in particular in the countries of Eastern and South-Eastern Europe, the Caucasus and Central Asia</w:t>
            </w:r>
          </w:p>
        </w:tc>
        <w:tc>
          <w:tcPr>
            <w:tcW w:w="3188" w:type="dxa"/>
            <w:vMerge w:val="restart"/>
            <w:tcBorders>
              <w:top w:val="single" w:sz="4" w:space="0" w:color="auto"/>
            </w:tcBorders>
            <w:hideMark/>
          </w:tcPr>
          <w:p w:rsidR="00DE71F6" w:rsidRPr="00692606" w:rsidRDefault="00DE71F6" w:rsidP="001354FE">
            <w:pPr>
              <w:tabs>
                <w:tab w:val="left" w:pos="574"/>
                <w:tab w:val="left" w:pos="1000"/>
              </w:tabs>
              <w:spacing w:before="40" w:after="40" w:line="240" w:lineRule="auto"/>
              <w:ind w:left="574" w:right="43" w:hanging="425"/>
              <w:rPr>
                <w:rFonts w:eastAsia="Calibri"/>
                <w:spacing w:val="4"/>
                <w:w w:val="103"/>
                <w:kern w:val="14"/>
              </w:rPr>
            </w:pPr>
            <w:r w:rsidRPr="00692606">
              <w:rPr>
                <w:rFonts w:eastAsia="Calibri"/>
                <w:spacing w:val="4"/>
                <w:w w:val="103"/>
                <w:kern w:val="14"/>
              </w:rPr>
              <w:t>(d)</w:t>
            </w:r>
            <w:r w:rsidRPr="00692606">
              <w:rPr>
                <w:rFonts w:eastAsia="Calibri"/>
                <w:spacing w:val="4"/>
                <w:w w:val="103"/>
                <w:kern w:val="14"/>
              </w:rPr>
              <w:tab/>
              <w:t>(</w:t>
            </w:r>
            <w:proofErr w:type="spellStart"/>
            <w:r w:rsidRPr="00692606">
              <w:rPr>
                <w:rFonts w:eastAsia="Calibri"/>
                <w:spacing w:val="4"/>
                <w:w w:val="103"/>
                <w:kern w:val="14"/>
              </w:rPr>
              <w:t>i</w:t>
            </w:r>
            <w:proofErr w:type="spellEnd"/>
            <w:r w:rsidRPr="00692606">
              <w:rPr>
                <w:rFonts w:eastAsia="Calibri"/>
                <w:spacing w:val="4"/>
                <w:w w:val="103"/>
                <w:kern w:val="14"/>
              </w:rPr>
              <w:t>)</w:t>
            </w:r>
            <w:r w:rsidRPr="00692606">
              <w:rPr>
                <w:rFonts w:eastAsia="Calibri"/>
                <w:spacing w:val="4"/>
                <w:w w:val="103"/>
                <w:kern w:val="14"/>
              </w:rPr>
              <w:tab/>
              <w:t xml:space="preserve">Number of countries of Eastern and South-Eastern Europe, the Caucasus and Central Asia that report adopting measures to apply UN legal instruments, norms and regulations on transport administered by ECE </w:t>
            </w:r>
          </w:p>
        </w:tc>
        <w:tc>
          <w:tcPr>
            <w:tcW w:w="893" w:type="dxa"/>
            <w:tcBorders>
              <w:top w:val="single" w:sz="4" w:space="0" w:color="auto"/>
            </w:tcBorders>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Target</w:t>
            </w:r>
          </w:p>
        </w:tc>
        <w:tc>
          <w:tcPr>
            <w:tcW w:w="948" w:type="dxa"/>
            <w:tcBorders>
              <w:top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10</w:t>
            </w:r>
          </w:p>
        </w:tc>
        <w:tc>
          <w:tcPr>
            <w:tcW w:w="884" w:type="dxa"/>
            <w:tcBorders>
              <w:top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p>
        </w:tc>
        <w:tc>
          <w:tcPr>
            <w:tcW w:w="875" w:type="dxa"/>
            <w:tcBorders>
              <w:top w:val="single" w:sz="4" w:space="0" w:color="auto"/>
            </w:tcBorders>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p>
        </w:tc>
      </w:tr>
      <w:tr w:rsidR="00DE71F6" w:rsidRPr="00692606" w:rsidTr="001354FE">
        <w:tc>
          <w:tcPr>
            <w:tcW w:w="2851" w:type="dxa"/>
            <w:vMerge/>
            <w:vAlign w:val="center"/>
            <w:hideMark/>
          </w:tcPr>
          <w:p w:rsidR="00DE71F6" w:rsidRPr="00692606" w:rsidRDefault="00DE71F6" w:rsidP="001354FE">
            <w:pPr>
              <w:spacing w:before="40" w:after="40" w:line="240" w:lineRule="auto"/>
              <w:ind w:right="115"/>
              <w:rPr>
                <w:rFonts w:eastAsia="Calibri"/>
                <w:spacing w:val="4"/>
                <w:w w:val="103"/>
                <w:kern w:val="14"/>
              </w:rPr>
            </w:pPr>
          </w:p>
        </w:tc>
        <w:tc>
          <w:tcPr>
            <w:tcW w:w="3188" w:type="dxa"/>
            <w:vMerge/>
            <w:vAlign w:val="center"/>
            <w:hideMark/>
          </w:tcPr>
          <w:p w:rsidR="00DE71F6" w:rsidRPr="00692606" w:rsidRDefault="00DE71F6" w:rsidP="001354FE">
            <w:pPr>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Estimate</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p>
        </w:tc>
      </w:tr>
      <w:tr w:rsidR="00DE71F6" w:rsidRPr="00692606" w:rsidTr="001354FE">
        <w:tc>
          <w:tcPr>
            <w:tcW w:w="2851" w:type="dxa"/>
            <w:vMerge/>
            <w:vAlign w:val="center"/>
            <w:hideMark/>
          </w:tcPr>
          <w:p w:rsidR="00DE71F6" w:rsidRPr="00692606" w:rsidRDefault="00DE71F6" w:rsidP="001354FE">
            <w:pPr>
              <w:spacing w:before="40" w:after="40" w:line="240" w:lineRule="auto"/>
              <w:ind w:right="115"/>
              <w:rPr>
                <w:rFonts w:eastAsia="Calibri"/>
                <w:spacing w:val="4"/>
                <w:w w:val="103"/>
                <w:kern w:val="14"/>
              </w:rPr>
            </w:pPr>
          </w:p>
        </w:tc>
        <w:tc>
          <w:tcPr>
            <w:tcW w:w="3188" w:type="dxa"/>
            <w:vMerge/>
            <w:vAlign w:val="center"/>
            <w:hideMark/>
          </w:tcPr>
          <w:p w:rsidR="00DE71F6" w:rsidRPr="00692606" w:rsidRDefault="00DE71F6" w:rsidP="001354FE">
            <w:pPr>
              <w:tabs>
                <w:tab w:val="left" w:pos="567"/>
              </w:tabs>
              <w:spacing w:before="40" w:after="40" w:line="240" w:lineRule="auto"/>
              <w:ind w:left="144"/>
              <w:rPr>
                <w:rFonts w:eastAsia="Calibri"/>
                <w:spacing w:val="4"/>
                <w:w w:val="103"/>
                <w:kern w:val="14"/>
              </w:rPr>
            </w:pPr>
          </w:p>
        </w:tc>
        <w:tc>
          <w:tcPr>
            <w:tcW w:w="893" w:type="dxa"/>
            <w:hideMark/>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Actual</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p>
        </w:tc>
      </w:tr>
      <w:tr w:rsidR="00DE71F6" w:rsidRPr="00692606" w:rsidTr="001354FE">
        <w:tc>
          <w:tcPr>
            <w:tcW w:w="2851" w:type="dxa"/>
            <w:vMerge/>
          </w:tcPr>
          <w:p w:rsidR="00DE71F6" w:rsidRPr="00692606" w:rsidRDefault="00DE71F6" w:rsidP="001354FE">
            <w:pPr>
              <w:spacing w:before="40" w:after="40" w:line="240" w:lineRule="auto"/>
              <w:ind w:right="115"/>
              <w:rPr>
                <w:rFonts w:eastAsia="Calibri"/>
                <w:spacing w:val="4"/>
                <w:w w:val="103"/>
                <w:kern w:val="14"/>
              </w:rPr>
            </w:pPr>
          </w:p>
        </w:tc>
        <w:tc>
          <w:tcPr>
            <w:tcW w:w="3188" w:type="dxa"/>
            <w:vMerge w:val="restart"/>
            <w:tcBorders>
              <w:bottom w:val="single" w:sz="12" w:space="0" w:color="auto"/>
            </w:tcBorders>
          </w:tcPr>
          <w:p w:rsidR="00DE71F6" w:rsidRPr="00692606" w:rsidRDefault="00DE71F6" w:rsidP="001354FE">
            <w:pPr>
              <w:tabs>
                <w:tab w:val="left" w:pos="574"/>
                <w:tab w:val="left" w:pos="1000"/>
              </w:tabs>
              <w:spacing w:before="40" w:after="40" w:line="240" w:lineRule="auto"/>
              <w:ind w:left="574" w:right="43" w:hanging="425"/>
              <w:rPr>
                <w:rFonts w:eastAsia="Calibri"/>
                <w:spacing w:val="4"/>
                <w:w w:val="103"/>
                <w:kern w:val="14"/>
              </w:rPr>
            </w:pPr>
            <w:r w:rsidRPr="00692606">
              <w:rPr>
                <w:rFonts w:eastAsia="Calibri"/>
                <w:spacing w:val="4"/>
                <w:w w:val="103"/>
                <w:kern w:val="14"/>
              </w:rPr>
              <w:tab/>
              <w:t>(ii)</w:t>
            </w:r>
            <w:r w:rsidRPr="00692606">
              <w:rPr>
                <w:rFonts w:eastAsia="Calibri"/>
                <w:spacing w:val="4"/>
                <w:w w:val="103"/>
                <w:kern w:val="14"/>
              </w:rPr>
              <w:tab/>
              <w:t>Number of ECE member States having established road safety improvement targets</w:t>
            </w:r>
          </w:p>
        </w:tc>
        <w:tc>
          <w:tcPr>
            <w:tcW w:w="893" w:type="dxa"/>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Target</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42</w:t>
            </w: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40</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37</w:t>
            </w:r>
          </w:p>
        </w:tc>
      </w:tr>
      <w:tr w:rsidR="00DE71F6" w:rsidRPr="00692606" w:rsidTr="001354FE">
        <w:tc>
          <w:tcPr>
            <w:tcW w:w="2851" w:type="dxa"/>
            <w:vMerge/>
            <w:vAlign w:val="center"/>
          </w:tcPr>
          <w:p w:rsidR="00DE71F6" w:rsidRPr="00692606" w:rsidRDefault="00DE71F6" w:rsidP="001354FE">
            <w:pPr>
              <w:spacing w:before="40" w:after="40" w:line="240" w:lineRule="auto"/>
              <w:ind w:right="43"/>
              <w:rPr>
                <w:rFonts w:eastAsia="Calibri"/>
                <w:spacing w:val="4"/>
                <w:w w:val="103"/>
                <w:kern w:val="14"/>
              </w:rPr>
            </w:pPr>
          </w:p>
        </w:tc>
        <w:tc>
          <w:tcPr>
            <w:tcW w:w="3188" w:type="dxa"/>
            <w:vMerge/>
            <w:tcBorders>
              <w:bottom w:val="single" w:sz="12" w:space="0" w:color="auto"/>
            </w:tcBorders>
            <w:vAlign w:val="center"/>
          </w:tcPr>
          <w:p w:rsidR="00DE71F6" w:rsidRPr="00692606" w:rsidRDefault="00DE71F6" w:rsidP="001354FE">
            <w:pPr>
              <w:spacing w:before="40" w:after="40" w:line="240" w:lineRule="auto"/>
              <w:ind w:right="43"/>
              <w:rPr>
                <w:rFonts w:eastAsia="Calibri"/>
                <w:spacing w:val="4"/>
                <w:w w:val="103"/>
                <w:kern w:val="14"/>
              </w:rPr>
            </w:pPr>
          </w:p>
        </w:tc>
        <w:tc>
          <w:tcPr>
            <w:tcW w:w="893" w:type="dxa"/>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Estimate</w:t>
            </w:r>
          </w:p>
        </w:tc>
        <w:tc>
          <w:tcPr>
            <w:tcW w:w="948"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40</w:t>
            </w:r>
          </w:p>
        </w:tc>
        <w:tc>
          <w:tcPr>
            <w:tcW w:w="875" w:type="dxa"/>
            <w:tcMar>
              <w:right w:w="227"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37</w:t>
            </w:r>
          </w:p>
        </w:tc>
      </w:tr>
      <w:tr w:rsidR="00DE71F6" w:rsidRPr="00692606" w:rsidTr="001354FE">
        <w:tc>
          <w:tcPr>
            <w:tcW w:w="2851" w:type="dxa"/>
            <w:vMerge/>
            <w:tcBorders>
              <w:bottom w:val="single" w:sz="8" w:space="0" w:color="auto"/>
            </w:tcBorders>
            <w:vAlign w:val="center"/>
          </w:tcPr>
          <w:p w:rsidR="00DE71F6" w:rsidRPr="00692606" w:rsidRDefault="00DE71F6" w:rsidP="001354FE">
            <w:pPr>
              <w:spacing w:before="40" w:after="40" w:line="240" w:lineRule="auto"/>
              <w:ind w:right="43"/>
              <w:rPr>
                <w:rFonts w:eastAsia="Calibri"/>
                <w:spacing w:val="4"/>
                <w:w w:val="103"/>
                <w:kern w:val="14"/>
              </w:rPr>
            </w:pPr>
          </w:p>
        </w:tc>
        <w:tc>
          <w:tcPr>
            <w:tcW w:w="3188" w:type="dxa"/>
            <w:vMerge/>
            <w:tcBorders>
              <w:bottom w:val="single" w:sz="8" w:space="0" w:color="auto"/>
            </w:tcBorders>
            <w:vAlign w:val="center"/>
          </w:tcPr>
          <w:p w:rsidR="00DE71F6" w:rsidRPr="00692606" w:rsidRDefault="00DE71F6" w:rsidP="001354FE">
            <w:pPr>
              <w:spacing w:before="40" w:after="40" w:line="240" w:lineRule="auto"/>
              <w:ind w:right="43"/>
              <w:rPr>
                <w:rFonts w:eastAsia="Calibri"/>
                <w:spacing w:val="4"/>
                <w:w w:val="103"/>
                <w:kern w:val="14"/>
              </w:rPr>
            </w:pPr>
          </w:p>
        </w:tc>
        <w:tc>
          <w:tcPr>
            <w:tcW w:w="893" w:type="dxa"/>
            <w:tcBorders>
              <w:bottom w:val="single" w:sz="8" w:space="0" w:color="auto"/>
            </w:tcBorders>
          </w:tcPr>
          <w:p w:rsidR="00DE71F6" w:rsidRPr="00692606" w:rsidRDefault="00DE71F6" w:rsidP="001354FE">
            <w:pPr>
              <w:spacing w:before="40" w:after="40" w:line="240" w:lineRule="auto"/>
              <w:ind w:left="86" w:right="43"/>
              <w:rPr>
                <w:rFonts w:eastAsia="Calibri"/>
                <w:spacing w:val="4"/>
                <w:w w:val="103"/>
                <w:kern w:val="14"/>
              </w:rPr>
            </w:pPr>
            <w:r w:rsidRPr="00692606">
              <w:rPr>
                <w:rFonts w:eastAsia="Calibri"/>
                <w:spacing w:val="4"/>
                <w:w w:val="103"/>
                <w:kern w:val="14"/>
              </w:rPr>
              <w:t>Actual</w:t>
            </w:r>
          </w:p>
        </w:tc>
        <w:tc>
          <w:tcPr>
            <w:tcW w:w="948" w:type="dxa"/>
            <w:tcBorders>
              <w:bottom w:val="single" w:sz="8" w:space="0" w:color="auto"/>
            </w:tcBorders>
            <w:tcMar>
              <w:right w:w="113"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84" w:type="dxa"/>
            <w:tcBorders>
              <w:bottom w:val="single" w:sz="8" w:space="0" w:color="auto"/>
            </w:tcBorders>
            <w:tcMar>
              <w:right w:w="113" w:type="dxa"/>
            </w:tcMar>
          </w:tcPr>
          <w:p w:rsidR="00DE71F6" w:rsidRPr="00692606" w:rsidRDefault="00DE71F6" w:rsidP="001354FE">
            <w:pPr>
              <w:spacing w:before="40" w:after="40" w:line="240" w:lineRule="auto"/>
              <w:ind w:right="43"/>
              <w:jc w:val="right"/>
              <w:rPr>
                <w:rFonts w:eastAsia="Calibri"/>
                <w:spacing w:val="4"/>
                <w:w w:val="103"/>
                <w:kern w:val="14"/>
              </w:rPr>
            </w:pPr>
          </w:p>
        </w:tc>
        <w:tc>
          <w:tcPr>
            <w:tcW w:w="875" w:type="dxa"/>
            <w:tcBorders>
              <w:bottom w:val="single" w:sz="8" w:space="0" w:color="auto"/>
            </w:tcBorders>
            <w:tcMar>
              <w:right w:w="113" w:type="dxa"/>
            </w:tcMar>
          </w:tcPr>
          <w:p w:rsidR="00DE71F6" w:rsidRPr="00692606" w:rsidRDefault="00DE71F6" w:rsidP="001354FE">
            <w:pPr>
              <w:spacing w:before="40" w:after="40" w:line="240" w:lineRule="auto"/>
              <w:ind w:right="43"/>
              <w:jc w:val="right"/>
              <w:rPr>
                <w:rFonts w:eastAsia="Calibri"/>
                <w:spacing w:val="4"/>
                <w:w w:val="103"/>
                <w:kern w:val="14"/>
              </w:rPr>
            </w:pPr>
            <w:r w:rsidRPr="00692606">
              <w:rPr>
                <w:rFonts w:eastAsia="Calibri"/>
                <w:spacing w:val="4"/>
                <w:w w:val="103"/>
                <w:kern w:val="14"/>
              </w:rPr>
              <w:t>*</w:t>
            </w:r>
            <w:r w:rsidRPr="00692606">
              <w:rPr>
                <w:rFonts w:eastAsia="Calibri"/>
                <w:spacing w:val="4"/>
                <w:w w:val="103"/>
                <w:kern w:val="14"/>
                <w:vertAlign w:val="superscript"/>
              </w:rPr>
              <w:t>1</w:t>
            </w:r>
          </w:p>
        </w:tc>
      </w:tr>
    </w:tbl>
    <w:p w:rsidR="00DE71F6" w:rsidRPr="00692606" w:rsidRDefault="00DE71F6" w:rsidP="00DE71F6">
      <w:pPr>
        <w:pStyle w:val="HChG"/>
        <w:rPr>
          <w:spacing w:val="4"/>
          <w:w w:val="103"/>
          <w:kern w:val="14"/>
          <w:sz w:val="22"/>
          <w:szCs w:val="22"/>
        </w:rPr>
      </w:pPr>
      <w:r w:rsidRPr="00692606">
        <w:rPr>
          <w:w w:val="103"/>
          <w:sz w:val="24"/>
        </w:rPr>
        <w:tab/>
        <w:t>III.</w:t>
      </w:r>
      <w:r w:rsidRPr="00692606">
        <w:rPr>
          <w:w w:val="103"/>
          <w:sz w:val="24"/>
        </w:rPr>
        <w:tab/>
      </w:r>
      <w:r w:rsidRPr="00692606">
        <w:rPr>
          <w:w w:val="103"/>
        </w:rPr>
        <w:t>Strategy</w:t>
      </w:r>
    </w:p>
    <w:p w:rsidR="00DE71F6" w:rsidRPr="00692606" w:rsidRDefault="00DE71F6" w:rsidP="00DE71F6">
      <w:pPr>
        <w:pStyle w:val="SingleTxtG"/>
        <w:rPr>
          <w:w w:val="103"/>
        </w:rPr>
      </w:pPr>
      <w:r w:rsidRPr="00692606">
        <w:rPr>
          <w:w w:val="103"/>
        </w:rPr>
        <w:t>2.</w:t>
      </w:r>
      <w:r w:rsidRPr="00692606">
        <w:rPr>
          <w:w w:val="103"/>
        </w:rPr>
        <w:tab/>
        <w:t xml:space="preserve">The Sustainable Transport Division is responsible for implementing the subprogramme. The subprogramme will contribute to the implementation of the 2030 Agenda for Sustainable Development and achievement of the transport-related SDGs, especially Goals 3, 9 and 11. This objective </w:t>
      </w:r>
      <w:proofErr w:type="gramStart"/>
      <w:r w:rsidRPr="00692606">
        <w:rPr>
          <w:w w:val="103"/>
        </w:rPr>
        <w:t>will be achieved</w:t>
      </w:r>
      <w:proofErr w:type="gramEnd"/>
      <w:r w:rsidRPr="00692606">
        <w:rPr>
          <w:w w:val="103"/>
        </w:rPr>
        <w:t xml:space="preserve"> through: </w:t>
      </w:r>
    </w:p>
    <w:p w:rsidR="00DE71F6" w:rsidRPr="00692606" w:rsidRDefault="00DE71F6" w:rsidP="00DE71F6">
      <w:pPr>
        <w:pStyle w:val="SingleTxtG"/>
        <w:rPr>
          <w:w w:val="103"/>
        </w:rPr>
      </w:pPr>
      <w:r w:rsidRPr="00692606">
        <w:rPr>
          <w:w w:val="103"/>
        </w:rPr>
        <w:tab/>
        <w:t>(a)</w:t>
      </w:r>
      <w:r w:rsidRPr="00692606">
        <w:rPr>
          <w:w w:val="103"/>
        </w:rPr>
        <w:tab/>
        <w:t xml:space="preserve">Normative work on further development of legal and regulatory framework for inland transport at international, national and local levels through new instruments and the updating of 58 legal instruments that cover all modes of inland transport, vehicle regulations and the transport of dangerous goods. </w:t>
      </w:r>
      <w:proofErr w:type="gramStart"/>
      <w:r w:rsidRPr="00692606">
        <w:rPr>
          <w:w w:val="103"/>
        </w:rPr>
        <w:t xml:space="preserve">The </w:t>
      </w:r>
      <w:r w:rsidR="00692606">
        <w:rPr>
          <w:w w:val="103"/>
        </w:rPr>
        <w:t xml:space="preserve">Division will implement the </w:t>
      </w:r>
      <w:proofErr w:type="spellStart"/>
      <w:r w:rsidRPr="00692606">
        <w:rPr>
          <w:w w:val="103"/>
        </w:rPr>
        <w:t>subprogramme</w:t>
      </w:r>
      <w:proofErr w:type="spellEnd"/>
      <w:r w:rsidRPr="00692606">
        <w:rPr>
          <w:w w:val="103"/>
        </w:rPr>
        <w:t xml:space="preserve"> </w:t>
      </w:r>
      <w:r w:rsidR="00692606">
        <w:rPr>
          <w:w w:val="103"/>
        </w:rPr>
        <w:t xml:space="preserve">by </w:t>
      </w:r>
      <w:r w:rsidRPr="00692606">
        <w:rPr>
          <w:w w:val="103"/>
        </w:rPr>
        <w:t>actively collaborat</w:t>
      </w:r>
      <w:r w:rsidR="00D914FB">
        <w:rPr>
          <w:w w:val="103"/>
        </w:rPr>
        <w:t>ing</w:t>
      </w:r>
      <w:r w:rsidRPr="00692606">
        <w:rPr>
          <w:w w:val="103"/>
        </w:rPr>
        <w:t xml:space="preserve"> with member Governments and other stakeholders, building consensus at relevant administrative committee meetings of conventions and agreements and </w:t>
      </w:r>
      <w:r w:rsidRPr="00692606">
        <w:rPr>
          <w:spacing w:val="3"/>
          <w:w w:val="103"/>
        </w:rPr>
        <w:t>other intergovernmental meetings on transport, in particular the Economic and Social</w:t>
      </w:r>
      <w:r w:rsidRPr="00692606">
        <w:rPr>
          <w:w w:val="103"/>
        </w:rPr>
        <w:t xml:space="preserve"> Council Committee of Experts on the Transport of Dangerous Goods and on the Globally Harmonized System for the Classification and Labelling of Chemicals, the ECE Inland Transport Committee, 17 </w:t>
      </w:r>
      <w:r w:rsidR="006E2175" w:rsidRPr="00692606">
        <w:rPr>
          <w:w w:val="103"/>
        </w:rPr>
        <w:t>W</w:t>
      </w:r>
      <w:r w:rsidRPr="00692606">
        <w:rPr>
          <w:w w:val="103"/>
        </w:rPr>
        <w:t xml:space="preserve">orking </w:t>
      </w:r>
      <w:r w:rsidR="006E2175" w:rsidRPr="00692606">
        <w:rPr>
          <w:w w:val="103"/>
        </w:rPr>
        <w:t>P</w:t>
      </w:r>
      <w:r w:rsidRPr="00692606">
        <w:rPr>
          <w:w w:val="103"/>
        </w:rPr>
        <w:t>arties and other subsidiary bodies.</w:t>
      </w:r>
      <w:proofErr w:type="gramEnd"/>
      <w:r w:rsidRPr="00692606">
        <w:rPr>
          <w:sz w:val="24"/>
          <w:szCs w:val="24"/>
        </w:rPr>
        <w:t xml:space="preserve"> T</w:t>
      </w:r>
      <w:r w:rsidRPr="00692606">
        <w:rPr>
          <w:w w:val="103"/>
        </w:rPr>
        <w:t>he incorporation of certain United Nations legal instruments in the European Union Community acquis will continue to play an important role</w:t>
      </w:r>
      <w:proofErr w:type="gramStart"/>
      <w:r w:rsidRPr="00692606">
        <w:rPr>
          <w:w w:val="103"/>
        </w:rPr>
        <w:t>;</w:t>
      </w:r>
      <w:proofErr w:type="gramEnd"/>
      <w:r w:rsidRPr="00692606">
        <w:rPr>
          <w:w w:val="103"/>
        </w:rPr>
        <w:t xml:space="preserve"> </w:t>
      </w:r>
    </w:p>
    <w:p w:rsidR="00DE71F6" w:rsidRPr="00692606" w:rsidRDefault="00DE71F6" w:rsidP="00DE71F6">
      <w:pPr>
        <w:pStyle w:val="SingleTxtG"/>
        <w:rPr>
          <w:spacing w:val="4"/>
          <w:w w:val="103"/>
          <w:kern w:val="14"/>
          <w:sz w:val="22"/>
          <w:szCs w:val="22"/>
        </w:rPr>
      </w:pPr>
      <w:r w:rsidRPr="00692606">
        <w:rPr>
          <w:w w:val="103"/>
        </w:rPr>
        <w:tab/>
      </w:r>
      <w:proofErr w:type="gramStart"/>
      <w:r w:rsidRPr="00692606">
        <w:rPr>
          <w:w w:val="103"/>
        </w:rPr>
        <w:t>(b)</w:t>
      </w:r>
      <w:r w:rsidRPr="00692606">
        <w:rPr>
          <w:w w:val="103"/>
        </w:rPr>
        <w:tab/>
        <w:t>International policy dialogue and cooperation among Governments and other stakeholders.</w:t>
      </w:r>
      <w:proofErr w:type="gramEnd"/>
      <w:r w:rsidRPr="00692606">
        <w:rPr>
          <w:w w:val="103"/>
        </w:rPr>
        <w:t xml:space="preserve"> It will focus </w:t>
      </w:r>
      <w:proofErr w:type="gramStart"/>
      <w:r w:rsidRPr="00692606">
        <w:rPr>
          <w:w w:val="103"/>
        </w:rPr>
        <w:t>on:</w:t>
      </w:r>
      <w:proofErr w:type="gramEnd"/>
      <w:r w:rsidRPr="00692606">
        <w:rPr>
          <w:w w:val="103"/>
        </w:rPr>
        <w:t xml:space="preserve"> fostering sustainable development in member States in line with transport-related Sustainable Development Goals (SDGs); promoting new accessions to the United Nations legal instruments administered by ECE and strengthening implementation of monitoring mechanisms; and sharing of best practices and lessons learned in the use and implementation of the existing legal and regulatory framework. Through policy dialogue and regulatory responses, the subprogramme will address rapid technological changes, particularly the impact of the increased use of Information and Communication Technologies in transport. In line with the United </w:t>
      </w:r>
      <w:r w:rsidRPr="00692606">
        <w:rPr>
          <w:w w:val="103"/>
        </w:rPr>
        <w:lastRenderedPageBreak/>
        <w:t>Nations Decade of Action for Road Safety, special focus will be on United Nations Road Safety Legal Instruments</w:t>
      </w:r>
      <w:proofErr w:type="gramStart"/>
      <w:r w:rsidRPr="00692606">
        <w:rPr>
          <w:w w:val="103"/>
        </w:rPr>
        <w:t>;</w:t>
      </w:r>
      <w:proofErr w:type="gramEnd"/>
      <w:r w:rsidRPr="00692606">
        <w:rPr>
          <w:w w:val="103"/>
        </w:rPr>
        <w:t xml:space="preserve"> </w:t>
      </w:r>
    </w:p>
    <w:p w:rsidR="00DE71F6" w:rsidRPr="00692606" w:rsidRDefault="00DE71F6" w:rsidP="00DE71F6">
      <w:pPr>
        <w:pStyle w:val="SingleTxtG"/>
        <w:rPr>
          <w:w w:val="103"/>
        </w:rPr>
      </w:pPr>
      <w:r w:rsidRPr="00692606">
        <w:rPr>
          <w:w w:val="103"/>
        </w:rPr>
        <w:tab/>
        <w:t>(c)</w:t>
      </w:r>
      <w:r w:rsidRPr="00692606">
        <w:rPr>
          <w:w w:val="103"/>
        </w:rPr>
        <w:tab/>
        <w:t xml:space="preserve">Strengthening of national capacity for the development of pan-European and transcontinental transport infrastructure, including transport and border-crossing facilitation. Emphasis </w:t>
      </w:r>
      <w:proofErr w:type="gramStart"/>
      <w:r w:rsidRPr="00692606">
        <w:rPr>
          <w:w w:val="103"/>
        </w:rPr>
        <w:t>will be placed</w:t>
      </w:r>
      <w:proofErr w:type="gramEnd"/>
      <w:r w:rsidRPr="00692606">
        <w:rPr>
          <w:w w:val="103"/>
        </w:rPr>
        <w:t xml:space="preserve"> on regional and subregional cooperation </w:t>
      </w:r>
      <w:r w:rsidRPr="00692606">
        <w:rPr>
          <w:spacing w:val="3"/>
          <w:w w:val="103"/>
        </w:rPr>
        <w:t xml:space="preserve">activities. The Trans-European Motorways and the </w:t>
      </w:r>
      <w:r w:rsidRPr="00692606">
        <w:rPr>
          <w:w w:val="103"/>
        </w:rPr>
        <w:t>Trans</w:t>
      </w:r>
      <w:r w:rsidRPr="00692606">
        <w:rPr>
          <w:spacing w:val="3"/>
          <w:w w:val="103"/>
        </w:rPr>
        <w:t>-European Railways projects</w:t>
      </w:r>
      <w:r w:rsidRPr="00692606">
        <w:rPr>
          <w:w w:val="103"/>
        </w:rPr>
        <w:t xml:space="preserve"> </w:t>
      </w:r>
      <w:r w:rsidRPr="00692606">
        <w:rPr>
          <w:spacing w:val="3"/>
          <w:w w:val="103"/>
        </w:rPr>
        <w:t>will build on their master plans and on specific high-value projects. The development</w:t>
      </w:r>
      <w:r w:rsidRPr="00692606">
        <w:rPr>
          <w:w w:val="103"/>
        </w:rPr>
        <w:t xml:space="preserve"> of Euro-Asian Transport Links and the unified railway law </w:t>
      </w:r>
      <w:proofErr w:type="gramStart"/>
      <w:r w:rsidRPr="00692606">
        <w:rPr>
          <w:w w:val="103"/>
        </w:rPr>
        <w:t>will be promoted</w:t>
      </w:r>
      <w:proofErr w:type="gramEnd"/>
      <w:r w:rsidRPr="00692606">
        <w:rPr>
          <w:w w:val="103"/>
        </w:rPr>
        <w:t xml:space="preserve"> in cooperation with the participating member States, ESCAP, other international </w:t>
      </w:r>
      <w:r w:rsidRPr="00692606">
        <w:rPr>
          <w:spacing w:val="2"/>
          <w:w w:val="103"/>
        </w:rPr>
        <w:t>organizations and various private sector stakeholders. Strengthening of transport links</w:t>
      </w:r>
      <w:r w:rsidRPr="00692606">
        <w:rPr>
          <w:w w:val="103"/>
        </w:rPr>
        <w:t xml:space="preserve"> between Europe and Africa and between Europe and the Middle East, including the </w:t>
      </w:r>
      <w:r w:rsidRPr="00692606">
        <w:rPr>
          <w:spacing w:val="2"/>
          <w:w w:val="103"/>
        </w:rPr>
        <w:t xml:space="preserve">Mediterranean region, </w:t>
      </w:r>
      <w:proofErr w:type="gramStart"/>
      <w:r w:rsidRPr="00692606">
        <w:rPr>
          <w:spacing w:val="2"/>
          <w:w w:val="103"/>
        </w:rPr>
        <w:t>will be promoted</w:t>
      </w:r>
      <w:proofErr w:type="gramEnd"/>
      <w:r w:rsidRPr="00692606">
        <w:rPr>
          <w:spacing w:val="2"/>
          <w:w w:val="103"/>
        </w:rPr>
        <w:t xml:space="preserve"> in cooperation with the relevant stakeholders.</w:t>
      </w:r>
      <w:r w:rsidRPr="00692606">
        <w:rPr>
          <w:w w:val="103"/>
        </w:rPr>
        <w:t xml:space="preserve"> Transport facilitation will focus on transit and border-crossing facilitation, inter alia through measurement of border-crossing performance and the promotion of electronic communications. The special needs of landlocked transition economies </w:t>
      </w:r>
      <w:proofErr w:type="gramStart"/>
      <w:r w:rsidRPr="00692606">
        <w:rPr>
          <w:w w:val="103"/>
        </w:rPr>
        <w:t>will be addressed</w:t>
      </w:r>
      <w:proofErr w:type="gramEnd"/>
      <w:r w:rsidRPr="00692606">
        <w:rPr>
          <w:w w:val="103"/>
        </w:rPr>
        <w:t xml:space="preserve"> through technical assistance and analytical work in compliance with the General Assembly resolutions on the Vienna Programme of Action for Landlocked Developing Countries for the Decade 2014–2024; </w:t>
      </w:r>
    </w:p>
    <w:p w:rsidR="00DE71F6" w:rsidRPr="00692606" w:rsidRDefault="00DE71F6" w:rsidP="00DE71F6">
      <w:pPr>
        <w:pStyle w:val="SingleTxtG"/>
        <w:rPr>
          <w:w w:val="103"/>
        </w:rPr>
      </w:pPr>
      <w:r w:rsidRPr="00692606">
        <w:rPr>
          <w:w w:val="103"/>
        </w:rPr>
        <w:tab/>
        <w:t>(d)</w:t>
      </w:r>
      <w:r w:rsidRPr="00692606">
        <w:rPr>
          <w:w w:val="103"/>
        </w:rPr>
        <w:tab/>
        <w:t xml:space="preserve">Capacity-building </w:t>
      </w:r>
      <w:proofErr w:type="gramStart"/>
      <w:r w:rsidRPr="00692606">
        <w:rPr>
          <w:w w:val="103"/>
        </w:rPr>
        <w:t>to further strengthen</w:t>
      </w:r>
      <w:proofErr w:type="gramEnd"/>
      <w:r w:rsidRPr="00692606">
        <w:rPr>
          <w:w w:val="103"/>
        </w:rPr>
        <w:t xml:space="preserve"> the national capacity of countries, with a particular focus on promoting sustainable transport. </w:t>
      </w:r>
      <w:proofErr w:type="gramStart"/>
      <w:r w:rsidRPr="00692606">
        <w:rPr>
          <w:w w:val="103"/>
        </w:rPr>
        <w:t xml:space="preserve">In response to the increased demand for evidence-based </w:t>
      </w:r>
      <w:r w:rsidR="00692606" w:rsidRPr="00692606">
        <w:rPr>
          <w:w w:val="103"/>
        </w:rPr>
        <w:t>decision</w:t>
      </w:r>
      <w:r w:rsidR="00692606">
        <w:rPr>
          <w:w w:val="103"/>
        </w:rPr>
        <w:t>-</w:t>
      </w:r>
      <w:r w:rsidRPr="00692606">
        <w:rPr>
          <w:w w:val="103"/>
        </w:rPr>
        <w:t>making on climate change mitigation and adaptation, on reduction of local pollutants and on making mobility safe at the international, national and local levels, the subprogramme will use the ForFITS (For Future Inland Transport System) tool and its new modules to assess the environmental and safety performance of the transport and logistics sector, and its contribution to national competitiveness and sustainable urban mobility.</w:t>
      </w:r>
      <w:proofErr w:type="gramEnd"/>
      <w:r w:rsidRPr="00692606">
        <w:rPr>
          <w:w w:val="103"/>
        </w:rPr>
        <w:t xml:space="preserve"> Particular focus </w:t>
      </w:r>
      <w:proofErr w:type="gramStart"/>
      <w:r w:rsidRPr="00692606">
        <w:rPr>
          <w:w w:val="103"/>
        </w:rPr>
        <w:t>is placed</w:t>
      </w:r>
      <w:proofErr w:type="gramEnd"/>
      <w:r w:rsidRPr="00692606">
        <w:rPr>
          <w:w w:val="103"/>
        </w:rPr>
        <w:t xml:space="preserve"> on the development of capacity for high-quality transport statistics. </w:t>
      </w:r>
    </w:p>
    <w:p w:rsidR="00DE71F6" w:rsidRPr="00692606" w:rsidRDefault="00DE71F6" w:rsidP="00DE71F6">
      <w:pPr>
        <w:pStyle w:val="SingleTxtG"/>
        <w:rPr>
          <w:w w:val="103"/>
        </w:rPr>
      </w:pPr>
      <w:r w:rsidRPr="00692606">
        <w:rPr>
          <w:w w:val="103"/>
        </w:rPr>
        <w:t>3.</w:t>
      </w:r>
      <w:r w:rsidRPr="00692606">
        <w:rPr>
          <w:w w:val="103"/>
        </w:rPr>
        <w:tab/>
        <w:t>To achieve goals in the above four functional areas, the subprogramme will:</w:t>
      </w:r>
    </w:p>
    <w:p w:rsidR="00DE71F6" w:rsidRPr="00692606" w:rsidRDefault="00DE71F6" w:rsidP="00DE71F6">
      <w:pPr>
        <w:pStyle w:val="SingleTxtG"/>
        <w:rPr>
          <w:w w:val="103"/>
        </w:rPr>
      </w:pPr>
      <w:r w:rsidRPr="00692606">
        <w:rPr>
          <w:w w:val="103"/>
        </w:rPr>
        <w:tab/>
        <w:t>(a)</w:t>
      </w:r>
      <w:r w:rsidRPr="00692606">
        <w:rPr>
          <w:w w:val="103"/>
        </w:rPr>
        <w:tab/>
        <w:t>Act as Custodian of legal instruments in transport</w:t>
      </w:r>
      <w:proofErr w:type="gramStart"/>
      <w:r w:rsidRPr="00692606">
        <w:rPr>
          <w:w w:val="103"/>
        </w:rPr>
        <w:t>;</w:t>
      </w:r>
      <w:proofErr w:type="gramEnd"/>
      <w:r w:rsidRPr="00692606">
        <w:rPr>
          <w:w w:val="103"/>
        </w:rPr>
        <w:t xml:space="preserve"> </w:t>
      </w:r>
    </w:p>
    <w:p w:rsidR="00DE71F6" w:rsidRPr="00692606" w:rsidRDefault="00DE71F6" w:rsidP="00DE71F6">
      <w:pPr>
        <w:pStyle w:val="SingleTxtG"/>
        <w:rPr>
          <w:w w:val="103"/>
        </w:rPr>
      </w:pPr>
      <w:r w:rsidRPr="00692606">
        <w:rPr>
          <w:w w:val="103"/>
        </w:rPr>
        <w:tab/>
        <w:t>(b)</w:t>
      </w:r>
      <w:r w:rsidRPr="00692606">
        <w:rPr>
          <w:w w:val="103"/>
        </w:rPr>
        <w:tab/>
        <w:t>Undertake analytical activities</w:t>
      </w:r>
      <w:proofErr w:type="gramStart"/>
      <w:r w:rsidRPr="00692606">
        <w:rPr>
          <w:w w:val="103"/>
        </w:rPr>
        <w:t>;</w:t>
      </w:r>
      <w:proofErr w:type="gramEnd"/>
      <w:r w:rsidRPr="00692606">
        <w:rPr>
          <w:w w:val="103"/>
        </w:rPr>
        <w:t xml:space="preserve"> </w:t>
      </w:r>
    </w:p>
    <w:p w:rsidR="00DE71F6" w:rsidRPr="00692606" w:rsidRDefault="00DE71F6" w:rsidP="00DE71F6">
      <w:pPr>
        <w:pStyle w:val="SingleTxtG"/>
        <w:rPr>
          <w:w w:val="103"/>
        </w:rPr>
      </w:pPr>
      <w:r w:rsidRPr="00692606">
        <w:rPr>
          <w:w w:val="103"/>
        </w:rPr>
        <w:tab/>
        <w:t>(c)</w:t>
      </w:r>
      <w:r w:rsidRPr="00692606">
        <w:rPr>
          <w:w w:val="103"/>
        </w:rPr>
        <w:tab/>
        <w:t>Promote the achievement of the transport-related SDGs and targets for road safety, resilient infrastructure, energy efficiency, and sustainable urban mobility in cities and between cities</w:t>
      </w:r>
      <w:proofErr w:type="gramStart"/>
      <w:r w:rsidRPr="00692606">
        <w:rPr>
          <w:w w:val="103"/>
        </w:rPr>
        <w:t>;</w:t>
      </w:r>
      <w:proofErr w:type="gramEnd"/>
      <w:r w:rsidRPr="00692606">
        <w:rPr>
          <w:w w:val="103"/>
        </w:rPr>
        <w:t xml:space="preserve"> </w:t>
      </w:r>
    </w:p>
    <w:p w:rsidR="00DE71F6" w:rsidRPr="00692606" w:rsidRDefault="00DE71F6" w:rsidP="00DE71F6">
      <w:pPr>
        <w:pStyle w:val="SingleTxtG"/>
        <w:rPr>
          <w:w w:val="103"/>
        </w:rPr>
      </w:pPr>
      <w:r w:rsidRPr="00692606">
        <w:rPr>
          <w:w w:val="103"/>
        </w:rPr>
        <w:tab/>
        <w:t>(d)</w:t>
      </w:r>
      <w:r w:rsidRPr="00692606">
        <w:rPr>
          <w:w w:val="103"/>
        </w:rPr>
        <w:tab/>
        <w:t>Strengthen cooperation and partnerships with regional economic organizations, as well as other international organizations relevant for transport</w:t>
      </w:r>
      <w:proofErr w:type="gramStart"/>
      <w:r w:rsidRPr="00692606">
        <w:rPr>
          <w:w w:val="103"/>
        </w:rPr>
        <w:t>;</w:t>
      </w:r>
      <w:proofErr w:type="gramEnd"/>
      <w:r w:rsidRPr="00692606">
        <w:rPr>
          <w:w w:val="103"/>
        </w:rPr>
        <w:t xml:space="preserve"> </w:t>
      </w:r>
    </w:p>
    <w:p w:rsidR="00DE71F6" w:rsidRPr="00692606" w:rsidRDefault="00DE71F6" w:rsidP="00DE71F6">
      <w:pPr>
        <w:pStyle w:val="SingleTxtG"/>
        <w:rPr>
          <w:w w:val="103"/>
        </w:rPr>
      </w:pPr>
      <w:r w:rsidRPr="00692606">
        <w:rPr>
          <w:w w:val="103"/>
        </w:rPr>
        <w:tab/>
        <w:t>(e)</w:t>
      </w:r>
      <w:r w:rsidRPr="00692606">
        <w:rPr>
          <w:w w:val="103"/>
        </w:rPr>
        <w:tab/>
        <w:t>Work on multisectoral projects, with particular focus on promoting sustainable development of transport, and specifically on joint servicing of the Pan</w:t>
      </w:r>
      <w:r w:rsidRPr="00692606">
        <w:rPr>
          <w:w w:val="103"/>
        </w:rPr>
        <w:noBreakHyphen/>
        <w:t>European Programme on Transport, Health and Environment;</w:t>
      </w:r>
    </w:p>
    <w:p w:rsidR="00DE71F6" w:rsidRPr="00692606" w:rsidRDefault="00DE71F6" w:rsidP="00DE71F6">
      <w:pPr>
        <w:pStyle w:val="SingleTxtG"/>
        <w:rPr>
          <w:w w:val="103"/>
        </w:rPr>
      </w:pPr>
      <w:r w:rsidRPr="00692606">
        <w:rPr>
          <w:w w:val="103"/>
        </w:rPr>
        <w:tab/>
        <w:t>(f)</w:t>
      </w:r>
      <w:r w:rsidRPr="00692606">
        <w:rPr>
          <w:w w:val="103"/>
        </w:rPr>
        <w:tab/>
        <w:t xml:space="preserve">Establish synergies in the respective areas of work with relevant ECE </w:t>
      </w:r>
      <w:proofErr w:type="spellStart"/>
      <w:r w:rsidRPr="00692606">
        <w:rPr>
          <w:w w:val="103"/>
        </w:rPr>
        <w:t>subprogrammes</w:t>
      </w:r>
      <w:proofErr w:type="spellEnd"/>
      <w:r w:rsidRPr="00692606">
        <w:rPr>
          <w:w w:val="103"/>
        </w:rPr>
        <w:t xml:space="preserve">, such as </w:t>
      </w:r>
      <w:proofErr w:type="spellStart"/>
      <w:r w:rsidRPr="00692606">
        <w:rPr>
          <w:w w:val="103"/>
        </w:rPr>
        <w:t>subprogrammes</w:t>
      </w:r>
      <w:proofErr w:type="spellEnd"/>
      <w:r w:rsidRPr="00692606">
        <w:rPr>
          <w:w w:val="103"/>
        </w:rPr>
        <w:t xml:space="preserve"> 1 (Environment) and </w:t>
      </w:r>
      <w:proofErr w:type="gramStart"/>
      <w:r w:rsidRPr="00692606">
        <w:rPr>
          <w:w w:val="103"/>
        </w:rPr>
        <w:t>3</w:t>
      </w:r>
      <w:proofErr w:type="gramEnd"/>
      <w:r w:rsidRPr="00692606">
        <w:rPr>
          <w:w w:val="103"/>
        </w:rPr>
        <w:t xml:space="preserve"> (Statistics). </w:t>
      </w:r>
    </w:p>
    <w:p w:rsidR="00DE71F6" w:rsidRPr="00692606" w:rsidRDefault="00DE71F6" w:rsidP="00DE71F6">
      <w:pPr>
        <w:pStyle w:val="SingleTxtG"/>
        <w:rPr>
          <w:spacing w:val="4"/>
          <w:w w:val="103"/>
          <w:kern w:val="14"/>
          <w:sz w:val="22"/>
          <w:szCs w:val="22"/>
        </w:rPr>
      </w:pPr>
      <w:r w:rsidRPr="00692606">
        <w:rPr>
          <w:w w:val="103"/>
        </w:rPr>
        <w:t>4.</w:t>
      </w:r>
      <w:r w:rsidRPr="00692606">
        <w:rPr>
          <w:w w:val="103"/>
        </w:rPr>
        <w:tab/>
        <w:t>The Division will continue to service the UNECE Inland Transport Committee and the Economic and Social Council Committee of Experts on the Transport of Dangerous Goods and on the Globally Harmonized System of Classification and Labelling of Chemicals. The Division will also continue supporting the U</w:t>
      </w:r>
      <w:r w:rsidR="006E2175" w:rsidRPr="00692606">
        <w:rPr>
          <w:w w:val="103"/>
        </w:rPr>
        <w:t xml:space="preserve">nited </w:t>
      </w:r>
      <w:r w:rsidRPr="00692606">
        <w:rPr>
          <w:w w:val="103"/>
        </w:rPr>
        <w:t>N</w:t>
      </w:r>
      <w:r w:rsidR="006E2175" w:rsidRPr="00692606">
        <w:rPr>
          <w:w w:val="103"/>
        </w:rPr>
        <w:t>ations</w:t>
      </w:r>
      <w:r w:rsidRPr="00692606">
        <w:rPr>
          <w:w w:val="103"/>
        </w:rPr>
        <w:t xml:space="preserve"> Secretary-General’s Special Envoy for Road Safety.</w:t>
      </w:r>
    </w:p>
    <w:p w:rsidR="00DE71F6" w:rsidRPr="00692606" w:rsidRDefault="00DE71F6" w:rsidP="00DE71F6">
      <w:pPr>
        <w:pStyle w:val="HChG"/>
        <w:rPr>
          <w:spacing w:val="4"/>
          <w:w w:val="103"/>
          <w:kern w:val="14"/>
          <w:sz w:val="22"/>
          <w:szCs w:val="22"/>
        </w:rPr>
      </w:pPr>
      <w:r w:rsidRPr="00692606">
        <w:rPr>
          <w:w w:val="103"/>
        </w:rPr>
        <w:lastRenderedPageBreak/>
        <w:tab/>
        <w:t>IV.</w:t>
      </w:r>
      <w:r w:rsidRPr="00692606">
        <w:rPr>
          <w:w w:val="103"/>
        </w:rPr>
        <w:tab/>
        <w:t xml:space="preserve">External factors </w:t>
      </w:r>
    </w:p>
    <w:p w:rsidR="00DE71F6" w:rsidRPr="00692606" w:rsidRDefault="00DE71F6" w:rsidP="00DE71F6">
      <w:pPr>
        <w:pStyle w:val="SingleTxtG"/>
      </w:pPr>
      <w:proofErr w:type="gramStart"/>
      <w:r w:rsidRPr="00692606">
        <w:rPr>
          <w:w w:val="103"/>
        </w:rPr>
        <w:t>5.</w:t>
      </w:r>
      <w:r w:rsidRPr="00692606">
        <w:rPr>
          <w:w w:val="103"/>
        </w:rPr>
        <w:tab/>
        <w:t>The subprogramme is expected to achieve its objective and expected accomplishments on the assumption that: (a) consensus is achieved among the various interested parties on the updating of existing legal instruments and the development of new ones; (b) the environment is conducive to the ratification of or accession to the United Nations legal instruments in the transport sector; (c) Governments and parliaments decide to establish, implement and enforce related international legislation; (d) there is a stable political climate and cooperation among member countries and regional organizations in support of the extension of transport infrastructure and networks, and the facilitation of border crossings; (e) there is political will at the national and subnational levels in the member States to promote sustainable mobility, to set road safety improvement targets, to implement transport policy measures and set relevant targets for sustainable (economic, social and environmental) development; (f) there is adequate national funding to implement the legal instruments, as well as the road safety improvement measures and the projects and programmes for sustainable development of the transport sector; and (g) there is adequate voluntary funding available for enhanced analytical work and capacity-building.</w:t>
      </w:r>
      <w:proofErr w:type="gramEnd"/>
    </w:p>
    <w:p w:rsidR="00DE71F6" w:rsidRPr="00692606" w:rsidRDefault="00DE71F6" w:rsidP="00DE71F6">
      <w:pPr>
        <w:pStyle w:val="HChG"/>
        <w:rPr>
          <w:w w:val="103"/>
        </w:rPr>
      </w:pPr>
      <w:r w:rsidRPr="00692606">
        <w:rPr>
          <w:w w:val="103"/>
        </w:rPr>
        <w:tab/>
        <w:t>V.</w:t>
      </w:r>
      <w:r w:rsidRPr="00692606">
        <w:rPr>
          <w:w w:val="103"/>
        </w:rPr>
        <w:tab/>
        <w:t>Legislative mandates</w:t>
      </w:r>
    </w:p>
    <w:p w:rsidR="00DE71F6" w:rsidRDefault="00DE71F6" w:rsidP="00DE71F6">
      <w:pPr>
        <w:pStyle w:val="H1G"/>
        <w:rPr>
          <w:w w:val="103"/>
        </w:rPr>
      </w:pPr>
      <w:r w:rsidRPr="00692606">
        <w:rPr>
          <w:w w:val="103"/>
        </w:rPr>
        <w:tab/>
      </w:r>
      <w:r w:rsidR="00646000">
        <w:rPr>
          <w:w w:val="103"/>
        </w:rPr>
        <w:t>A.</w:t>
      </w:r>
      <w:r w:rsidRPr="00692606">
        <w:rPr>
          <w:w w:val="103"/>
        </w:rPr>
        <w:tab/>
        <w:t>Overall ECE legislative mandates</w:t>
      </w:r>
    </w:p>
    <w:p w:rsidR="006E0017" w:rsidRDefault="00AE0C43" w:rsidP="00E114B5">
      <w:pPr>
        <w:pStyle w:val="H23G"/>
      </w:pPr>
      <w:r>
        <w:tab/>
      </w:r>
      <w:r w:rsidR="006E0017" w:rsidRPr="003569E1">
        <w:t>1.</w:t>
      </w:r>
      <w:r w:rsidR="006E0017" w:rsidRPr="003569E1">
        <w:tab/>
        <w:t>Resolutions of the General Assembly</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AE0C43" w:rsidRPr="003569E1" w:rsidTr="00E114B5">
        <w:trPr>
          <w:tblHeader/>
        </w:trPr>
        <w:tc>
          <w:tcPr>
            <w:tcW w:w="2149" w:type="dxa"/>
            <w:tcBorders>
              <w:left w:val="nil"/>
              <w:bottom w:val="single" w:sz="12" w:space="0" w:color="auto"/>
              <w:right w:val="nil"/>
            </w:tcBorders>
            <w:shd w:val="clear" w:color="auto" w:fill="auto"/>
          </w:tcPr>
          <w:p w:rsidR="00AE0C43" w:rsidRPr="003569E1" w:rsidRDefault="00AE0C43" w:rsidP="001354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0" w:right="113"/>
              <w:jc w:val="left"/>
              <w:rPr>
                <w:i/>
                <w:iCs/>
                <w:sz w:val="16"/>
                <w:szCs w:val="16"/>
              </w:rPr>
            </w:pPr>
            <w:r w:rsidRPr="003569E1">
              <w:rPr>
                <w:i/>
                <w:iCs/>
                <w:sz w:val="16"/>
                <w:szCs w:val="16"/>
              </w:rPr>
              <w:t>Res No.</w:t>
            </w:r>
          </w:p>
        </w:tc>
        <w:tc>
          <w:tcPr>
            <w:tcW w:w="6356" w:type="dxa"/>
            <w:tcBorders>
              <w:left w:val="nil"/>
              <w:bottom w:val="single" w:sz="12" w:space="0" w:color="auto"/>
              <w:right w:val="nil"/>
            </w:tcBorders>
            <w:shd w:val="clear" w:color="auto" w:fill="auto"/>
          </w:tcPr>
          <w:p w:rsidR="00AE0C43" w:rsidRPr="003569E1" w:rsidRDefault="00AE0C43"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200" w:lineRule="exact"/>
              <w:ind w:left="0" w:right="0"/>
              <w:jc w:val="left"/>
              <w:rPr>
                <w:i/>
                <w:iCs/>
                <w:sz w:val="16"/>
                <w:szCs w:val="16"/>
              </w:rPr>
            </w:pPr>
            <w:r w:rsidRPr="003569E1">
              <w:rPr>
                <w:i/>
                <w:iCs/>
                <w:sz w:val="16"/>
                <w:szCs w:val="16"/>
              </w:rPr>
              <w:t>Title</w:t>
            </w:r>
          </w:p>
        </w:tc>
      </w:tr>
      <w:tr w:rsidR="00AE0C43" w:rsidRPr="003569E1" w:rsidTr="00E114B5">
        <w:tc>
          <w:tcPr>
            <w:tcW w:w="2149" w:type="dxa"/>
            <w:tcBorders>
              <w:top w:val="single" w:sz="12" w:space="0" w:color="auto"/>
              <w:left w:val="nil"/>
              <w:bottom w:val="nil"/>
              <w:right w:val="nil"/>
            </w:tcBorders>
            <w:shd w:val="clear" w:color="auto" w:fill="auto"/>
          </w:tcPr>
          <w:p w:rsidR="00AE0C43" w:rsidRPr="003569E1" w:rsidRDefault="00AE0C43" w:rsidP="001354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hyperlink r:id="rId10" w:history="1">
              <w:r w:rsidRPr="00692606">
                <w:rPr>
                  <w:color w:val="0000FF"/>
                  <w:u w:val="single"/>
                </w:rPr>
                <w:t>66/288</w:t>
              </w:r>
            </w:hyperlink>
          </w:p>
        </w:tc>
        <w:tc>
          <w:tcPr>
            <w:tcW w:w="6356" w:type="dxa"/>
            <w:tcBorders>
              <w:top w:val="single" w:sz="12" w:space="0" w:color="auto"/>
              <w:left w:val="nil"/>
              <w:bottom w:val="nil"/>
              <w:right w:val="nil"/>
            </w:tcBorders>
            <w:shd w:val="clear" w:color="auto" w:fill="auto"/>
          </w:tcPr>
          <w:p w:rsidR="00AE0C43" w:rsidRPr="003569E1" w:rsidRDefault="00AE0C43" w:rsidP="001354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 xml:space="preserve">The future we want </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1354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1" w:history="1">
              <w:r w:rsidRPr="00692606">
                <w:rPr>
                  <w:color w:val="0000FF"/>
                  <w:u w:val="single"/>
                </w:rPr>
                <w:t>67/10</w:t>
              </w:r>
            </w:hyperlink>
          </w:p>
        </w:tc>
        <w:tc>
          <w:tcPr>
            <w:tcW w:w="6356" w:type="dxa"/>
            <w:tcBorders>
              <w:top w:val="nil"/>
              <w:left w:val="nil"/>
              <w:bottom w:val="nil"/>
              <w:right w:val="nil"/>
            </w:tcBorders>
            <w:shd w:val="clear" w:color="auto" w:fill="auto"/>
          </w:tcPr>
          <w:p w:rsidR="00AE0C43" w:rsidRPr="003569E1" w:rsidRDefault="00AE0C43" w:rsidP="001354F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Cooperation between the United Nations and the Eurasian Economic Community</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2" w:history="1">
              <w:r w:rsidRPr="00692606">
                <w:rPr>
                  <w:color w:val="0000FF"/>
                  <w:u w:val="single"/>
                </w:rPr>
                <w:t>67/215</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Promotion of new and renewable sources of energy</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3" w:history="1">
              <w:r w:rsidRPr="00692606">
                <w:rPr>
                  <w:color w:val="0000FF"/>
                  <w:u w:val="single"/>
                </w:rPr>
                <w:t>67/226</w:t>
              </w:r>
            </w:hyperlink>
          </w:p>
        </w:tc>
        <w:tc>
          <w:tcPr>
            <w:tcW w:w="6356" w:type="dxa"/>
            <w:tcBorders>
              <w:top w:val="nil"/>
              <w:left w:val="nil"/>
              <w:bottom w:val="nil"/>
              <w:right w:val="nil"/>
            </w:tcBorders>
            <w:shd w:val="clear" w:color="auto" w:fill="auto"/>
          </w:tcPr>
          <w:p w:rsidR="00AE0C43" w:rsidRPr="003569E1" w:rsidRDefault="00AE0C43"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Quadrennial comprehensive policy review of operational activities for development of the United Nations system</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4" w:history="1">
              <w:r w:rsidRPr="00692606">
                <w:rPr>
                  <w:color w:val="0000FF"/>
                  <w:u w:val="single"/>
                </w:rPr>
                <w:t>69/8</w:t>
              </w:r>
            </w:hyperlink>
          </w:p>
        </w:tc>
        <w:tc>
          <w:tcPr>
            <w:tcW w:w="6356" w:type="dxa"/>
            <w:tcBorders>
              <w:top w:val="nil"/>
              <w:left w:val="nil"/>
              <w:bottom w:val="nil"/>
              <w:right w:val="nil"/>
            </w:tcBorders>
            <w:shd w:val="clear" w:color="auto" w:fill="auto"/>
          </w:tcPr>
          <w:p w:rsidR="00AE0C43" w:rsidRPr="003569E1" w:rsidRDefault="00AE0C43"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Cooperation between the United Nations and the Central European Initiative</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5" w:history="1">
              <w:r w:rsidRPr="00692606">
                <w:rPr>
                  <w:color w:val="0000FF"/>
                  <w:u w:val="single"/>
                </w:rPr>
                <w:t>69/10</w:t>
              </w:r>
            </w:hyperlink>
            <w:r w:rsidRPr="00692606">
              <w:rPr>
                <w:color w:val="0000FF"/>
                <w:u w:val="single"/>
              </w:rPr>
              <w:t xml:space="preserve"> </w:t>
            </w:r>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Cooperation between the United Nations and the Commonwealth of Independent States</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6" w:history="1">
              <w:r w:rsidRPr="00692606">
                <w:rPr>
                  <w:color w:val="0000FF"/>
                  <w:u w:val="single"/>
                </w:rPr>
                <w:t>69/11</w:t>
              </w:r>
            </w:hyperlink>
            <w:r w:rsidRPr="00692606">
              <w:rPr>
                <w:color w:val="0000FF"/>
                <w:u w:val="single"/>
              </w:rPr>
              <w:t xml:space="preserve"> </w:t>
            </w:r>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Cooperation between the United Nations and the Shanghai Cooperation Organization</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7" w:history="1">
              <w:r w:rsidRPr="00692606">
                <w:rPr>
                  <w:color w:val="0000FF"/>
                  <w:u w:val="single"/>
                </w:rPr>
                <w:t>69/13</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Cooperation between the United Nations and the Black Sea Economic Cooperation Organization</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8" w:history="1">
              <w:r w:rsidRPr="00692606">
                <w:rPr>
                  <w:color w:val="0000FF"/>
                  <w:u w:val="single"/>
                </w:rPr>
                <w:t>69/83</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pPr>
            <w:r w:rsidRPr="00692606">
              <w:t>Cooperation between the United Nations and the Council of Europe</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19" w:history="1">
              <w:r w:rsidRPr="00692606">
                <w:rPr>
                  <w:color w:val="0000FF"/>
                  <w:u w:val="single"/>
                </w:rPr>
                <w:t>69/111</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Cooperation between the United Nations and the Economic Cooperation Organization</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0" w:history="1">
              <w:r w:rsidRPr="00692606">
                <w:rPr>
                  <w:color w:val="0000FF"/>
                  <w:u w:val="single"/>
                </w:rPr>
                <w:t>69/142</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 xml:space="preserve">Realizing the Millennium Development Goals and other internationally agreed development goals for persons with disabilities </w:t>
            </w:r>
            <w:r w:rsidRPr="00692606">
              <w:lastRenderedPageBreak/>
              <w:t xml:space="preserve">towards 2015 and beyond </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1" w:history="1">
              <w:r w:rsidRPr="00692606">
                <w:rPr>
                  <w:color w:val="0000FF"/>
                  <w:u w:val="single"/>
                </w:rPr>
                <w:t>69/143</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 xml:space="preserve">Implementation of the outcome of the World Summit for Social Development and of the twenty-fourth special session of the General Assembly </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2" w:history="1">
              <w:r w:rsidRPr="00692606">
                <w:rPr>
                  <w:color w:val="0000FF"/>
                  <w:u w:val="single"/>
                </w:rPr>
                <w:t>69/151</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Follow-up to the Fourth World Conference on Women and full implementation of the Beijing Declaration and Platform for Action and the outcome of the twenty-third special session of the General Assembly</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3" w:history="1">
              <w:r w:rsidRPr="00692606">
                <w:rPr>
                  <w:color w:val="0000FF"/>
                  <w:u w:val="single"/>
                </w:rPr>
                <w:t>69/204</w:t>
              </w:r>
            </w:hyperlink>
            <w:r w:rsidRPr="00692606">
              <w:rPr>
                <w:color w:val="0000FF"/>
                <w:u w:val="single"/>
              </w:rPr>
              <w:t xml:space="preserve"> </w:t>
            </w:r>
          </w:p>
        </w:tc>
        <w:tc>
          <w:tcPr>
            <w:tcW w:w="6356" w:type="dxa"/>
            <w:tcBorders>
              <w:top w:val="nil"/>
              <w:left w:val="nil"/>
              <w:bottom w:val="nil"/>
              <w:right w:val="nil"/>
            </w:tcBorders>
            <w:shd w:val="clear" w:color="auto" w:fill="auto"/>
          </w:tcPr>
          <w:p w:rsidR="00AE0C43" w:rsidRPr="003569E1" w:rsidRDefault="00AE0C43" w:rsidP="00E114B5">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Information and communications technologies for development</w:t>
            </w:r>
          </w:p>
        </w:tc>
      </w:tr>
      <w:tr w:rsidR="00AE0C43" w:rsidRPr="003569E1" w:rsidTr="00E114B5">
        <w:tc>
          <w:tcPr>
            <w:tcW w:w="2149" w:type="dxa"/>
            <w:tcBorders>
              <w:top w:val="nil"/>
              <w:left w:val="nil"/>
              <w:bottom w:val="nil"/>
              <w:right w:val="nil"/>
            </w:tcBorders>
            <w:shd w:val="clear" w:color="auto" w:fill="auto"/>
            <w:vAlign w:val="center"/>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4" w:history="1">
              <w:r w:rsidRPr="00692606">
                <w:rPr>
                  <w:color w:val="0000FF"/>
                  <w:u w:val="single"/>
                </w:rPr>
                <w:t>69/214</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Implementation of Agenda 21, the Programme for the Further Implementation of Agenda 21 and the outcomes of the World Summit on Sustainable Development and of the United Nations Conference on sustainable Development</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5" w:history="1">
              <w:r w:rsidRPr="00692606">
                <w:rPr>
                  <w:color w:val="0000FF"/>
                  <w:u w:val="single"/>
                </w:rPr>
                <w:t>69/219</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 xml:space="preserve">International Strategy for Disaster Reduction </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6" w:history="1">
              <w:r w:rsidRPr="00692606">
                <w:rPr>
                  <w:color w:val="0000FF"/>
                  <w:u w:val="single"/>
                </w:rPr>
                <w:t>69/220</w:t>
              </w:r>
            </w:hyperlink>
            <w:r w:rsidRPr="00692606">
              <w:rPr>
                <w:rStyle w:val="FootnoteReference"/>
                <w:color w:val="0000FF"/>
                <w:u w:val="single"/>
              </w:rPr>
              <w:footnoteReference w:id="3"/>
            </w:r>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Protection of global climate for present and future generations of humankind</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7" w:history="1">
              <w:r w:rsidRPr="00692606">
                <w:rPr>
                  <w:color w:val="0000FF"/>
                  <w:u w:val="single"/>
                </w:rPr>
                <w:t>69/238</w:t>
              </w:r>
            </w:hyperlink>
            <w:r w:rsidRPr="00692606">
              <w:rPr>
                <w:color w:val="0000FF"/>
                <w:u w:val="single"/>
              </w:rPr>
              <w:t xml:space="preserve"> </w:t>
            </w:r>
          </w:p>
        </w:tc>
        <w:tc>
          <w:tcPr>
            <w:tcW w:w="6356" w:type="dxa"/>
            <w:tcBorders>
              <w:top w:val="nil"/>
              <w:left w:val="nil"/>
              <w:bottom w:val="nil"/>
              <w:right w:val="nil"/>
            </w:tcBorders>
            <w:shd w:val="clear" w:color="auto" w:fill="auto"/>
          </w:tcPr>
          <w:p w:rsidR="00AE0C43" w:rsidRPr="003569E1" w:rsidRDefault="00AE0C43" w:rsidP="00E114B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Operational activities for development of the United Nations system</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8" w:history="1">
              <w:r w:rsidRPr="00692606">
                <w:rPr>
                  <w:color w:val="0000FF"/>
                  <w:u w:val="single"/>
                </w:rPr>
                <w:t>69/239</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 xml:space="preserve">South-South cooperation </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29" w:history="1">
              <w:r w:rsidRPr="00692606">
                <w:rPr>
                  <w:color w:val="0000FF"/>
                  <w:u w:val="single"/>
                </w:rPr>
                <w:t>69/272</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Progress towards an accountability system in the United Nations Secretariat</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r w:rsidRPr="00692606">
              <w:t>70/1</w:t>
            </w:r>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Transforming our world: the 2030 Agenda for Sustainable Development</w:t>
            </w:r>
          </w:p>
        </w:tc>
      </w:tr>
      <w:tr w:rsidR="00AE0C43" w:rsidRPr="003569E1" w:rsidTr="00E114B5">
        <w:tc>
          <w:tcPr>
            <w:tcW w:w="2149"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30" w:history="1">
              <w:r w:rsidRPr="00692606">
                <w:rPr>
                  <w:color w:val="0000FF"/>
                  <w:u w:val="single"/>
                </w:rPr>
                <w:t>69/313</w:t>
              </w:r>
            </w:hyperlink>
          </w:p>
        </w:tc>
        <w:tc>
          <w:tcPr>
            <w:tcW w:w="6356" w:type="dxa"/>
            <w:tcBorders>
              <w:top w:val="nil"/>
              <w:left w:val="nil"/>
              <w:bottom w:val="nil"/>
              <w:right w:val="nil"/>
            </w:tcBorders>
            <w:shd w:val="clear" w:color="auto" w:fill="auto"/>
          </w:tcPr>
          <w:p w:rsidR="00AE0C43" w:rsidRPr="003569E1" w:rsidRDefault="00AE0C43"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Addis Ababa Action Agenda of the Third International Conference on Financing for Development (Addis Ababa Action Agenda)</w:t>
            </w:r>
          </w:p>
        </w:tc>
      </w:tr>
      <w:tr w:rsidR="00AE0C43" w:rsidRPr="003569E1" w:rsidTr="00AE0C43">
        <w:tc>
          <w:tcPr>
            <w:tcW w:w="2149" w:type="dxa"/>
            <w:tcBorders>
              <w:top w:val="nil"/>
              <w:left w:val="nil"/>
              <w:bottom w:val="single" w:sz="12" w:space="0" w:color="auto"/>
              <w:right w:val="nil"/>
            </w:tcBorders>
            <w:shd w:val="clear" w:color="auto" w:fill="auto"/>
          </w:tcPr>
          <w:p w:rsidR="00AE0C43" w:rsidRDefault="00AE0C43"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pPr>
            <w:hyperlink r:id="rId31" w:history="1">
              <w:r w:rsidRPr="00692606">
                <w:rPr>
                  <w:color w:val="0000FF"/>
                  <w:u w:val="single"/>
                </w:rPr>
                <w:t>69/277</w:t>
              </w:r>
            </w:hyperlink>
          </w:p>
        </w:tc>
        <w:tc>
          <w:tcPr>
            <w:tcW w:w="6356" w:type="dxa"/>
            <w:tcBorders>
              <w:top w:val="nil"/>
              <w:left w:val="nil"/>
              <w:bottom w:val="single" w:sz="12" w:space="0" w:color="auto"/>
              <w:right w:val="nil"/>
            </w:tcBorders>
            <w:shd w:val="clear" w:color="auto" w:fill="auto"/>
          </w:tcPr>
          <w:p w:rsidR="00AE0C43" w:rsidRPr="00692606" w:rsidRDefault="00AE0C43"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3"/>
              <w:jc w:val="left"/>
            </w:pPr>
            <w:r w:rsidRPr="00692606">
              <w:t xml:space="preserve">Political declaration on strengthening cooperation between the United Nations and regional and subregional organizations </w:t>
            </w:r>
          </w:p>
        </w:tc>
      </w:tr>
    </w:tbl>
    <w:p w:rsidR="0098712F" w:rsidRPr="003569E1" w:rsidRDefault="0098712F" w:rsidP="0098712F">
      <w:pPr>
        <w:pStyle w:val="H23G"/>
      </w:pPr>
      <w:r>
        <w:tab/>
      </w:r>
      <w:r w:rsidRPr="003569E1">
        <w:t>2.</w:t>
      </w:r>
      <w:r w:rsidRPr="003569E1">
        <w:tab/>
        <w:t xml:space="preserve">Resolutions of the Economic and Social Council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98712F" w:rsidRPr="003569E1" w:rsidTr="00E114B5">
        <w:tc>
          <w:tcPr>
            <w:tcW w:w="2149" w:type="dxa"/>
            <w:tcBorders>
              <w:left w:val="nil"/>
              <w:bottom w:val="single" w:sz="12" w:space="0" w:color="auto"/>
              <w:right w:val="nil"/>
            </w:tcBorders>
            <w:shd w:val="clear" w:color="auto" w:fill="auto"/>
          </w:tcPr>
          <w:p w:rsidR="0098712F" w:rsidRPr="003569E1" w:rsidRDefault="0098712F" w:rsidP="001354FE">
            <w:pPr>
              <w:pStyle w:val="SingleTxt"/>
              <w:keepNext/>
              <w:keepLines/>
              <w:spacing w:before="80" w:after="80" w:line="200" w:lineRule="exact"/>
              <w:ind w:left="0" w:right="113"/>
              <w:jc w:val="left"/>
              <w:rPr>
                <w:i/>
                <w:iCs/>
                <w:sz w:val="16"/>
                <w:szCs w:val="16"/>
              </w:rPr>
            </w:pPr>
            <w:r w:rsidRPr="003569E1">
              <w:rPr>
                <w:i/>
                <w:iCs/>
                <w:sz w:val="16"/>
                <w:szCs w:val="16"/>
              </w:rPr>
              <w:t>Res No.</w:t>
            </w:r>
          </w:p>
        </w:tc>
        <w:tc>
          <w:tcPr>
            <w:tcW w:w="6356" w:type="dxa"/>
            <w:tcBorders>
              <w:left w:val="nil"/>
              <w:bottom w:val="single" w:sz="12" w:space="0" w:color="auto"/>
              <w:right w:val="nil"/>
            </w:tcBorders>
            <w:shd w:val="clear" w:color="auto" w:fill="auto"/>
          </w:tcPr>
          <w:p w:rsidR="0098712F" w:rsidRPr="003569E1" w:rsidRDefault="0098712F" w:rsidP="001354FE">
            <w:pPr>
              <w:pStyle w:val="SingleTxt"/>
              <w:spacing w:before="80" w:after="80" w:line="200" w:lineRule="exact"/>
              <w:ind w:left="0" w:right="0"/>
              <w:jc w:val="left"/>
              <w:rPr>
                <w:i/>
                <w:iCs/>
                <w:sz w:val="16"/>
                <w:szCs w:val="16"/>
              </w:rPr>
            </w:pPr>
            <w:r w:rsidRPr="003569E1">
              <w:rPr>
                <w:i/>
                <w:iCs/>
                <w:sz w:val="16"/>
                <w:szCs w:val="16"/>
              </w:rPr>
              <w:t>Title</w:t>
            </w:r>
          </w:p>
        </w:tc>
      </w:tr>
      <w:tr w:rsidR="0098712F" w:rsidRPr="003569E1" w:rsidTr="00E114B5">
        <w:tc>
          <w:tcPr>
            <w:tcW w:w="2149" w:type="dxa"/>
            <w:tcBorders>
              <w:top w:val="single" w:sz="12" w:space="0" w:color="auto"/>
              <w:left w:val="nil"/>
              <w:bottom w:val="nil"/>
              <w:right w:val="nil"/>
            </w:tcBorders>
            <w:shd w:val="clear" w:color="auto" w:fill="auto"/>
          </w:tcPr>
          <w:p w:rsidR="0098712F" w:rsidRPr="003569E1" w:rsidRDefault="0098712F"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hyperlink r:id="rId32" w:history="1">
              <w:r w:rsidRPr="00692606">
                <w:rPr>
                  <w:color w:val="0000FF"/>
                  <w:u w:val="single"/>
                </w:rPr>
                <w:t>2006/38</w:t>
              </w:r>
            </w:hyperlink>
          </w:p>
        </w:tc>
        <w:tc>
          <w:tcPr>
            <w:tcW w:w="6356" w:type="dxa"/>
            <w:tcBorders>
              <w:top w:val="single" w:sz="12" w:space="0" w:color="auto"/>
              <w:left w:val="nil"/>
              <w:bottom w:val="nil"/>
              <w:right w:val="nil"/>
            </w:tcBorders>
            <w:shd w:val="clear" w:color="auto" w:fill="auto"/>
          </w:tcPr>
          <w:p w:rsidR="0098712F" w:rsidRPr="003569E1" w:rsidRDefault="0098712F"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proofErr w:type="spellStart"/>
            <w:r w:rsidRPr="00692606">
              <w:t>Workplan</w:t>
            </w:r>
            <w:proofErr w:type="spellEnd"/>
            <w:r w:rsidRPr="00692606">
              <w:t xml:space="preserve"> on reform of the Economic Commission for Europe and revised terms of reference of the Commission</w:t>
            </w:r>
          </w:p>
        </w:tc>
      </w:tr>
      <w:tr w:rsidR="0098712F" w:rsidRPr="003569E1" w:rsidTr="00E114B5">
        <w:tc>
          <w:tcPr>
            <w:tcW w:w="2149" w:type="dxa"/>
            <w:tcBorders>
              <w:top w:val="nil"/>
              <w:left w:val="nil"/>
              <w:bottom w:val="nil"/>
              <w:right w:val="nil"/>
            </w:tcBorders>
            <w:shd w:val="clear" w:color="auto" w:fill="auto"/>
          </w:tcPr>
          <w:p w:rsidR="0098712F" w:rsidRPr="003569E1" w:rsidRDefault="0098712F"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hyperlink r:id="rId33" w:history="1">
              <w:r w:rsidRPr="00692606">
                <w:rPr>
                  <w:color w:val="0000FF"/>
                  <w:u w:val="single"/>
                </w:rPr>
                <w:t>2013/1</w:t>
              </w:r>
            </w:hyperlink>
          </w:p>
        </w:tc>
        <w:tc>
          <w:tcPr>
            <w:tcW w:w="6356" w:type="dxa"/>
            <w:tcBorders>
              <w:top w:val="nil"/>
              <w:left w:val="nil"/>
              <w:bottom w:val="nil"/>
              <w:right w:val="nil"/>
            </w:tcBorders>
            <w:shd w:val="clear" w:color="auto" w:fill="auto"/>
          </w:tcPr>
          <w:p w:rsidR="0098712F" w:rsidRPr="003569E1" w:rsidRDefault="0098712F"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Outcome of the review of the 2005 Reform of the Economic Commission for Europe</w:t>
            </w:r>
          </w:p>
        </w:tc>
      </w:tr>
      <w:tr w:rsidR="0098712F" w:rsidRPr="003569E1" w:rsidTr="00E114B5">
        <w:tc>
          <w:tcPr>
            <w:tcW w:w="2149" w:type="dxa"/>
            <w:tcBorders>
              <w:top w:val="nil"/>
              <w:left w:val="nil"/>
              <w:bottom w:val="nil"/>
              <w:right w:val="nil"/>
            </w:tcBorders>
            <w:shd w:val="clear" w:color="auto" w:fill="auto"/>
          </w:tcPr>
          <w:p w:rsidR="0098712F" w:rsidRPr="003569E1" w:rsidRDefault="0098712F"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hyperlink r:id="rId34" w:history="1">
              <w:r w:rsidRPr="00692606">
                <w:rPr>
                  <w:color w:val="0000FF"/>
                  <w:u w:val="single"/>
                </w:rPr>
                <w:t>2015/12</w:t>
              </w:r>
            </w:hyperlink>
          </w:p>
        </w:tc>
        <w:tc>
          <w:tcPr>
            <w:tcW w:w="6356" w:type="dxa"/>
            <w:tcBorders>
              <w:top w:val="nil"/>
              <w:left w:val="nil"/>
              <w:bottom w:val="nil"/>
              <w:right w:val="nil"/>
            </w:tcBorders>
            <w:shd w:val="clear" w:color="auto" w:fill="auto"/>
          </w:tcPr>
          <w:p w:rsidR="0098712F" w:rsidRPr="003569E1" w:rsidRDefault="0098712F"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Mainstreaming a gender perspective into all policies and programmes in the United Nations system</w:t>
            </w:r>
          </w:p>
        </w:tc>
      </w:tr>
      <w:tr w:rsidR="0098712F" w:rsidRPr="003569E1" w:rsidTr="00E114B5">
        <w:tc>
          <w:tcPr>
            <w:tcW w:w="2149" w:type="dxa"/>
            <w:tcBorders>
              <w:top w:val="nil"/>
              <w:left w:val="nil"/>
              <w:bottom w:val="single" w:sz="12" w:space="0" w:color="auto"/>
              <w:right w:val="nil"/>
            </w:tcBorders>
            <w:shd w:val="clear" w:color="auto" w:fill="auto"/>
          </w:tcPr>
          <w:p w:rsidR="0098712F" w:rsidRPr="003569E1" w:rsidRDefault="0098712F"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hyperlink r:id="rId35" w:history="1">
              <w:r w:rsidRPr="00692606">
                <w:rPr>
                  <w:color w:val="0000FF"/>
                  <w:u w:val="single"/>
                </w:rPr>
                <w:t>2015/15</w:t>
              </w:r>
            </w:hyperlink>
          </w:p>
        </w:tc>
        <w:tc>
          <w:tcPr>
            <w:tcW w:w="6356" w:type="dxa"/>
            <w:tcBorders>
              <w:top w:val="nil"/>
              <w:left w:val="nil"/>
              <w:bottom w:val="single" w:sz="12" w:space="0" w:color="auto"/>
              <w:right w:val="nil"/>
            </w:tcBorders>
            <w:shd w:val="clear" w:color="auto" w:fill="auto"/>
          </w:tcPr>
          <w:p w:rsidR="0098712F" w:rsidRPr="003569E1" w:rsidRDefault="0098712F"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Progress in the implementation of General Assembly resolution 67/226 on the quadrennial comprehensive policy review of operational activities for development of the United Nations system</w:t>
            </w:r>
          </w:p>
        </w:tc>
      </w:tr>
    </w:tbl>
    <w:p w:rsidR="0098712F" w:rsidRPr="003569E1" w:rsidRDefault="0098712F" w:rsidP="0098712F">
      <w:pPr>
        <w:pStyle w:val="H23G"/>
      </w:pPr>
      <w:r>
        <w:tab/>
        <w:t>3</w:t>
      </w:r>
      <w:r w:rsidRPr="003569E1">
        <w:t>.</w:t>
      </w:r>
      <w:r w:rsidRPr="003569E1">
        <w:tab/>
      </w:r>
      <w:r w:rsidRPr="00E114B5">
        <w:rPr>
          <w:spacing w:val="4"/>
          <w:w w:val="103"/>
          <w:kern w:val="14"/>
        </w:rPr>
        <w:t>Economic Commission for Europe decisions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98712F" w:rsidRPr="003569E1" w:rsidTr="00E114B5">
        <w:tc>
          <w:tcPr>
            <w:tcW w:w="2149" w:type="dxa"/>
            <w:tcBorders>
              <w:left w:val="nil"/>
              <w:bottom w:val="single" w:sz="12" w:space="0" w:color="auto"/>
              <w:right w:val="nil"/>
            </w:tcBorders>
            <w:shd w:val="clear" w:color="auto" w:fill="auto"/>
          </w:tcPr>
          <w:p w:rsidR="0098712F" w:rsidRPr="003569E1" w:rsidRDefault="0098712F" w:rsidP="001354FE">
            <w:pPr>
              <w:pStyle w:val="SingleTxt"/>
              <w:keepNext/>
              <w:keepLines/>
              <w:spacing w:before="80" w:after="80" w:line="200" w:lineRule="exact"/>
              <w:ind w:left="0" w:right="0"/>
              <w:jc w:val="left"/>
              <w:rPr>
                <w:i/>
                <w:iCs/>
                <w:sz w:val="16"/>
                <w:szCs w:val="16"/>
              </w:rPr>
            </w:pPr>
            <w:r w:rsidRPr="003569E1">
              <w:rPr>
                <w:i/>
                <w:iCs/>
                <w:sz w:val="16"/>
                <w:szCs w:val="16"/>
              </w:rPr>
              <w:t>Res No.</w:t>
            </w:r>
          </w:p>
        </w:tc>
        <w:tc>
          <w:tcPr>
            <w:tcW w:w="6356" w:type="dxa"/>
            <w:tcBorders>
              <w:left w:val="nil"/>
              <w:bottom w:val="single" w:sz="12" w:space="0" w:color="auto"/>
              <w:right w:val="nil"/>
            </w:tcBorders>
            <w:shd w:val="clear" w:color="auto" w:fill="auto"/>
          </w:tcPr>
          <w:p w:rsidR="0098712F" w:rsidRPr="003569E1" w:rsidRDefault="0098712F" w:rsidP="001354FE">
            <w:pPr>
              <w:pStyle w:val="SingleTxt"/>
              <w:spacing w:before="80" w:after="80" w:line="200" w:lineRule="exact"/>
              <w:ind w:left="0"/>
              <w:jc w:val="left"/>
              <w:rPr>
                <w:i/>
                <w:iCs/>
                <w:sz w:val="16"/>
                <w:szCs w:val="16"/>
              </w:rPr>
            </w:pPr>
            <w:r w:rsidRPr="003569E1">
              <w:rPr>
                <w:i/>
                <w:iCs/>
                <w:sz w:val="16"/>
                <w:szCs w:val="16"/>
              </w:rPr>
              <w:t>Title</w:t>
            </w:r>
          </w:p>
        </w:tc>
      </w:tr>
      <w:tr w:rsidR="0098712F" w:rsidRPr="003569E1" w:rsidTr="00E114B5">
        <w:tc>
          <w:tcPr>
            <w:tcW w:w="2149" w:type="dxa"/>
            <w:tcBorders>
              <w:top w:val="single" w:sz="12" w:space="0" w:color="auto"/>
              <w:left w:val="nil"/>
              <w:bottom w:val="nil"/>
              <w:right w:val="nil"/>
            </w:tcBorders>
            <w:shd w:val="clear" w:color="auto" w:fill="auto"/>
          </w:tcPr>
          <w:p w:rsidR="0098712F" w:rsidRPr="003569E1" w:rsidRDefault="0098712F"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hyperlink r:id="rId36" w:history="1">
              <w:r w:rsidRPr="00692606">
                <w:rPr>
                  <w:color w:val="0000FF"/>
                  <w:u w:val="single"/>
                </w:rPr>
                <w:t>A (64)</w:t>
              </w:r>
            </w:hyperlink>
          </w:p>
        </w:tc>
        <w:tc>
          <w:tcPr>
            <w:tcW w:w="6356" w:type="dxa"/>
            <w:tcBorders>
              <w:top w:val="single" w:sz="12" w:space="0" w:color="auto"/>
              <w:left w:val="nil"/>
              <w:bottom w:val="nil"/>
              <w:right w:val="nil"/>
            </w:tcBorders>
            <w:shd w:val="clear" w:color="auto" w:fill="auto"/>
          </w:tcPr>
          <w:p w:rsidR="0098712F" w:rsidRPr="003569E1" w:rsidRDefault="0098712F"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The Work of the Economic Commission for Europe</w:t>
            </w:r>
          </w:p>
        </w:tc>
      </w:tr>
      <w:tr w:rsidR="0098712F" w:rsidRPr="003569E1" w:rsidTr="00E114B5">
        <w:tc>
          <w:tcPr>
            <w:tcW w:w="2149" w:type="dxa"/>
            <w:tcBorders>
              <w:top w:val="nil"/>
              <w:left w:val="nil"/>
              <w:bottom w:val="nil"/>
              <w:right w:val="nil"/>
            </w:tcBorders>
            <w:shd w:val="clear" w:color="auto" w:fill="auto"/>
          </w:tcPr>
          <w:p w:rsidR="0098712F" w:rsidRPr="003569E1" w:rsidRDefault="0098712F"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hyperlink r:id="rId37" w:history="1">
              <w:r w:rsidRPr="00692606">
                <w:rPr>
                  <w:color w:val="0000FF"/>
                  <w:u w:val="single"/>
                </w:rPr>
                <w:t>A (65)</w:t>
              </w:r>
            </w:hyperlink>
          </w:p>
        </w:tc>
        <w:tc>
          <w:tcPr>
            <w:tcW w:w="6356" w:type="dxa"/>
            <w:tcBorders>
              <w:top w:val="nil"/>
              <w:left w:val="nil"/>
              <w:bottom w:val="nil"/>
              <w:right w:val="nil"/>
            </w:tcBorders>
            <w:shd w:val="clear" w:color="auto" w:fill="auto"/>
          </w:tcPr>
          <w:p w:rsidR="0098712F" w:rsidRPr="003569E1" w:rsidRDefault="0098712F" w:rsidP="001354FE">
            <w:pPr>
              <w:pStyle w:val="SingleTxt"/>
              <w:tabs>
                <w:tab w:val="left" w:pos="288"/>
                <w:tab w:val="left" w:pos="576"/>
                <w:tab w:val="left" w:pos="864"/>
                <w:tab w:val="left" w:pos="1152"/>
              </w:tabs>
              <w:spacing w:before="40"/>
              <w:ind w:left="0" w:right="43"/>
            </w:pPr>
            <w:r w:rsidRPr="00692606">
              <w:t>Outcome of the review of the 2005 reform of ECE</w:t>
            </w:r>
          </w:p>
        </w:tc>
      </w:tr>
      <w:tr w:rsidR="0098712F" w:rsidRPr="003569E1" w:rsidTr="00E114B5">
        <w:tc>
          <w:tcPr>
            <w:tcW w:w="2149" w:type="dxa"/>
            <w:tcBorders>
              <w:top w:val="nil"/>
              <w:left w:val="nil"/>
              <w:bottom w:val="single" w:sz="12" w:space="0" w:color="auto"/>
              <w:right w:val="nil"/>
            </w:tcBorders>
            <w:shd w:val="clear" w:color="auto" w:fill="auto"/>
          </w:tcPr>
          <w:p w:rsidR="0098712F" w:rsidRPr="003569E1" w:rsidRDefault="0098712F"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pPr>
            <w:r w:rsidRPr="00692606">
              <w:rPr>
                <w:color w:val="0000FF"/>
                <w:u w:val="single"/>
              </w:rPr>
              <w:t>A (66)</w:t>
            </w:r>
          </w:p>
        </w:tc>
        <w:tc>
          <w:tcPr>
            <w:tcW w:w="6356" w:type="dxa"/>
            <w:tcBorders>
              <w:top w:val="nil"/>
              <w:left w:val="nil"/>
              <w:bottom w:val="single" w:sz="12" w:space="0" w:color="auto"/>
              <w:right w:val="nil"/>
            </w:tcBorders>
            <w:shd w:val="clear" w:color="auto" w:fill="auto"/>
          </w:tcPr>
          <w:p w:rsidR="0098712F" w:rsidRPr="003569E1" w:rsidRDefault="0098712F" w:rsidP="00E114B5">
            <w:pPr>
              <w:pStyle w:val="SingleTxt"/>
              <w:tabs>
                <w:tab w:val="left" w:pos="288"/>
                <w:tab w:val="left" w:pos="576"/>
                <w:tab w:val="left" w:pos="864"/>
                <w:tab w:val="left" w:pos="1152"/>
              </w:tabs>
              <w:spacing w:before="40"/>
              <w:ind w:left="0" w:right="43"/>
            </w:pPr>
            <w:r w:rsidRPr="00692606">
              <w:t>Endorsement of the High-level statement on the post-2015 development agenda and expected sustainable development goals in the ECE region</w:t>
            </w:r>
          </w:p>
        </w:tc>
      </w:tr>
    </w:tbl>
    <w:p w:rsidR="00646000" w:rsidRPr="003569E1" w:rsidRDefault="00646000" w:rsidP="00646000">
      <w:pPr>
        <w:pStyle w:val="H1G"/>
      </w:pPr>
      <w:r>
        <w:tab/>
      </w:r>
      <w:r w:rsidRPr="003569E1">
        <w:t>B.</w:t>
      </w:r>
      <w:r w:rsidRPr="003569E1">
        <w:tab/>
        <w:t>Legislative mandates specific to the subprogramme</w:t>
      </w:r>
    </w:p>
    <w:p w:rsidR="00646000" w:rsidRPr="00692606" w:rsidRDefault="00646000" w:rsidP="00646000">
      <w:pPr>
        <w:pStyle w:val="H1G"/>
        <w:spacing w:before="120" w:after="120"/>
        <w:rPr>
          <w:w w:val="103"/>
        </w:rPr>
      </w:pPr>
      <w:r w:rsidRPr="00692606">
        <w:rPr>
          <w:w w:val="103"/>
        </w:rPr>
        <w:tab/>
      </w:r>
      <w:r>
        <w:rPr>
          <w:w w:val="103"/>
        </w:rPr>
        <w:tab/>
      </w:r>
      <w:r w:rsidRPr="00692606">
        <w:rPr>
          <w:w w:val="103"/>
        </w:rPr>
        <w:t>Subprogramme 2: Transport</w:t>
      </w:r>
    </w:p>
    <w:p w:rsidR="00646000" w:rsidRPr="003569E1" w:rsidRDefault="00646000" w:rsidP="00646000">
      <w:pPr>
        <w:pStyle w:val="H23G"/>
      </w:pPr>
      <w:r w:rsidRPr="003569E1">
        <w:tab/>
        <w:t>1.</w:t>
      </w:r>
      <w:r w:rsidRPr="003569E1">
        <w:tab/>
        <w:t>Resolutions of the General Assembly</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646000" w:rsidRPr="003569E1" w:rsidTr="00E114B5">
        <w:tc>
          <w:tcPr>
            <w:tcW w:w="2149" w:type="dxa"/>
            <w:tcBorders>
              <w:left w:val="nil"/>
              <w:bottom w:val="single" w:sz="12" w:space="0" w:color="auto"/>
              <w:right w:val="nil"/>
            </w:tcBorders>
            <w:shd w:val="clear" w:color="auto" w:fill="auto"/>
          </w:tcPr>
          <w:p w:rsidR="00646000" w:rsidRPr="003569E1" w:rsidRDefault="00646000" w:rsidP="001354FE">
            <w:pPr>
              <w:pStyle w:val="SingleTxt"/>
              <w:keepNext/>
              <w:keepLines/>
              <w:spacing w:before="80" w:after="80" w:line="200" w:lineRule="exact"/>
              <w:ind w:left="0" w:right="113"/>
              <w:jc w:val="left"/>
              <w:rPr>
                <w:i/>
                <w:iCs/>
                <w:sz w:val="16"/>
                <w:szCs w:val="16"/>
              </w:rPr>
            </w:pPr>
            <w:r w:rsidRPr="003569E1">
              <w:rPr>
                <w:i/>
                <w:iCs/>
                <w:sz w:val="16"/>
                <w:szCs w:val="16"/>
              </w:rPr>
              <w:t>Res No.</w:t>
            </w:r>
          </w:p>
        </w:tc>
        <w:tc>
          <w:tcPr>
            <w:tcW w:w="6356" w:type="dxa"/>
            <w:tcBorders>
              <w:left w:val="nil"/>
              <w:bottom w:val="single" w:sz="12" w:space="0" w:color="auto"/>
              <w:right w:val="nil"/>
            </w:tcBorders>
            <w:shd w:val="clear" w:color="auto" w:fill="auto"/>
          </w:tcPr>
          <w:p w:rsidR="00646000" w:rsidRPr="003569E1" w:rsidRDefault="00646000" w:rsidP="001354FE">
            <w:pPr>
              <w:pStyle w:val="SingleTxt"/>
              <w:spacing w:before="80" w:after="80" w:line="200" w:lineRule="exact"/>
              <w:ind w:left="0" w:right="0"/>
              <w:jc w:val="left"/>
              <w:rPr>
                <w:i/>
                <w:iCs/>
                <w:sz w:val="16"/>
                <w:szCs w:val="16"/>
              </w:rPr>
            </w:pPr>
            <w:r w:rsidRPr="003569E1">
              <w:rPr>
                <w:i/>
                <w:iCs/>
                <w:sz w:val="16"/>
                <w:szCs w:val="16"/>
              </w:rPr>
              <w:t>Title</w:t>
            </w:r>
          </w:p>
        </w:tc>
      </w:tr>
      <w:tr w:rsidR="00646000" w:rsidRPr="003569E1" w:rsidTr="00E114B5">
        <w:tc>
          <w:tcPr>
            <w:tcW w:w="2149" w:type="dxa"/>
            <w:tcBorders>
              <w:top w:val="single" w:sz="12" w:space="0" w:color="auto"/>
              <w:left w:val="nil"/>
              <w:bottom w:val="nil"/>
              <w:right w:val="nil"/>
            </w:tcBorders>
            <w:shd w:val="clear" w:color="auto" w:fill="auto"/>
          </w:tcPr>
          <w:p w:rsidR="00646000" w:rsidRPr="003569E1" w:rsidRDefault="00646000"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38" w:history="1">
              <w:r w:rsidRPr="00692606">
                <w:rPr>
                  <w:color w:val="0000FF"/>
                  <w:u w:val="single"/>
                </w:rPr>
                <w:t>58/9</w:t>
              </w:r>
            </w:hyperlink>
          </w:p>
        </w:tc>
        <w:tc>
          <w:tcPr>
            <w:tcW w:w="6356" w:type="dxa"/>
            <w:tcBorders>
              <w:top w:val="single" w:sz="12" w:space="0" w:color="auto"/>
              <w:left w:val="nil"/>
              <w:bottom w:val="nil"/>
              <w:right w:val="nil"/>
            </w:tcBorders>
            <w:shd w:val="clear" w:color="auto" w:fill="auto"/>
          </w:tcPr>
          <w:p w:rsidR="00646000" w:rsidRPr="003569E1" w:rsidRDefault="00646000"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Global road safety crisis</w:t>
            </w:r>
          </w:p>
        </w:tc>
      </w:tr>
      <w:tr w:rsidR="00646000" w:rsidRPr="003569E1" w:rsidTr="00E114B5">
        <w:tc>
          <w:tcPr>
            <w:tcW w:w="2149" w:type="dxa"/>
            <w:tcBorders>
              <w:top w:val="nil"/>
              <w:left w:val="nil"/>
              <w:bottom w:val="nil"/>
              <w:right w:val="nil"/>
            </w:tcBorders>
            <w:shd w:val="clear" w:color="auto" w:fill="auto"/>
          </w:tcPr>
          <w:p w:rsidR="00646000" w:rsidRPr="003569E1" w:rsidRDefault="00646000"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39" w:history="1">
              <w:r w:rsidRPr="00692606">
                <w:rPr>
                  <w:color w:val="0000FF"/>
                  <w:u w:val="single"/>
                </w:rPr>
                <w:t>68/269</w:t>
              </w:r>
            </w:hyperlink>
          </w:p>
        </w:tc>
        <w:tc>
          <w:tcPr>
            <w:tcW w:w="6356" w:type="dxa"/>
            <w:tcBorders>
              <w:top w:val="nil"/>
              <w:left w:val="nil"/>
              <w:bottom w:val="nil"/>
              <w:right w:val="nil"/>
            </w:tcBorders>
            <w:shd w:val="clear" w:color="auto" w:fill="auto"/>
          </w:tcPr>
          <w:p w:rsidR="00646000" w:rsidRPr="003569E1" w:rsidRDefault="00646000"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Improving global road safety</w:t>
            </w:r>
          </w:p>
        </w:tc>
      </w:tr>
      <w:tr w:rsidR="00646000" w:rsidRPr="003569E1" w:rsidTr="00E114B5">
        <w:tc>
          <w:tcPr>
            <w:tcW w:w="2149" w:type="dxa"/>
            <w:tcBorders>
              <w:top w:val="nil"/>
              <w:left w:val="nil"/>
              <w:bottom w:val="nil"/>
              <w:right w:val="nil"/>
            </w:tcBorders>
            <w:shd w:val="clear" w:color="auto" w:fill="auto"/>
          </w:tcPr>
          <w:p w:rsidR="00646000" w:rsidRPr="003569E1" w:rsidRDefault="00646000"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40" w:history="1">
              <w:r w:rsidRPr="00692606">
                <w:rPr>
                  <w:color w:val="0000FF"/>
                  <w:u w:val="single"/>
                </w:rPr>
                <w:t>69/137</w:t>
              </w:r>
            </w:hyperlink>
          </w:p>
        </w:tc>
        <w:tc>
          <w:tcPr>
            <w:tcW w:w="6356" w:type="dxa"/>
            <w:tcBorders>
              <w:top w:val="nil"/>
              <w:left w:val="nil"/>
              <w:bottom w:val="nil"/>
              <w:right w:val="nil"/>
            </w:tcBorders>
            <w:shd w:val="clear" w:color="auto" w:fill="auto"/>
          </w:tcPr>
          <w:p w:rsidR="00646000" w:rsidRPr="003569E1" w:rsidRDefault="00646000" w:rsidP="00E114B5">
            <w:r w:rsidRPr="00692606">
              <w:rPr>
                <w:spacing w:val="4"/>
                <w:w w:val="103"/>
                <w:kern w:val="14"/>
              </w:rPr>
              <w:t>Programme of Action for Landlocked Developing Countries for the Decade 2014–2024</w:t>
            </w:r>
          </w:p>
        </w:tc>
      </w:tr>
      <w:tr w:rsidR="00646000" w:rsidRPr="003569E1" w:rsidTr="00E114B5">
        <w:tc>
          <w:tcPr>
            <w:tcW w:w="2149" w:type="dxa"/>
            <w:tcBorders>
              <w:top w:val="nil"/>
              <w:left w:val="nil"/>
              <w:bottom w:val="nil"/>
              <w:right w:val="nil"/>
            </w:tcBorders>
            <w:shd w:val="clear" w:color="auto" w:fill="auto"/>
          </w:tcPr>
          <w:p w:rsidR="00646000" w:rsidRPr="003569E1" w:rsidRDefault="00646000"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41" w:history="1">
              <w:r w:rsidRPr="00692606">
                <w:rPr>
                  <w:color w:val="0000FF"/>
                  <w:u w:val="single"/>
                </w:rPr>
                <w:t>69/213</w:t>
              </w:r>
            </w:hyperlink>
          </w:p>
        </w:tc>
        <w:tc>
          <w:tcPr>
            <w:tcW w:w="6356" w:type="dxa"/>
            <w:tcBorders>
              <w:top w:val="nil"/>
              <w:left w:val="nil"/>
              <w:bottom w:val="nil"/>
              <w:right w:val="nil"/>
            </w:tcBorders>
            <w:shd w:val="clear" w:color="auto" w:fill="auto"/>
          </w:tcPr>
          <w:p w:rsidR="00646000" w:rsidRPr="003569E1" w:rsidRDefault="00646000"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 xml:space="preserve">Role of transport and transit corridors in ensuring international cooperation for sustainable development </w:t>
            </w:r>
          </w:p>
        </w:tc>
      </w:tr>
      <w:tr w:rsidR="00646000" w:rsidRPr="003569E1" w:rsidTr="00E114B5">
        <w:tc>
          <w:tcPr>
            <w:tcW w:w="2149" w:type="dxa"/>
            <w:tcBorders>
              <w:top w:val="nil"/>
              <w:left w:val="nil"/>
              <w:bottom w:val="single" w:sz="12" w:space="0" w:color="auto"/>
              <w:right w:val="nil"/>
            </w:tcBorders>
            <w:shd w:val="clear" w:color="auto" w:fill="auto"/>
          </w:tcPr>
          <w:p w:rsidR="00646000" w:rsidRPr="003569E1" w:rsidRDefault="00646000"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42" w:history="1">
              <w:r w:rsidRPr="00692606">
                <w:rPr>
                  <w:color w:val="0000FF"/>
                  <w:u w:val="single"/>
                </w:rPr>
                <w:t>69/232</w:t>
              </w:r>
            </w:hyperlink>
          </w:p>
        </w:tc>
        <w:tc>
          <w:tcPr>
            <w:tcW w:w="6356" w:type="dxa"/>
            <w:tcBorders>
              <w:top w:val="nil"/>
              <w:left w:val="nil"/>
              <w:bottom w:val="single" w:sz="12" w:space="0" w:color="auto"/>
              <w:right w:val="nil"/>
            </w:tcBorders>
            <w:shd w:val="clear" w:color="auto" w:fill="auto"/>
          </w:tcPr>
          <w:p w:rsidR="00646000" w:rsidRPr="003569E1" w:rsidRDefault="00646000"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Specific</w:t>
            </w:r>
            <w:r w:rsidRPr="00692606">
              <w:rPr>
                <w:spacing w:val="-2"/>
              </w:rPr>
              <w:t xml:space="preserve"> actions related to the particular needs and problems of landlocked developing countries: follow-up to the second United Nations Conference on Landlocked Developing Countries</w:t>
            </w:r>
          </w:p>
        </w:tc>
      </w:tr>
    </w:tbl>
    <w:p w:rsidR="001354FE" w:rsidRPr="003569E1" w:rsidRDefault="001354FE" w:rsidP="001354FE">
      <w:pPr>
        <w:pStyle w:val="H23G"/>
      </w:pPr>
      <w:r>
        <w:tab/>
      </w:r>
      <w:r w:rsidRPr="003569E1">
        <w:t>2.</w:t>
      </w:r>
      <w:r w:rsidRPr="003569E1">
        <w:tab/>
        <w:t>Resolutions of the Economic and Social Council</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1354FE" w:rsidRPr="003569E1" w:rsidTr="00E114B5">
        <w:tc>
          <w:tcPr>
            <w:tcW w:w="2149" w:type="dxa"/>
            <w:tcBorders>
              <w:left w:val="nil"/>
              <w:bottom w:val="single" w:sz="12" w:space="0" w:color="auto"/>
              <w:right w:val="nil"/>
            </w:tcBorders>
            <w:shd w:val="clear" w:color="auto" w:fill="auto"/>
          </w:tcPr>
          <w:p w:rsidR="001354FE" w:rsidRPr="003569E1" w:rsidRDefault="001354FE" w:rsidP="001354FE">
            <w:pPr>
              <w:pStyle w:val="SingleTxt"/>
              <w:keepNext/>
              <w:keepLines/>
              <w:spacing w:before="80" w:after="80" w:line="200" w:lineRule="exact"/>
              <w:ind w:left="0" w:right="113"/>
              <w:jc w:val="left"/>
              <w:rPr>
                <w:i/>
                <w:iCs/>
                <w:sz w:val="16"/>
                <w:szCs w:val="16"/>
              </w:rPr>
            </w:pPr>
            <w:r w:rsidRPr="003569E1">
              <w:rPr>
                <w:i/>
                <w:iCs/>
                <w:sz w:val="16"/>
                <w:szCs w:val="16"/>
              </w:rPr>
              <w:t>Res No.</w:t>
            </w:r>
          </w:p>
        </w:tc>
        <w:tc>
          <w:tcPr>
            <w:tcW w:w="6356" w:type="dxa"/>
            <w:tcBorders>
              <w:left w:val="nil"/>
              <w:bottom w:val="single" w:sz="12" w:space="0" w:color="auto"/>
              <w:right w:val="nil"/>
            </w:tcBorders>
            <w:shd w:val="clear" w:color="auto" w:fill="auto"/>
          </w:tcPr>
          <w:p w:rsidR="001354FE" w:rsidRPr="003569E1" w:rsidRDefault="001354FE" w:rsidP="001354FE">
            <w:pPr>
              <w:pStyle w:val="SingleTxt"/>
              <w:spacing w:before="80" w:after="80" w:line="200" w:lineRule="exact"/>
              <w:ind w:left="0" w:right="0"/>
              <w:jc w:val="left"/>
              <w:rPr>
                <w:i/>
                <w:iCs/>
                <w:sz w:val="16"/>
                <w:szCs w:val="16"/>
              </w:rPr>
            </w:pPr>
            <w:r w:rsidRPr="003569E1">
              <w:rPr>
                <w:i/>
                <w:iCs/>
                <w:sz w:val="16"/>
                <w:szCs w:val="16"/>
              </w:rPr>
              <w:t>Title</w:t>
            </w:r>
          </w:p>
        </w:tc>
      </w:tr>
      <w:tr w:rsidR="001354FE" w:rsidRPr="003569E1" w:rsidTr="00E114B5">
        <w:tc>
          <w:tcPr>
            <w:tcW w:w="2149" w:type="dxa"/>
            <w:tcBorders>
              <w:top w:val="single" w:sz="12" w:space="0" w:color="auto"/>
              <w:left w:val="nil"/>
              <w:bottom w:val="nil"/>
              <w:right w:val="nil"/>
            </w:tcBorders>
            <w:shd w:val="clear" w:color="auto" w:fill="auto"/>
          </w:tcPr>
          <w:p w:rsidR="001354FE" w:rsidRPr="003569E1" w:rsidRDefault="001354FE"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43" w:history="1">
              <w:r w:rsidRPr="00692606">
                <w:rPr>
                  <w:color w:val="0000FF"/>
                  <w:u w:val="single"/>
                </w:rPr>
                <w:t>1999/65</w:t>
              </w:r>
            </w:hyperlink>
          </w:p>
        </w:tc>
        <w:tc>
          <w:tcPr>
            <w:tcW w:w="6356" w:type="dxa"/>
            <w:tcBorders>
              <w:top w:val="single" w:sz="12" w:space="0" w:color="auto"/>
              <w:left w:val="nil"/>
              <w:bottom w:val="nil"/>
              <w:right w:val="nil"/>
            </w:tcBorders>
            <w:shd w:val="clear" w:color="auto" w:fill="auto"/>
          </w:tcPr>
          <w:p w:rsidR="001354FE" w:rsidRPr="003569E1" w:rsidRDefault="001354FE"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Reconfiguration of the Committee of Experts on the Transport of Dangerous Goods into a Committee of Experts on the Transport of Dangerous Goods and on the Globally Harmonized System of Classification and Labelling of Chemicals</w:t>
            </w:r>
          </w:p>
        </w:tc>
      </w:tr>
      <w:tr w:rsidR="001354FE" w:rsidRPr="003569E1" w:rsidTr="00E114B5">
        <w:tc>
          <w:tcPr>
            <w:tcW w:w="2149" w:type="dxa"/>
            <w:tcBorders>
              <w:top w:val="nil"/>
              <w:left w:val="nil"/>
              <w:bottom w:val="nil"/>
              <w:right w:val="nil"/>
            </w:tcBorders>
            <w:shd w:val="clear" w:color="auto" w:fill="auto"/>
          </w:tcPr>
          <w:p w:rsidR="001354FE" w:rsidRPr="003569E1" w:rsidRDefault="001354FE"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44" w:history="1">
              <w:r w:rsidRPr="00692606">
                <w:rPr>
                  <w:color w:val="0000FF"/>
                  <w:u w:val="single"/>
                </w:rPr>
                <w:t>2013/7</w:t>
              </w:r>
            </w:hyperlink>
          </w:p>
        </w:tc>
        <w:tc>
          <w:tcPr>
            <w:tcW w:w="6356" w:type="dxa"/>
            <w:tcBorders>
              <w:top w:val="nil"/>
              <w:left w:val="nil"/>
              <w:bottom w:val="nil"/>
              <w:right w:val="nil"/>
            </w:tcBorders>
            <w:shd w:val="clear" w:color="auto" w:fill="auto"/>
          </w:tcPr>
          <w:p w:rsidR="001354FE" w:rsidRPr="003569E1" w:rsidRDefault="001354FE"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Europe-Africa fixed link through the Strait of Gibraltar</w:t>
            </w:r>
          </w:p>
        </w:tc>
      </w:tr>
      <w:tr w:rsidR="001354FE" w:rsidRPr="003569E1" w:rsidTr="00E114B5">
        <w:tc>
          <w:tcPr>
            <w:tcW w:w="2149" w:type="dxa"/>
            <w:tcBorders>
              <w:top w:val="nil"/>
              <w:left w:val="nil"/>
              <w:bottom w:val="single" w:sz="12" w:space="0" w:color="auto"/>
              <w:right w:val="nil"/>
            </w:tcBorders>
            <w:shd w:val="clear" w:color="auto" w:fill="auto"/>
          </w:tcPr>
          <w:p w:rsidR="001354FE" w:rsidRPr="003569E1" w:rsidRDefault="001354FE"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45" w:history="1">
              <w:r w:rsidRPr="00692606">
                <w:rPr>
                  <w:color w:val="0000FF"/>
                  <w:u w:val="single"/>
                </w:rPr>
                <w:t>2015/7</w:t>
              </w:r>
            </w:hyperlink>
          </w:p>
        </w:tc>
        <w:tc>
          <w:tcPr>
            <w:tcW w:w="6356" w:type="dxa"/>
            <w:tcBorders>
              <w:top w:val="nil"/>
              <w:left w:val="nil"/>
              <w:bottom w:val="single" w:sz="12" w:space="0" w:color="auto"/>
              <w:right w:val="nil"/>
            </w:tcBorders>
            <w:shd w:val="clear" w:color="auto" w:fill="auto"/>
          </w:tcPr>
          <w:p w:rsidR="001354FE" w:rsidRPr="003569E1" w:rsidRDefault="001354FE" w:rsidP="00E114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Work of the Committee of Experts on the Transport of Dangerous Goods and on the Globally Harmonized System of Classification and Labelling of Chemicals</w:t>
            </w:r>
          </w:p>
        </w:tc>
      </w:tr>
    </w:tbl>
    <w:p w:rsidR="001354FE" w:rsidRPr="003569E1" w:rsidRDefault="001354FE" w:rsidP="001354FE">
      <w:pPr>
        <w:pStyle w:val="H23G"/>
      </w:pPr>
      <w:r>
        <w:lastRenderedPageBreak/>
        <w:tab/>
      </w:r>
      <w:r w:rsidRPr="003569E1">
        <w:t>3.</w:t>
      </w:r>
      <w:r w:rsidRPr="003569E1">
        <w:tab/>
        <w:t>Economic Commission for Europe decision</w:t>
      </w:r>
      <w:r>
        <w:t>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1354FE" w:rsidRPr="003569E1" w:rsidTr="001354FE">
        <w:tc>
          <w:tcPr>
            <w:tcW w:w="2149" w:type="dxa"/>
            <w:tcBorders>
              <w:left w:val="nil"/>
              <w:bottom w:val="single" w:sz="12" w:space="0" w:color="auto"/>
              <w:right w:val="nil"/>
            </w:tcBorders>
            <w:shd w:val="clear" w:color="auto" w:fill="auto"/>
          </w:tcPr>
          <w:p w:rsidR="001354FE" w:rsidRPr="003569E1" w:rsidRDefault="001354FE" w:rsidP="001354FE">
            <w:pPr>
              <w:pStyle w:val="SingleTxt"/>
              <w:keepNext/>
              <w:keepLines/>
              <w:spacing w:before="80" w:after="80" w:line="200" w:lineRule="exact"/>
              <w:ind w:left="0" w:right="113"/>
              <w:jc w:val="left"/>
              <w:rPr>
                <w:i/>
                <w:iCs/>
                <w:sz w:val="16"/>
                <w:szCs w:val="16"/>
              </w:rPr>
            </w:pPr>
            <w:r w:rsidRPr="003569E1">
              <w:rPr>
                <w:i/>
                <w:iCs/>
                <w:sz w:val="16"/>
                <w:szCs w:val="16"/>
              </w:rPr>
              <w:t>Res No.</w:t>
            </w:r>
          </w:p>
        </w:tc>
        <w:tc>
          <w:tcPr>
            <w:tcW w:w="6356" w:type="dxa"/>
            <w:tcBorders>
              <w:left w:val="nil"/>
              <w:bottom w:val="single" w:sz="12" w:space="0" w:color="auto"/>
              <w:right w:val="nil"/>
            </w:tcBorders>
            <w:shd w:val="clear" w:color="auto" w:fill="auto"/>
          </w:tcPr>
          <w:p w:rsidR="001354FE" w:rsidRPr="003569E1" w:rsidRDefault="001354FE" w:rsidP="001354FE">
            <w:pPr>
              <w:pStyle w:val="SingleTxt"/>
              <w:spacing w:before="80" w:after="80" w:line="200" w:lineRule="exact"/>
              <w:ind w:left="0" w:right="0"/>
              <w:jc w:val="left"/>
              <w:rPr>
                <w:i/>
                <w:iCs/>
                <w:sz w:val="16"/>
                <w:szCs w:val="16"/>
              </w:rPr>
            </w:pPr>
            <w:r w:rsidRPr="003569E1">
              <w:rPr>
                <w:i/>
                <w:iCs/>
                <w:sz w:val="16"/>
                <w:szCs w:val="16"/>
              </w:rPr>
              <w:t>Title</w:t>
            </w:r>
          </w:p>
        </w:tc>
      </w:tr>
      <w:tr w:rsidR="001354FE" w:rsidRPr="003569E1" w:rsidTr="001354FE">
        <w:tc>
          <w:tcPr>
            <w:tcW w:w="2149" w:type="dxa"/>
            <w:tcBorders>
              <w:top w:val="single" w:sz="12" w:space="0" w:color="auto"/>
              <w:left w:val="nil"/>
              <w:bottom w:val="nil"/>
              <w:right w:val="nil"/>
            </w:tcBorders>
            <w:shd w:val="clear" w:color="auto" w:fill="auto"/>
          </w:tcPr>
          <w:p w:rsidR="001354FE" w:rsidRPr="003569E1" w:rsidRDefault="001354FE" w:rsidP="005A2D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46" w:history="1">
              <w:r w:rsidRPr="00692606">
                <w:rPr>
                  <w:color w:val="0000FF"/>
                  <w:spacing w:val="-2"/>
                  <w:u w:val="single"/>
                </w:rPr>
                <w:t>ECE</w:t>
              </w:r>
              <w:r w:rsidRPr="00692606">
                <w:rPr>
                  <w:color w:val="0070C0"/>
                  <w:spacing w:val="-2"/>
                  <w:u w:val="single"/>
                </w:rPr>
                <w:t>/</w:t>
              </w:r>
              <w:r w:rsidRPr="00692606">
                <w:rPr>
                  <w:color w:val="0000FF"/>
                  <w:spacing w:val="-2"/>
                  <w:u w:val="single"/>
                </w:rPr>
                <w:t>AC.21/2014/2</w:t>
              </w:r>
            </w:hyperlink>
          </w:p>
        </w:tc>
        <w:tc>
          <w:tcPr>
            <w:tcW w:w="6356" w:type="dxa"/>
            <w:tcBorders>
              <w:top w:val="single" w:sz="12" w:space="0" w:color="auto"/>
              <w:left w:val="nil"/>
              <w:bottom w:val="nil"/>
              <w:right w:val="nil"/>
            </w:tcBorders>
            <w:shd w:val="clear" w:color="auto" w:fill="auto"/>
          </w:tcPr>
          <w:p w:rsidR="001354FE" w:rsidRPr="003569E1" w:rsidRDefault="001354FE"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Report of the High-level Meeting on Transport, Health and Environment on its fourth session</w:t>
            </w:r>
          </w:p>
        </w:tc>
      </w:tr>
      <w:tr w:rsidR="001354FE" w:rsidRPr="003569E1" w:rsidTr="001354FE">
        <w:tc>
          <w:tcPr>
            <w:tcW w:w="2149" w:type="dxa"/>
            <w:tcBorders>
              <w:top w:val="nil"/>
              <w:left w:val="nil"/>
              <w:bottom w:val="nil"/>
              <w:right w:val="nil"/>
            </w:tcBorders>
            <w:shd w:val="clear" w:color="auto" w:fill="auto"/>
          </w:tcPr>
          <w:p w:rsidR="001354FE" w:rsidRPr="003569E1" w:rsidRDefault="001354FE"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47" w:history="1">
              <w:r w:rsidRPr="00692606">
                <w:rPr>
                  <w:color w:val="0000FF"/>
                  <w:u w:val="single"/>
                </w:rPr>
                <w:t>ECE/TRANS/236</w:t>
              </w:r>
            </w:hyperlink>
            <w:r w:rsidRPr="00692606">
              <w:rPr>
                <w:color w:val="0000FF"/>
                <w:u w:val="single"/>
              </w:rPr>
              <w:t xml:space="preserve"> </w:t>
            </w:r>
          </w:p>
        </w:tc>
        <w:tc>
          <w:tcPr>
            <w:tcW w:w="6356" w:type="dxa"/>
            <w:tcBorders>
              <w:top w:val="nil"/>
              <w:left w:val="nil"/>
              <w:bottom w:val="nil"/>
              <w:right w:val="nil"/>
            </w:tcBorders>
            <w:shd w:val="clear" w:color="auto" w:fill="auto"/>
          </w:tcPr>
          <w:p w:rsidR="001354FE" w:rsidRPr="003569E1" w:rsidRDefault="001354FE"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Report of the Inland Transport Committee on its seventy-fifth session (</w:t>
            </w:r>
            <w:hyperlink r:id="rId48" w:history="1">
              <w:r w:rsidRPr="00692606">
                <w:rPr>
                  <w:color w:val="0000FF"/>
                  <w:u w:val="single"/>
                </w:rPr>
                <w:t>Joint Ministerial Declaration on the promotion of Euro-Asian rail transport and activities towards unified railway law</w:t>
              </w:r>
            </w:hyperlink>
            <w:r w:rsidRPr="00692606">
              <w:rPr>
                <w:color w:val="0000FF"/>
                <w:u w:val="single"/>
              </w:rPr>
              <w:t xml:space="preserve">; and </w:t>
            </w:r>
            <w:hyperlink r:id="rId49" w:history="1">
              <w:r w:rsidRPr="00692606">
                <w:rPr>
                  <w:color w:val="0000FF"/>
                  <w:u w:val="single"/>
                </w:rPr>
                <w:t>Joint Ministerial Statement on Future Development of Euro-Asian Transport Links</w:t>
              </w:r>
            </w:hyperlink>
            <w:r w:rsidRPr="00692606">
              <w:rPr>
                <w:color w:val="0000FF"/>
                <w:u w:val="single"/>
              </w:rPr>
              <w:t xml:space="preserve">) </w:t>
            </w:r>
          </w:p>
        </w:tc>
      </w:tr>
      <w:tr w:rsidR="001354FE" w:rsidRPr="003569E1" w:rsidTr="001354FE">
        <w:tc>
          <w:tcPr>
            <w:tcW w:w="2149" w:type="dxa"/>
            <w:tcBorders>
              <w:top w:val="nil"/>
              <w:left w:val="nil"/>
              <w:bottom w:val="nil"/>
              <w:right w:val="nil"/>
            </w:tcBorders>
            <w:shd w:val="clear" w:color="auto" w:fill="auto"/>
          </w:tcPr>
          <w:p w:rsidR="001354FE" w:rsidRPr="003569E1" w:rsidRDefault="001354FE" w:rsidP="005A2D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50" w:history="1">
              <w:r w:rsidRPr="00692606">
                <w:rPr>
                  <w:color w:val="0000FF"/>
                  <w:u w:val="single"/>
                </w:rPr>
                <w:t>ECE/TRANS/248</w:t>
              </w:r>
            </w:hyperlink>
          </w:p>
        </w:tc>
        <w:tc>
          <w:tcPr>
            <w:tcW w:w="6356" w:type="dxa"/>
            <w:tcBorders>
              <w:top w:val="nil"/>
              <w:left w:val="nil"/>
              <w:bottom w:val="nil"/>
              <w:right w:val="nil"/>
            </w:tcBorders>
            <w:shd w:val="clear" w:color="auto" w:fill="auto"/>
          </w:tcPr>
          <w:p w:rsidR="001354FE" w:rsidRPr="003569E1" w:rsidRDefault="001354FE"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Report of the Inland Transport Committee on its seventy-seventh session</w:t>
            </w:r>
            <w:r w:rsidRPr="00692606">
              <w:rPr>
                <w:rFonts w:ascii="Calibri" w:hAnsi="Calibri"/>
                <w:sz w:val="22"/>
                <w:szCs w:val="22"/>
              </w:rPr>
              <w:t xml:space="preserve"> </w:t>
            </w:r>
          </w:p>
        </w:tc>
      </w:tr>
      <w:tr w:rsidR="001354FE" w:rsidRPr="003569E1" w:rsidTr="001354FE">
        <w:tc>
          <w:tcPr>
            <w:tcW w:w="2149" w:type="dxa"/>
            <w:tcBorders>
              <w:top w:val="nil"/>
              <w:left w:val="nil"/>
              <w:bottom w:val="single" w:sz="12" w:space="0" w:color="auto"/>
              <w:right w:val="nil"/>
            </w:tcBorders>
            <w:shd w:val="clear" w:color="auto" w:fill="auto"/>
          </w:tcPr>
          <w:p w:rsidR="001354FE" w:rsidRPr="003569E1" w:rsidRDefault="001354FE"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51" w:history="1">
              <w:r w:rsidRPr="00692606">
                <w:rPr>
                  <w:color w:val="0000FF"/>
                  <w:u w:val="single"/>
                </w:rPr>
                <w:t>B (66)</w:t>
              </w:r>
            </w:hyperlink>
            <w:r w:rsidRPr="00692606">
              <w:t xml:space="preserve"> </w:t>
            </w:r>
          </w:p>
        </w:tc>
        <w:tc>
          <w:tcPr>
            <w:tcW w:w="6356" w:type="dxa"/>
            <w:tcBorders>
              <w:top w:val="nil"/>
              <w:left w:val="nil"/>
              <w:bottom w:val="single" w:sz="12" w:space="0" w:color="auto"/>
              <w:right w:val="nil"/>
            </w:tcBorders>
            <w:shd w:val="clear" w:color="auto" w:fill="auto"/>
          </w:tcPr>
          <w:p w:rsidR="001354FE" w:rsidRPr="003569E1" w:rsidRDefault="001354FE" w:rsidP="001354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 xml:space="preserve">Endorsement of the </w:t>
            </w:r>
            <w:hyperlink r:id="rId52" w:history="1">
              <w:r w:rsidRPr="00692606">
                <w:rPr>
                  <w:color w:val="0000FF"/>
                  <w:u w:val="single"/>
                </w:rPr>
                <w:t>Geneva United Nations Charter on Sustainable Housing</w:t>
              </w:r>
            </w:hyperlink>
          </w:p>
        </w:tc>
      </w:tr>
    </w:tbl>
    <w:p w:rsidR="001354FE" w:rsidRDefault="001354FE" w:rsidP="00E114B5">
      <w:pPr>
        <w:pStyle w:val="H23G"/>
      </w:pPr>
      <w:r>
        <w:tab/>
        <w:t>4</w:t>
      </w:r>
      <w:r w:rsidRPr="003569E1">
        <w:t>.</w:t>
      </w:r>
      <w:r w:rsidRPr="003569E1">
        <w:tab/>
      </w:r>
      <w:r w:rsidRPr="001354FE">
        <w:t>Decisions of the Treaty Bodies of United Nations Transport Agreements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56"/>
      </w:tblGrid>
      <w:tr w:rsidR="007E0F66" w:rsidRPr="003569E1" w:rsidTr="00D35BFC">
        <w:tc>
          <w:tcPr>
            <w:tcW w:w="2149" w:type="dxa"/>
            <w:tcBorders>
              <w:left w:val="nil"/>
              <w:bottom w:val="single" w:sz="12" w:space="0" w:color="auto"/>
              <w:right w:val="nil"/>
            </w:tcBorders>
            <w:shd w:val="clear" w:color="auto" w:fill="auto"/>
          </w:tcPr>
          <w:p w:rsidR="007E0F66" w:rsidRPr="003569E1" w:rsidRDefault="007E0F66" w:rsidP="00D35BFC">
            <w:pPr>
              <w:pStyle w:val="SingleTxt"/>
              <w:keepNext/>
              <w:keepLines/>
              <w:spacing w:before="80" w:after="80" w:line="200" w:lineRule="exact"/>
              <w:ind w:left="0" w:right="113"/>
              <w:jc w:val="left"/>
              <w:rPr>
                <w:i/>
                <w:iCs/>
                <w:sz w:val="16"/>
                <w:szCs w:val="16"/>
              </w:rPr>
            </w:pPr>
            <w:r w:rsidRPr="003569E1">
              <w:rPr>
                <w:i/>
                <w:iCs/>
                <w:sz w:val="16"/>
                <w:szCs w:val="16"/>
              </w:rPr>
              <w:t>Res No.</w:t>
            </w:r>
          </w:p>
        </w:tc>
        <w:tc>
          <w:tcPr>
            <w:tcW w:w="6356" w:type="dxa"/>
            <w:tcBorders>
              <w:left w:val="nil"/>
              <w:bottom w:val="single" w:sz="12" w:space="0" w:color="auto"/>
              <w:right w:val="nil"/>
            </w:tcBorders>
            <w:shd w:val="clear" w:color="auto" w:fill="auto"/>
          </w:tcPr>
          <w:p w:rsidR="007E0F66" w:rsidRPr="003569E1" w:rsidRDefault="007E0F66" w:rsidP="00D35BFC">
            <w:pPr>
              <w:pStyle w:val="SingleTxt"/>
              <w:spacing w:before="80" w:after="80" w:line="200" w:lineRule="exact"/>
              <w:ind w:left="0" w:right="0"/>
              <w:jc w:val="left"/>
              <w:rPr>
                <w:i/>
                <w:iCs/>
                <w:sz w:val="16"/>
                <w:szCs w:val="16"/>
              </w:rPr>
            </w:pPr>
            <w:r w:rsidRPr="003569E1">
              <w:rPr>
                <w:i/>
                <w:iCs/>
                <w:sz w:val="16"/>
                <w:szCs w:val="16"/>
              </w:rPr>
              <w:t>Title</w:t>
            </w:r>
          </w:p>
        </w:tc>
      </w:tr>
      <w:tr w:rsidR="007E0F66" w:rsidRPr="003569E1" w:rsidTr="00D35BFC">
        <w:tc>
          <w:tcPr>
            <w:tcW w:w="2149" w:type="dxa"/>
            <w:tcBorders>
              <w:top w:val="single" w:sz="12" w:space="0" w:color="auto"/>
              <w:left w:val="nil"/>
              <w:bottom w:val="nil"/>
              <w:right w:val="nil"/>
            </w:tcBorders>
            <w:shd w:val="clear" w:color="auto" w:fill="auto"/>
          </w:tcPr>
          <w:p w:rsidR="007E0F66" w:rsidRPr="003569E1" w:rsidRDefault="007E0F66" w:rsidP="005A2D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53" w:history="1">
              <w:r w:rsidRPr="00692606">
                <w:rPr>
                  <w:color w:val="0000FF"/>
                  <w:u w:val="single"/>
                </w:rPr>
                <w:t>E/ECE/TRANS/505</w:t>
              </w:r>
            </w:hyperlink>
          </w:p>
        </w:tc>
        <w:tc>
          <w:tcPr>
            <w:tcW w:w="6356" w:type="dxa"/>
            <w:tcBorders>
              <w:top w:val="single" w:sz="12" w:space="0" w:color="auto"/>
              <w:left w:val="nil"/>
              <w:bottom w:val="nil"/>
              <w:right w:val="nil"/>
            </w:tcBorders>
            <w:shd w:val="clear" w:color="auto" w:fill="auto"/>
          </w:tcPr>
          <w:p w:rsidR="007E0F66" w:rsidRPr="003569E1" w:rsidRDefault="007E0F66" w:rsidP="00D35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1958 Agreement on uniform technical prescriptions for wheeled vehicles, equipment and parts which can be fitted and/or be used on wheeled vehicles and the condition for reciprocal recognition of approvals granted on the basis of these prescriptions</w:t>
            </w:r>
          </w:p>
        </w:tc>
      </w:tr>
      <w:tr w:rsidR="007E0F66" w:rsidRPr="003569E1" w:rsidTr="00D35BFC">
        <w:tc>
          <w:tcPr>
            <w:tcW w:w="2149" w:type="dxa"/>
            <w:tcBorders>
              <w:top w:val="nil"/>
              <w:left w:val="nil"/>
              <w:bottom w:val="nil"/>
              <w:right w:val="nil"/>
            </w:tcBorders>
            <w:shd w:val="clear" w:color="auto" w:fill="auto"/>
          </w:tcPr>
          <w:p w:rsidR="007E0F66" w:rsidRPr="003569E1" w:rsidRDefault="007E0F66" w:rsidP="005A2D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54" w:history="1">
              <w:r w:rsidRPr="00692606">
                <w:rPr>
                  <w:color w:val="0000FF"/>
                  <w:u w:val="single"/>
                </w:rPr>
                <w:t>ECE/RCTE/CONF/4</w:t>
              </w:r>
            </w:hyperlink>
          </w:p>
        </w:tc>
        <w:tc>
          <w:tcPr>
            <w:tcW w:w="6356" w:type="dxa"/>
            <w:tcBorders>
              <w:top w:val="nil"/>
              <w:left w:val="nil"/>
              <w:bottom w:val="nil"/>
              <w:right w:val="nil"/>
            </w:tcBorders>
            <w:shd w:val="clear" w:color="auto" w:fill="auto"/>
          </w:tcPr>
          <w:p w:rsidR="007E0F66" w:rsidRPr="003569E1" w:rsidRDefault="007E0F66" w:rsidP="00D35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 xml:space="preserve">1997 Agreement concerning the adoption of uniform conditions for periodic technical inspections of wheeled vehicles and the reciprocal recognition of such inspections </w:t>
            </w:r>
          </w:p>
        </w:tc>
      </w:tr>
      <w:tr w:rsidR="007E0F66" w:rsidRPr="003569E1" w:rsidTr="00D35BFC">
        <w:tc>
          <w:tcPr>
            <w:tcW w:w="2149" w:type="dxa"/>
            <w:tcBorders>
              <w:top w:val="nil"/>
              <w:left w:val="nil"/>
              <w:bottom w:val="nil"/>
              <w:right w:val="nil"/>
            </w:tcBorders>
            <w:shd w:val="clear" w:color="auto" w:fill="auto"/>
          </w:tcPr>
          <w:p w:rsidR="007E0F66" w:rsidRPr="003569E1" w:rsidRDefault="007E0F66" w:rsidP="00D35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55" w:history="1">
              <w:r w:rsidRPr="00692606">
                <w:rPr>
                  <w:color w:val="0000FF"/>
                  <w:u w:val="single"/>
                </w:rPr>
                <w:t>ECE/TRANS/132</w:t>
              </w:r>
            </w:hyperlink>
          </w:p>
        </w:tc>
        <w:tc>
          <w:tcPr>
            <w:tcW w:w="6356" w:type="dxa"/>
            <w:tcBorders>
              <w:top w:val="nil"/>
              <w:left w:val="nil"/>
              <w:bottom w:val="nil"/>
              <w:right w:val="nil"/>
            </w:tcBorders>
            <w:shd w:val="clear" w:color="auto" w:fill="auto"/>
          </w:tcPr>
          <w:p w:rsidR="007E0F66" w:rsidRPr="003569E1" w:rsidRDefault="007E0F66" w:rsidP="00D35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1998 Agreement concerning the establishment of global technical regulations for wheeled vehicles, equipment and parts which can be fitted and/or used on wheeled vehicles</w:t>
            </w:r>
          </w:p>
        </w:tc>
      </w:tr>
      <w:tr w:rsidR="007E0F66" w:rsidRPr="003569E1" w:rsidTr="00D35BFC">
        <w:tc>
          <w:tcPr>
            <w:tcW w:w="2149" w:type="dxa"/>
            <w:tcBorders>
              <w:top w:val="nil"/>
              <w:left w:val="nil"/>
              <w:bottom w:val="nil"/>
              <w:right w:val="nil"/>
            </w:tcBorders>
            <w:shd w:val="clear" w:color="auto" w:fill="auto"/>
          </w:tcPr>
          <w:p w:rsidR="007E0F66" w:rsidRPr="003569E1" w:rsidRDefault="007E0F66" w:rsidP="00D35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56" w:history="1">
              <w:r w:rsidRPr="00692606">
                <w:rPr>
                  <w:color w:val="0000FF"/>
                  <w:u w:val="single"/>
                </w:rPr>
                <w:t>ECE/TRANS/</w:t>
              </w:r>
              <w:r w:rsidRPr="00692606">
                <w:rPr>
                  <w:color w:val="0000FF"/>
                  <w:u w:val="single"/>
                </w:rPr>
                <w:br/>
                <w:t>ADN/CONF/10/</w:t>
              </w:r>
              <w:r w:rsidRPr="00692606">
                <w:rPr>
                  <w:color w:val="0000FF"/>
                  <w:u w:val="single"/>
                </w:rPr>
                <w:br/>
                <w:t>Add.1</w:t>
              </w:r>
            </w:hyperlink>
            <w:r w:rsidRPr="00692606">
              <w:t xml:space="preserve"> and </w:t>
            </w:r>
            <w:hyperlink r:id="rId57" w:history="1">
              <w:r w:rsidRPr="00692606">
                <w:rPr>
                  <w:color w:val="0000FF"/>
                  <w:u w:val="single"/>
                </w:rPr>
                <w:t>Corr.1</w:t>
              </w:r>
            </w:hyperlink>
          </w:p>
        </w:tc>
        <w:tc>
          <w:tcPr>
            <w:tcW w:w="6356" w:type="dxa"/>
            <w:tcBorders>
              <w:top w:val="nil"/>
              <w:left w:val="nil"/>
              <w:bottom w:val="nil"/>
              <w:right w:val="nil"/>
            </w:tcBorders>
            <w:shd w:val="clear" w:color="auto" w:fill="auto"/>
          </w:tcPr>
          <w:p w:rsidR="007E0F66" w:rsidRPr="003569E1" w:rsidRDefault="007E0F66" w:rsidP="00D35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 xml:space="preserve">European Agreement concerning the International Carriage of Dangerous Goods by Inland Waterways (ADN) </w:t>
            </w:r>
          </w:p>
        </w:tc>
      </w:tr>
      <w:tr w:rsidR="007E0F66" w:rsidRPr="003569E1" w:rsidTr="00D35BFC">
        <w:tc>
          <w:tcPr>
            <w:tcW w:w="2149" w:type="dxa"/>
            <w:tcBorders>
              <w:top w:val="nil"/>
              <w:left w:val="nil"/>
              <w:bottom w:val="single" w:sz="12" w:space="0" w:color="auto"/>
              <w:right w:val="nil"/>
            </w:tcBorders>
            <w:shd w:val="clear" w:color="auto" w:fill="auto"/>
          </w:tcPr>
          <w:p w:rsidR="007E0F66" w:rsidRPr="003569E1" w:rsidRDefault="007E0F66" w:rsidP="00D35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pPr>
            <w:hyperlink r:id="rId58" w:history="1">
              <w:r w:rsidRPr="00692606">
                <w:rPr>
                  <w:color w:val="0000FF"/>
                  <w:u w:val="single"/>
                </w:rPr>
                <w:t>ECE/TRANS/224</w:t>
              </w:r>
            </w:hyperlink>
          </w:p>
        </w:tc>
        <w:tc>
          <w:tcPr>
            <w:tcW w:w="6356" w:type="dxa"/>
            <w:tcBorders>
              <w:top w:val="nil"/>
              <w:left w:val="nil"/>
              <w:bottom w:val="single" w:sz="12" w:space="0" w:color="auto"/>
              <w:right w:val="nil"/>
            </w:tcBorders>
            <w:shd w:val="clear" w:color="auto" w:fill="auto"/>
          </w:tcPr>
          <w:p w:rsidR="007E0F66" w:rsidRPr="003569E1" w:rsidRDefault="007E0F66" w:rsidP="00D35B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r w:rsidRPr="00692606">
              <w:t>UNECE Road map for promoting ITS - 20 global actions 2012–2020</w:t>
            </w:r>
          </w:p>
        </w:tc>
      </w:tr>
    </w:tbl>
    <w:p w:rsidR="00F507EC" w:rsidRPr="00E114B5" w:rsidRDefault="007E0F66" w:rsidP="00E114B5">
      <w:pPr>
        <w:pStyle w:val="SingleTxt"/>
        <w:spacing w:before="240" w:after="0" w:line="240" w:lineRule="atLeast"/>
        <w:ind w:left="1134" w:right="1134"/>
        <w:jc w:val="center"/>
        <w:rPr>
          <w:u w:val="single"/>
        </w:rPr>
      </w:pPr>
      <w:r>
        <w:rPr>
          <w:u w:val="single"/>
        </w:rPr>
        <w:tab/>
      </w:r>
      <w:r>
        <w:rPr>
          <w:u w:val="single"/>
        </w:rPr>
        <w:tab/>
      </w:r>
      <w:r>
        <w:rPr>
          <w:u w:val="single"/>
        </w:rPr>
        <w:tab/>
      </w:r>
    </w:p>
    <w:sectPr w:rsidR="00F507EC" w:rsidRPr="00E114B5" w:rsidSect="003A5F98">
      <w:headerReference w:type="even" r:id="rId59"/>
      <w:headerReference w:type="default" r:id="rId60"/>
      <w:footerReference w:type="even" r:id="rId61"/>
      <w:footerReference w:type="default" r:id="rId6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FE" w:rsidRDefault="001354FE"/>
  </w:endnote>
  <w:endnote w:type="continuationSeparator" w:id="0">
    <w:p w:rsidR="001354FE" w:rsidRDefault="001354FE"/>
  </w:endnote>
  <w:endnote w:type="continuationNotice" w:id="1">
    <w:p w:rsidR="001354FE" w:rsidRDefault="0013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FE" w:rsidRPr="003A5F98" w:rsidRDefault="001354FE"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CD2877">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FE" w:rsidRPr="003A5F98" w:rsidRDefault="001354FE"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CD2877">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FE" w:rsidRPr="000B175B" w:rsidRDefault="001354FE" w:rsidP="000B175B">
      <w:pPr>
        <w:tabs>
          <w:tab w:val="right" w:pos="2155"/>
        </w:tabs>
        <w:spacing w:after="80"/>
        <w:ind w:left="680"/>
        <w:rPr>
          <w:u w:val="single"/>
        </w:rPr>
      </w:pPr>
      <w:r>
        <w:rPr>
          <w:u w:val="single"/>
        </w:rPr>
        <w:tab/>
      </w:r>
    </w:p>
  </w:footnote>
  <w:footnote w:type="continuationSeparator" w:id="0">
    <w:p w:rsidR="001354FE" w:rsidRPr="00FC68B7" w:rsidRDefault="001354FE" w:rsidP="00FC68B7">
      <w:pPr>
        <w:tabs>
          <w:tab w:val="left" w:pos="2155"/>
        </w:tabs>
        <w:spacing w:after="80"/>
        <w:ind w:left="680"/>
        <w:rPr>
          <w:u w:val="single"/>
        </w:rPr>
      </w:pPr>
      <w:r>
        <w:rPr>
          <w:u w:val="single"/>
        </w:rPr>
        <w:tab/>
      </w:r>
    </w:p>
  </w:footnote>
  <w:footnote w:type="continuationNotice" w:id="1">
    <w:p w:rsidR="001354FE" w:rsidRDefault="001354FE"/>
  </w:footnote>
  <w:footnote w:id="2">
    <w:p w:rsidR="001354FE" w:rsidRPr="0001308E" w:rsidRDefault="001354FE" w:rsidP="0001308E">
      <w:pPr>
        <w:pStyle w:val="FootnoteText"/>
        <w:widowControl w:val="0"/>
        <w:tabs>
          <w:tab w:val="clear" w:pos="1021"/>
          <w:tab w:val="right" w:pos="1020"/>
        </w:tabs>
        <w:rPr>
          <w:lang w:val="en-US"/>
        </w:rPr>
      </w:pPr>
      <w:r>
        <w:tab/>
      </w:r>
      <w:r>
        <w:rPr>
          <w:rStyle w:val="FootnoteReference"/>
        </w:rPr>
        <w:footnoteRef/>
      </w:r>
      <w:r>
        <w:tab/>
      </w:r>
      <w:proofErr w:type="gramStart"/>
      <w:r w:rsidRPr="0001308E">
        <w:t>The actual value to be available by the end of December 2015.</w:t>
      </w:r>
      <w:proofErr w:type="gramEnd"/>
    </w:p>
  </w:footnote>
  <w:footnote w:id="3">
    <w:p w:rsidR="001354FE" w:rsidRPr="00BE690A" w:rsidRDefault="001354FE" w:rsidP="00DE71F6">
      <w:pPr>
        <w:pStyle w:val="FootnoteText"/>
        <w:widowControl w:val="0"/>
        <w:tabs>
          <w:tab w:val="clear" w:pos="1021"/>
          <w:tab w:val="right" w:pos="1020"/>
        </w:tabs>
        <w:rPr>
          <w:lang w:val="en-US"/>
        </w:rPr>
      </w:pPr>
      <w:r>
        <w:tab/>
      </w:r>
      <w:r>
        <w:rPr>
          <w:rStyle w:val="FootnoteReference"/>
        </w:rPr>
        <w:footnoteRef/>
      </w:r>
      <w:r>
        <w:tab/>
      </w:r>
      <w:r w:rsidRPr="00BE690A">
        <w:t xml:space="preserve">A new resolution </w:t>
      </w:r>
      <w:proofErr w:type="gramStart"/>
      <w:r w:rsidRPr="00BE690A">
        <w:t>will be adopted</w:t>
      </w:r>
      <w:proofErr w:type="gramEnd"/>
      <w:r w:rsidRPr="00BE690A">
        <w:t xml:space="preserve"> by the General Assembly after COP-21 in Paris (30 November – 11</w:t>
      </w:r>
      <w:r>
        <w:t> </w:t>
      </w:r>
      <w:r w:rsidRPr="00BE690A">
        <w:t>December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FE" w:rsidRPr="003A5F98" w:rsidRDefault="001354FE">
    <w:pPr>
      <w:pStyle w:val="Header"/>
    </w:pPr>
    <w:r>
      <w:t>ECE/TRANS/2016/30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FE" w:rsidRPr="003A5F98" w:rsidRDefault="001354FE" w:rsidP="003A5F98">
    <w:pPr>
      <w:pStyle w:val="Header"/>
      <w:jc w:val="right"/>
    </w:pPr>
    <w:r>
      <w:t>ECE/TRANS/2016/30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308E"/>
    <w:rsid w:val="00027624"/>
    <w:rsid w:val="000359BD"/>
    <w:rsid w:val="00035CAF"/>
    <w:rsid w:val="00050F6B"/>
    <w:rsid w:val="000678CD"/>
    <w:rsid w:val="00072C8C"/>
    <w:rsid w:val="00081CE0"/>
    <w:rsid w:val="00084D30"/>
    <w:rsid w:val="00090320"/>
    <w:rsid w:val="000931C0"/>
    <w:rsid w:val="000A2E09"/>
    <w:rsid w:val="000B175B"/>
    <w:rsid w:val="000B3A0F"/>
    <w:rsid w:val="000E0415"/>
    <w:rsid w:val="000F7715"/>
    <w:rsid w:val="001354FE"/>
    <w:rsid w:val="00155A3D"/>
    <w:rsid w:val="00156B99"/>
    <w:rsid w:val="00166124"/>
    <w:rsid w:val="00184DDA"/>
    <w:rsid w:val="001900CD"/>
    <w:rsid w:val="00196ACD"/>
    <w:rsid w:val="001A0452"/>
    <w:rsid w:val="001B4B04"/>
    <w:rsid w:val="001B5875"/>
    <w:rsid w:val="001C312D"/>
    <w:rsid w:val="001C4B9C"/>
    <w:rsid w:val="001C6663"/>
    <w:rsid w:val="001C7895"/>
    <w:rsid w:val="001D26DF"/>
    <w:rsid w:val="001E383E"/>
    <w:rsid w:val="001F1599"/>
    <w:rsid w:val="001F19C4"/>
    <w:rsid w:val="002043F0"/>
    <w:rsid w:val="00211E0B"/>
    <w:rsid w:val="00232575"/>
    <w:rsid w:val="00243938"/>
    <w:rsid w:val="00247258"/>
    <w:rsid w:val="00257CAC"/>
    <w:rsid w:val="0027237A"/>
    <w:rsid w:val="002974E9"/>
    <w:rsid w:val="00297F28"/>
    <w:rsid w:val="002A7F94"/>
    <w:rsid w:val="002B109A"/>
    <w:rsid w:val="002C6D45"/>
    <w:rsid w:val="002D6E53"/>
    <w:rsid w:val="002F046D"/>
    <w:rsid w:val="002F50C2"/>
    <w:rsid w:val="00301764"/>
    <w:rsid w:val="003040FD"/>
    <w:rsid w:val="003229D8"/>
    <w:rsid w:val="00332981"/>
    <w:rsid w:val="00336C97"/>
    <w:rsid w:val="00337F88"/>
    <w:rsid w:val="00342432"/>
    <w:rsid w:val="0035223F"/>
    <w:rsid w:val="00352D4B"/>
    <w:rsid w:val="0035638C"/>
    <w:rsid w:val="003672C4"/>
    <w:rsid w:val="0037307F"/>
    <w:rsid w:val="00375B8E"/>
    <w:rsid w:val="003A46BB"/>
    <w:rsid w:val="003A4EC7"/>
    <w:rsid w:val="003A5F98"/>
    <w:rsid w:val="003A7295"/>
    <w:rsid w:val="003B1F60"/>
    <w:rsid w:val="003C2CC4"/>
    <w:rsid w:val="003D4B23"/>
    <w:rsid w:val="003E278A"/>
    <w:rsid w:val="003F381E"/>
    <w:rsid w:val="00413520"/>
    <w:rsid w:val="00416054"/>
    <w:rsid w:val="004325CB"/>
    <w:rsid w:val="00440A07"/>
    <w:rsid w:val="00462880"/>
    <w:rsid w:val="00473355"/>
    <w:rsid w:val="00476F24"/>
    <w:rsid w:val="004C55B0"/>
    <w:rsid w:val="004C6E60"/>
    <w:rsid w:val="004F6BA0"/>
    <w:rsid w:val="00503BEA"/>
    <w:rsid w:val="00511975"/>
    <w:rsid w:val="00533616"/>
    <w:rsid w:val="00535ABA"/>
    <w:rsid w:val="0053768B"/>
    <w:rsid w:val="005420F2"/>
    <w:rsid w:val="0054285C"/>
    <w:rsid w:val="00547488"/>
    <w:rsid w:val="00584173"/>
    <w:rsid w:val="00595520"/>
    <w:rsid w:val="005A2D2D"/>
    <w:rsid w:val="005A44B9"/>
    <w:rsid w:val="005B1BA0"/>
    <w:rsid w:val="005B3DB3"/>
    <w:rsid w:val="005D15CA"/>
    <w:rsid w:val="005D7F33"/>
    <w:rsid w:val="005E0A00"/>
    <w:rsid w:val="005F3066"/>
    <w:rsid w:val="005F3E61"/>
    <w:rsid w:val="00604DDD"/>
    <w:rsid w:val="006115CC"/>
    <w:rsid w:val="00611FC4"/>
    <w:rsid w:val="006176FB"/>
    <w:rsid w:val="00630FCB"/>
    <w:rsid w:val="00640B26"/>
    <w:rsid w:val="00646000"/>
    <w:rsid w:val="00646BFB"/>
    <w:rsid w:val="006770B2"/>
    <w:rsid w:val="00692606"/>
    <w:rsid w:val="006940E1"/>
    <w:rsid w:val="006A3C72"/>
    <w:rsid w:val="006A7392"/>
    <w:rsid w:val="006B03A1"/>
    <w:rsid w:val="006B67D9"/>
    <w:rsid w:val="006C5535"/>
    <w:rsid w:val="006D0589"/>
    <w:rsid w:val="006E0017"/>
    <w:rsid w:val="006E2175"/>
    <w:rsid w:val="006E564B"/>
    <w:rsid w:val="006E7154"/>
    <w:rsid w:val="006F7567"/>
    <w:rsid w:val="007003CD"/>
    <w:rsid w:val="0070701E"/>
    <w:rsid w:val="007255BE"/>
    <w:rsid w:val="0072632A"/>
    <w:rsid w:val="007358E8"/>
    <w:rsid w:val="00736ECE"/>
    <w:rsid w:val="0074533B"/>
    <w:rsid w:val="007643BC"/>
    <w:rsid w:val="007959FE"/>
    <w:rsid w:val="007A0CF1"/>
    <w:rsid w:val="007A16FD"/>
    <w:rsid w:val="007B6BA5"/>
    <w:rsid w:val="007C3390"/>
    <w:rsid w:val="007C42D8"/>
    <w:rsid w:val="007C4F4B"/>
    <w:rsid w:val="007D63BB"/>
    <w:rsid w:val="007D7362"/>
    <w:rsid w:val="007E0F66"/>
    <w:rsid w:val="007F33C7"/>
    <w:rsid w:val="007F38D6"/>
    <w:rsid w:val="007F5CE2"/>
    <w:rsid w:val="007F6611"/>
    <w:rsid w:val="007F745F"/>
    <w:rsid w:val="00810BAC"/>
    <w:rsid w:val="008175E9"/>
    <w:rsid w:val="008234FB"/>
    <w:rsid w:val="008242D7"/>
    <w:rsid w:val="0082577B"/>
    <w:rsid w:val="008472FC"/>
    <w:rsid w:val="00866893"/>
    <w:rsid w:val="00866F02"/>
    <w:rsid w:val="00867D18"/>
    <w:rsid w:val="00871F9A"/>
    <w:rsid w:val="00871FD5"/>
    <w:rsid w:val="0087391E"/>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8712F"/>
    <w:rsid w:val="00990766"/>
    <w:rsid w:val="00991261"/>
    <w:rsid w:val="00995600"/>
    <w:rsid w:val="009964C4"/>
    <w:rsid w:val="009A431C"/>
    <w:rsid w:val="009A7B81"/>
    <w:rsid w:val="009D01C0"/>
    <w:rsid w:val="009D6A08"/>
    <w:rsid w:val="009E0A16"/>
    <w:rsid w:val="009E6CB7"/>
    <w:rsid w:val="009E7970"/>
    <w:rsid w:val="009F2EAC"/>
    <w:rsid w:val="009F57E3"/>
    <w:rsid w:val="00A10F4F"/>
    <w:rsid w:val="00A11067"/>
    <w:rsid w:val="00A11C60"/>
    <w:rsid w:val="00A1704A"/>
    <w:rsid w:val="00A211AB"/>
    <w:rsid w:val="00A425EB"/>
    <w:rsid w:val="00A666BB"/>
    <w:rsid w:val="00A72F22"/>
    <w:rsid w:val="00A733BC"/>
    <w:rsid w:val="00A748A6"/>
    <w:rsid w:val="00A76A69"/>
    <w:rsid w:val="00A879A4"/>
    <w:rsid w:val="00AA0FF8"/>
    <w:rsid w:val="00AB03E0"/>
    <w:rsid w:val="00AB4690"/>
    <w:rsid w:val="00AC0F2C"/>
    <w:rsid w:val="00AC16AE"/>
    <w:rsid w:val="00AC502A"/>
    <w:rsid w:val="00AE0C43"/>
    <w:rsid w:val="00AE7DB3"/>
    <w:rsid w:val="00AF58C1"/>
    <w:rsid w:val="00B04A3F"/>
    <w:rsid w:val="00B06643"/>
    <w:rsid w:val="00B10812"/>
    <w:rsid w:val="00B15055"/>
    <w:rsid w:val="00B30179"/>
    <w:rsid w:val="00B37B15"/>
    <w:rsid w:val="00B45C02"/>
    <w:rsid w:val="00B72A1E"/>
    <w:rsid w:val="00B81E12"/>
    <w:rsid w:val="00B873B4"/>
    <w:rsid w:val="00BA339B"/>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243E5"/>
    <w:rsid w:val="00C33D43"/>
    <w:rsid w:val="00C463DD"/>
    <w:rsid w:val="00C7219C"/>
    <w:rsid w:val="00C745C3"/>
    <w:rsid w:val="00CA24A4"/>
    <w:rsid w:val="00CA457E"/>
    <w:rsid w:val="00CA6791"/>
    <w:rsid w:val="00CA75EB"/>
    <w:rsid w:val="00CB348D"/>
    <w:rsid w:val="00CD143B"/>
    <w:rsid w:val="00CD2877"/>
    <w:rsid w:val="00CD46F5"/>
    <w:rsid w:val="00CE4A8F"/>
    <w:rsid w:val="00CF071D"/>
    <w:rsid w:val="00CF73DC"/>
    <w:rsid w:val="00D15B04"/>
    <w:rsid w:val="00D2031B"/>
    <w:rsid w:val="00D23968"/>
    <w:rsid w:val="00D25FE2"/>
    <w:rsid w:val="00D3685B"/>
    <w:rsid w:val="00D37DA9"/>
    <w:rsid w:val="00D406A7"/>
    <w:rsid w:val="00D43252"/>
    <w:rsid w:val="00D44D86"/>
    <w:rsid w:val="00D50B7D"/>
    <w:rsid w:val="00D52012"/>
    <w:rsid w:val="00D651C5"/>
    <w:rsid w:val="00D672A0"/>
    <w:rsid w:val="00D704E5"/>
    <w:rsid w:val="00D72727"/>
    <w:rsid w:val="00D914FB"/>
    <w:rsid w:val="00D978C6"/>
    <w:rsid w:val="00DA0956"/>
    <w:rsid w:val="00DA357F"/>
    <w:rsid w:val="00DA3E12"/>
    <w:rsid w:val="00DA52AA"/>
    <w:rsid w:val="00DC18AD"/>
    <w:rsid w:val="00DE71F6"/>
    <w:rsid w:val="00DF4152"/>
    <w:rsid w:val="00DF7CAE"/>
    <w:rsid w:val="00E10695"/>
    <w:rsid w:val="00E114B5"/>
    <w:rsid w:val="00E423C0"/>
    <w:rsid w:val="00E6414C"/>
    <w:rsid w:val="00E7260F"/>
    <w:rsid w:val="00E8702D"/>
    <w:rsid w:val="00E916A9"/>
    <w:rsid w:val="00E916DE"/>
    <w:rsid w:val="00E92327"/>
    <w:rsid w:val="00E925AD"/>
    <w:rsid w:val="00E96630"/>
    <w:rsid w:val="00EA6F25"/>
    <w:rsid w:val="00ED18DC"/>
    <w:rsid w:val="00ED6201"/>
    <w:rsid w:val="00ED7A2A"/>
    <w:rsid w:val="00EF1D7F"/>
    <w:rsid w:val="00F0137E"/>
    <w:rsid w:val="00F21786"/>
    <w:rsid w:val="00F3742B"/>
    <w:rsid w:val="00F41FDB"/>
    <w:rsid w:val="00F507EC"/>
    <w:rsid w:val="00F56D63"/>
    <w:rsid w:val="00F609A9"/>
    <w:rsid w:val="00F650F7"/>
    <w:rsid w:val="00F73BD3"/>
    <w:rsid w:val="00F80C99"/>
    <w:rsid w:val="00F867EC"/>
    <w:rsid w:val="00F91B2B"/>
    <w:rsid w:val="00FC03CD"/>
    <w:rsid w:val="00FC03F5"/>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DE71F6"/>
    <w:rPr>
      <w:lang w:eastAsia="en-US"/>
    </w:rPr>
  </w:style>
  <w:style w:type="character" w:styleId="CommentReference">
    <w:name w:val="annotation reference"/>
    <w:basedOn w:val="DefaultParagraphFont"/>
    <w:rsid w:val="00692606"/>
    <w:rPr>
      <w:sz w:val="16"/>
      <w:szCs w:val="16"/>
    </w:rPr>
  </w:style>
  <w:style w:type="paragraph" w:styleId="CommentText">
    <w:name w:val="annotation text"/>
    <w:basedOn w:val="Normal"/>
    <w:link w:val="CommentTextChar"/>
    <w:rsid w:val="00692606"/>
    <w:pPr>
      <w:spacing w:line="240" w:lineRule="auto"/>
    </w:pPr>
  </w:style>
  <w:style w:type="character" w:customStyle="1" w:styleId="CommentTextChar">
    <w:name w:val="Comment Text Char"/>
    <w:basedOn w:val="DefaultParagraphFont"/>
    <w:link w:val="CommentText"/>
    <w:rsid w:val="00692606"/>
    <w:rPr>
      <w:lang w:eastAsia="en-US"/>
    </w:rPr>
  </w:style>
  <w:style w:type="paragraph" w:styleId="CommentSubject">
    <w:name w:val="annotation subject"/>
    <w:basedOn w:val="CommentText"/>
    <w:next w:val="CommentText"/>
    <w:link w:val="CommentSubjectChar"/>
    <w:rsid w:val="00692606"/>
    <w:rPr>
      <w:b/>
      <w:bCs/>
    </w:rPr>
  </w:style>
  <w:style w:type="character" w:customStyle="1" w:styleId="CommentSubjectChar">
    <w:name w:val="Comment Subject Char"/>
    <w:basedOn w:val="CommentTextChar"/>
    <w:link w:val="CommentSubject"/>
    <w:rsid w:val="00692606"/>
    <w:rPr>
      <w:b/>
      <w:bCs/>
      <w:lang w:eastAsia="en-US"/>
    </w:rPr>
  </w:style>
  <w:style w:type="paragraph" w:customStyle="1" w:styleId="SingleTxt">
    <w:name w:val="__Single Txt"/>
    <w:basedOn w:val="Normal"/>
    <w:link w:val="SingleTxtChar"/>
    <w:rsid w:val="00AE0C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Char">
    <w:name w:val="__Single Txt Char"/>
    <w:link w:val="SingleTxt"/>
    <w:locked/>
    <w:rsid w:val="00AE0C43"/>
    <w:rPr>
      <w:spacing w:val="4"/>
      <w:w w:val="103"/>
      <w:kern w:val="14"/>
      <w:lang w:eastAsia="en-US"/>
    </w:rPr>
  </w:style>
  <w:style w:type="paragraph" w:styleId="Revision">
    <w:name w:val="Revision"/>
    <w:hidden/>
    <w:uiPriority w:val="99"/>
    <w:semiHidden/>
    <w:rsid w:val="004733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DE71F6"/>
    <w:rPr>
      <w:lang w:eastAsia="en-US"/>
    </w:rPr>
  </w:style>
  <w:style w:type="character" w:styleId="CommentReference">
    <w:name w:val="annotation reference"/>
    <w:basedOn w:val="DefaultParagraphFont"/>
    <w:rsid w:val="00692606"/>
    <w:rPr>
      <w:sz w:val="16"/>
      <w:szCs w:val="16"/>
    </w:rPr>
  </w:style>
  <w:style w:type="paragraph" w:styleId="CommentText">
    <w:name w:val="annotation text"/>
    <w:basedOn w:val="Normal"/>
    <w:link w:val="CommentTextChar"/>
    <w:rsid w:val="00692606"/>
    <w:pPr>
      <w:spacing w:line="240" w:lineRule="auto"/>
    </w:pPr>
  </w:style>
  <w:style w:type="character" w:customStyle="1" w:styleId="CommentTextChar">
    <w:name w:val="Comment Text Char"/>
    <w:basedOn w:val="DefaultParagraphFont"/>
    <w:link w:val="CommentText"/>
    <w:rsid w:val="00692606"/>
    <w:rPr>
      <w:lang w:eastAsia="en-US"/>
    </w:rPr>
  </w:style>
  <w:style w:type="paragraph" w:styleId="CommentSubject">
    <w:name w:val="annotation subject"/>
    <w:basedOn w:val="CommentText"/>
    <w:next w:val="CommentText"/>
    <w:link w:val="CommentSubjectChar"/>
    <w:rsid w:val="00692606"/>
    <w:rPr>
      <w:b/>
      <w:bCs/>
    </w:rPr>
  </w:style>
  <w:style w:type="character" w:customStyle="1" w:styleId="CommentSubjectChar">
    <w:name w:val="Comment Subject Char"/>
    <w:basedOn w:val="CommentTextChar"/>
    <w:link w:val="CommentSubject"/>
    <w:rsid w:val="00692606"/>
    <w:rPr>
      <w:b/>
      <w:bCs/>
      <w:lang w:eastAsia="en-US"/>
    </w:rPr>
  </w:style>
  <w:style w:type="paragraph" w:customStyle="1" w:styleId="SingleTxt">
    <w:name w:val="__Single Txt"/>
    <w:basedOn w:val="Normal"/>
    <w:link w:val="SingleTxtChar"/>
    <w:rsid w:val="00AE0C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Char">
    <w:name w:val="__Single Txt Char"/>
    <w:link w:val="SingleTxt"/>
    <w:locked/>
    <w:rsid w:val="00AE0C43"/>
    <w:rPr>
      <w:spacing w:val="4"/>
      <w:w w:val="103"/>
      <w:kern w:val="14"/>
      <w:lang w:eastAsia="en-US"/>
    </w:rPr>
  </w:style>
  <w:style w:type="paragraph" w:styleId="Revision">
    <w:name w:val="Revision"/>
    <w:hidden/>
    <w:uiPriority w:val="99"/>
    <w:semiHidden/>
    <w:rsid w:val="004733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docs.org/A/RES/67/226" TargetMode="External"/><Relationship Id="rId18" Type="http://schemas.openxmlformats.org/officeDocument/2006/relationships/hyperlink" Target="http://www.un.org/en/ga/search/view_doc.asp?symbol=A/RES/69/83" TargetMode="External"/><Relationship Id="rId26" Type="http://schemas.openxmlformats.org/officeDocument/2006/relationships/hyperlink" Target="http://www.un.org/en/ga/search/view_doc.asp?symbol=A/RES/69/220" TargetMode="External"/><Relationship Id="rId39" Type="http://schemas.openxmlformats.org/officeDocument/2006/relationships/hyperlink" Target="http://www.un.org/en/ga/search/view_doc.asp?symbol=A/RES/68/269" TargetMode="External"/><Relationship Id="rId21" Type="http://schemas.openxmlformats.org/officeDocument/2006/relationships/hyperlink" Target="http://www.un.org/en/ga/search/view_doc.asp?symbol=A/RES/69/143" TargetMode="External"/><Relationship Id="rId34" Type="http://schemas.openxmlformats.org/officeDocument/2006/relationships/hyperlink" Target="http://www.un.org/ga/search/view_doc.asp?symbol=E/RES/2015/12" TargetMode="External"/><Relationship Id="rId42" Type="http://schemas.openxmlformats.org/officeDocument/2006/relationships/hyperlink" Target="http://www.un.org/en/ga/search/view_doc.asp?symbol=A/RES/69/232" TargetMode="External"/><Relationship Id="rId47" Type="http://schemas.openxmlformats.org/officeDocument/2006/relationships/hyperlink" Target="http://www.unece.org/fileadmin/DAM/trans/doc/2013/itc/ECE-TRANS-236e.pdf" TargetMode="External"/><Relationship Id="rId50" Type="http://schemas.openxmlformats.org/officeDocument/2006/relationships/hyperlink" Target="http://www.unece.org/fileadmin/DAM/trans/doc/2015/itc/ECE-TRANS-248e.pdf" TargetMode="External"/><Relationship Id="rId55" Type="http://schemas.openxmlformats.org/officeDocument/2006/relationships/hyperlink" Target="http://www.unece.org/fileadmin/DAM/trans/main/wp29/wp29wgs/wp29gen/wp29glob/tran132.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org/en/ga/search/view_doc.asp?symbol=A/RES/69/11" TargetMode="External"/><Relationship Id="rId29" Type="http://schemas.openxmlformats.org/officeDocument/2006/relationships/hyperlink" Target="http://www.un.org/en/ga/search/view_doc.asp?symbol=A/RES/69/272" TargetMode="External"/><Relationship Id="rId11" Type="http://schemas.openxmlformats.org/officeDocument/2006/relationships/hyperlink" Target="http://undocs.org/A/RES/67/10" TargetMode="External"/><Relationship Id="rId24" Type="http://schemas.openxmlformats.org/officeDocument/2006/relationships/hyperlink" Target="http://www.un.org/en/ga/search/view_doc.asp?symbol=A/RES/69/214" TargetMode="External"/><Relationship Id="rId32" Type="http://schemas.openxmlformats.org/officeDocument/2006/relationships/hyperlink" Target="http://www.un.org/en/ecosoc/docs/2006/resolution%202006-38.pdf" TargetMode="External"/><Relationship Id="rId37" Type="http://schemas.openxmlformats.org/officeDocument/2006/relationships/hyperlink" Target="http://www.unece.org/fileadmin/DAM/commission/2013/Chapter_IV_Decision_and_Annex_III_Outcome_document.pdf" TargetMode="External"/><Relationship Id="rId40" Type="http://schemas.openxmlformats.org/officeDocument/2006/relationships/hyperlink" Target="http://www.un.org/en/ga/search/view_doc.asp?symbol=A/RES/69/137" TargetMode="External"/><Relationship Id="rId45" Type="http://schemas.openxmlformats.org/officeDocument/2006/relationships/hyperlink" Target="http://www.un.org/ga/search/view_doc.asp?symbol=E/RES/2015/7" TargetMode="External"/><Relationship Id="rId53" Type="http://schemas.openxmlformats.org/officeDocument/2006/relationships/hyperlink" Target="http://www.unece.org/fileadmin/DAM/trans/main/wp29/wp29regs/505ep29.pdf" TargetMode="External"/><Relationship Id="rId58" Type="http://schemas.openxmlformats.org/officeDocument/2006/relationships/hyperlink" Target="http://www.unece.org/fileadmin/DAM/trans/doc/2012/itc/ECE-TRANS-224e.pdf"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www.un.org/en/ga/search/view_doc.asp?symbol=A/RES/69/111" TargetMode="External"/><Relationship Id="rId14" Type="http://schemas.openxmlformats.org/officeDocument/2006/relationships/hyperlink" Target="http://daccess-dds-ny.un.org/doc/UNDOC/GEN/N14/620/80/PDF/N1462080.pdf?OpenElement" TargetMode="External"/><Relationship Id="rId22" Type="http://schemas.openxmlformats.org/officeDocument/2006/relationships/hyperlink" Target="http://www.un.org/en/ga/search/view_doc.asp?symbol=A/RES/69/151" TargetMode="External"/><Relationship Id="rId27" Type="http://schemas.openxmlformats.org/officeDocument/2006/relationships/hyperlink" Target="http://www.un.org/en/ga/search/view_doc.asp?symbol=A/RES/69/238" TargetMode="External"/><Relationship Id="rId30" Type="http://schemas.openxmlformats.org/officeDocument/2006/relationships/hyperlink" Target="http://www.un.org/en/ga/search/view_doc.asp?symbol=A/RES/69/313" TargetMode="External"/><Relationship Id="rId35" Type="http://schemas.openxmlformats.org/officeDocument/2006/relationships/hyperlink" Target="http://www.un.org/ga/search/view_doc.asp?symbol=E/RES/2015/15" TargetMode="External"/><Relationship Id="rId43" Type="http://schemas.openxmlformats.org/officeDocument/2006/relationships/hyperlink" Target="http://www.unece.org/fileadmin/DAM/trans/main/dgdb/dgsubc4/ECOSOC/1999-65/1999-65e.pdf" TargetMode="External"/><Relationship Id="rId48" Type="http://schemas.openxmlformats.org/officeDocument/2006/relationships/hyperlink" Target="http://www.unece.org/fileadmin/DAM/trans/doc/2013/itc/Joint_Declaration_on_URL.pdf" TargetMode="External"/><Relationship Id="rId56" Type="http://schemas.openxmlformats.org/officeDocument/2006/relationships/hyperlink" Target="http://www.unece.org/fileadmin/DAM/trans/danger/publi/adn/adn_history/docs/ECE-TRANS-ADN-CONF-10a1e.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nece.org/fileadmin/DAM/commission/2015/Report_66th_session_E_ECE_1472_English_advance.pdf" TargetMode="External"/><Relationship Id="rId3" Type="http://schemas.openxmlformats.org/officeDocument/2006/relationships/styles" Target="styles.xml"/><Relationship Id="rId12" Type="http://schemas.openxmlformats.org/officeDocument/2006/relationships/hyperlink" Target="http://www.un.org/en/ga/search/view_doc.asp?symbol=A/RES/67/215" TargetMode="External"/><Relationship Id="rId17" Type="http://schemas.openxmlformats.org/officeDocument/2006/relationships/hyperlink" Target="http://www.un.org/en/ga/search/view_doc.asp?symbol=A/RES/69/13" TargetMode="External"/><Relationship Id="rId25" Type="http://schemas.openxmlformats.org/officeDocument/2006/relationships/hyperlink" Target="http://www.un.org/en/ga/search/view_doc.asp?symbol=A/RES/69/219" TargetMode="External"/><Relationship Id="rId33" Type="http://schemas.openxmlformats.org/officeDocument/2006/relationships/hyperlink" Target="http://www.un.org/ga/search/view_doc.asp?symbol=E/RES/2013/1" TargetMode="External"/><Relationship Id="rId38" Type="http://schemas.openxmlformats.org/officeDocument/2006/relationships/hyperlink" Target="http://undocs.org/A/RES/58/9" TargetMode="External"/><Relationship Id="rId46" Type="http://schemas.openxmlformats.org/officeDocument/2006/relationships/hyperlink" Target="http://www.unece.org/fileadmin/DAM/env/documents/2014/ece/ece.ac.21.2014.2.e.pdf" TargetMode="External"/><Relationship Id="rId59" Type="http://schemas.openxmlformats.org/officeDocument/2006/relationships/header" Target="header1.xml"/><Relationship Id="rId20" Type="http://schemas.openxmlformats.org/officeDocument/2006/relationships/hyperlink" Target="http://www.un.org/en/ga/search/view_doc.asp?symbol=A/RES/69/142" TargetMode="External"/><Relationship Id="rId41" Type="http://schemas.openxmlformats.org/officeDocument/2006/relationships/hyperlink" Target="http://www.un.org/en/ga/search/view_doc.asp?symbol=A/RES/69/213" TargetMode="External"/><Relationship Id="rId54" Type="http://schemas.openxmlformats.org/officeDocument/2006/relationships/hyperlink" Target="http://www.unece.org/fileadmin/DAM/trans/conventn/conf4e.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org/en/ga/search/view_doc.asp?symbol=A/RES/69/10" TargetMode="External"/><Relationship Id="rId23" Type="http://schemas.openxmlformats.org/officeDocument/2006/relationships/hyperlink" Target="http://www.un.org/en/ga/search/view_doc.asp?symbol=A/RES/69/204" TargetMode="External"/><Relationship Id="rId28" Type="http://schemas.openxmlformats.org/officeDocument/2006/relationships/hyperlink" Target="http://www.un.org/en/ga/search/view_doc.asp?symbol=A/RES/69/239" TargetMode="External"/><Relationship Id="rId36" Type="http://schemas.openxmlformats.org/officeDocument/2006/relationships/hyperlink" Target="http://www.unece.org/fileadmin/DAM/commission/2011/Adopted_ECE_Decision_31March2011.pdf" TargetMode="External"/><Relationship Id="rId49" Type="http://schemas.openxmlformats.org/officeDocument/2006/relationships/hyperlink" Target="http://www.unece.org/fileadmin/DAM/trans/doc/2013/itc/Joint_Declaration_on_EATL.pdf" TargetMode="External"/><Relationship Id="rId57" Type="http://schemas.openxmlformats.org/officeDocument/2006/relationships/hyperlink" Target="http://www.unece.org/fileadmin/DAM/trans/danger/publi/adn/adnnotif/CN.482.2009f.pdf" TargetMode="External"/><Relationship Id="rId10" Type="http://schemas.openxmlformats.org/officeDocument/2006/relationships/hyperlink" Target="http://undocs.org/A/RES/66/288" TargetMode="External"/><Relationship Id="rId31" Type="http://schemas.openxmlformats.org/officeDocument/2006/relationships/hyperlink" Target="http://www.un.org/en/ga/search/view_doc.asp?symbol=A/RES/69/277" TargetMode="External"/><Relationship Id="rId44" Type="http://schemas.openxmlformats.org/officeDocument/2006/relationships/hyperlink" Target="http://www.un.org/ga/search/view_doc.asp?symbol=E/RES/2013/7" TargetMode="External"/><Relationship Id="rId52" Type="http://schemas.openxmlformats.org/officeDocument/2006/relationships/hyperlink" Target="http://www.unece.org/fileadmin/DAM/commission/2015/E_ECE_1478_rev1_en.pdf"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AD98-AB7D-4E64-9527-3332A030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TotalTime>
  <Pages>8</Pages>
  <Words>2372</Words>
  <Characters>14442</Characters>
  <Application>Microsoft Office Word</Application>
  <DocSecurity>0</DocSecurity>
  <Lines>553</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4</cp:revision>
  <cp:lastPrinted>2015-12-11T15:33:00Z</cp:lastPrinted>
  <dcterms:created xsi:type="dcterms:W3CDTF">2015-12-14T19:51:00Z</dcterms:created>
  <dcterms:modified xsi:type="dcterms:W3CDTF">2015-12-14T19:53:00Z</dcterms:modified>
</cp:coreProperties>
</file>