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445DD8" w:rsidP="009E6CB7">
            <w:pPr>
              <w:spacing w:after="80"/>
            </w:pPr>
            <w:r>
              <w:t xml:space="preserve"> </w:t>
            </w: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90E8E" w:rsidP="007F6E82">
            <w:pPr>
              <w:jc w:val="right"/>
            </w:pPr>
            <w:r w:rsidRPr="00190E8E">
              <w:rPr>
                <w:sz w:val="40"/>
              </w:rPr>
              <w:t>ECE</w:t>
            </w:r>
            <w:r w:rsidR="007F31D3">
              <w:t>/TRANS/</w:t>
            </w:r>
            <w:r w:rsidR="007F6E82">
              <w:t>2016/20</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21155E2B" wp14:editId="4BCA59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90E8E" w:rsidP="00190E8E">
            <w:pPr>
              <w:spacing w:before="240" w:line="240" w:lineRule="exact"/>
            </w:pPr>
            <w:r>
              <w:t>Distr.: General</w:t>
            </w:r>
          </w:p>
          <w:p w:rsidR="00190E8E" w:rsidRDefault="00A44BCB" w:rsidP="00190E8E">
            <w:pPr>
              <w:spacing w:line="240" w:lineRule="exact"/>
            </w:pPr>
            <w:r>
              <w:t>15</w:t>
            </w:r>
            <w:r w:rsidR="000B47E2">
              <w:t xml:space="preserve"> </w:t>
            </w:r>
            <w:r>
              <w:t xml:space="preserve">December </w:t>
            </w:r>
            <w:r w:rsidR="00190E8E">
              <w:t>2015</w:t>
            </w:r>
          </w:p>
          <w:p w:rsidR="00190E8E" w:rsidRDefault="00190E8E" w:rsidP="00190E8E">
            <w:pPr>
              <w:spacing w:line="240" w:lineRule="exact"/>
            </w:pPr>
          </w:p>
          <w:p w:rsidR="00190E8E" w:rsidRDefault="00190E8E" w:rsidP="00190E8E">
            <w:pPr>
              <w:spacing w:line="240" w:lineRule="exact"/>
            </w:pPr>
            <w:r>
              <w:t>Original: English</w:t>
            </w:r>
          </w:p>
        </w:tc>
      </w:tr>
    </w:tbl>
    <w:p w:rsidR="00A44BCB" w:rsidRPr="007D68EB" w:rsidRDefault="00A44BCB" w:rsidP="00A44BCB">
      <w:pPr>
        <w:spacing w:before="120"/>
        <w:rPr>
          <w:b/>
          <w:bCs/>
          <w:sz w:val="28"/>
          <w:szCs w:val="28"/>
        </w:rPr>
      </w:pPr>
      <w:r w:rsidRPr="007D68EB">
        <w:rPr>
          <w:b/>
          <w:bCs/>
          <w:sz w:val="28"/>
          <w:szCs w:val="28"/>
        </w:rPr>
        <w:t>Economic Commission for Europe</w:t>
      </w:r>
    </w:p>
    <w:p w:rsidR="00A44BCB" w:rsidRPr="007D68EB" w:rsidRDefault="00A44BCB" w:rsidP="00A44BCB">
      <w:pPr>
        <w:spacing w:before="120"/>
        <w:rPr>
          <w:sz w:val="28"/>
          <w:szCs w:val="28"/>
        </w:rPr>
      </w:pPr>
      <w:r w:rsidRPr="007D68EB">
        <w:rPr>
          <w:sz w:val="28"/>
          <w:szCs w:val="28"/>
        </w:rPr>
        <w:t>Inland Transport Committee</w:t>
      </w:r>
    </w:p>
    <w:p w:rsidR="00A44BCB" w:rsidRDefault="00A44BCB" w:rsidP="00A44BCB">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A44BCB" w:rsidRDefault="00A44BCB" w:rsidP="00A44BCB">
      <w:pPr>
        <w:rPr>
          <w:b/>
          <w:bCs/>
        </w:rPr>
      </w:pPr>
      <w:r w:rsidRPr="007D68EB">
        <w:t>Geneva</w:t>
      </w:r>
      <w:r>
        <w:t>, 23–26 February 2016</w:t>
      </w:r>
      <w:r>
        <w:br/>
        <w:t>Item 5 (g)</w:t>
      </w:r>
      <w:r w:rsidRPr="00457246">
        <w:t xml:space="preserve"> of the provisional agenda</w:t>
      </w:r>
      <w:r w:rsidRPr="00457246">
        <w:br/>
      </w:r>
      <w:r w:rsidRPr="00A44BCB">
        <w:rPr>
          <w:b/>
          <w:bCs/>
        </w:rPr>
        <w:t>Strategic questions of a modal and thematic nature:</w:t>
      </w:r>
      <w:r w:rsidRPr="00A44BCB">
        <w:t xml:space="preserve"> </w:t>
      </w:r>
      <w:r>
        <w:br/>
      </w:r>
      <w:r w:rsidRPr="00A44BCB">
        <w:rPr>
          <w:b/>
          <w:bCs/>
        </w:rPr>
        <w:t>Inland Water Transport</w:t>
      </w:r>
    </w:p>
    <w:p w:rsidR="007F31D3" w:rsidRDefault="007F31D3" w:rsidP="000B47E2">
      <w:pPr>
        <w:pStyle w:val="HChG"/>
      </w:pPr>
      <w:r>
        <w:tab/>
      </w:r>
      <w:r>
        <w:tab/>
        <w:t>Status of implementation of recommendations</w:t>
      </w:r>
      <w:r>
        <w:br/>
        <w:t>of the White Paper on efficient and sustainable inland water transport in Europe</w:t>
      </w:r>
    </w:p>
    <w:p w:rsidR="007F31D3" w:rsidRDefault="007F31D3" w:rsidP="000B47E2">
      <w:pPr>
        <w:pStyle w:val="H1G"/>
      </w:pPr>
      <w:r>
        <w:rPr>
          <w:lang w:val="en-US"/>
        </w:rPr>
        <w:tab/>
      </w:r>
      <w:r>
        <w:rPr>
          <w:lang w:val="en-US"/>
        </w:rPr>
        <w:tab/>
        <w:t xml:space="preserve">Note </w:t>
      </w:r>
      <w:r w:rsidRPr="0016690B">
        <w:rPr>
          <w:lang w:val="en-US"/>
        </w:rPr>
        <w:t xml:space="preserve">by the </w:t>
      </w:r>
      <w:r w:rsidRPr="000B47E2">
        <w:t>secretariat</w:t>
      </w:r>
      <w:bookmarkStart w:id="0" w:name="_GoBack"/>
      <w:bookmarkEnd w:id="0"/>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76446" w:rsidTr="00C76446">
        <w:trPr>
          <w:jc w:val="center"/>
        </w:trPr>
        <w:tc>
          <w:tcPr>
            <w:tcW w:w="9637" w:type="dxa"/>
            <w:shd w:val="clear" w:color="auto" w:fill="auto"/>
          </w:tcPr>
          <w:p w:rsidR="00C76446" w:rsidRPr="00C76446" w:rsidRDefault="00C76446" w:rsidP="00C76446">
            <w:pPr>
              <w:spacing w:before="240" w:after="120"/>
              <w:ind w:left="255"/>
              <w:rPr>
                <w:i/>
                <w:sz w:val="24"/>
              </w:rPr>
            </w:pPr>
            <w:r w:rsidRPr="00C76446">
              <w:rPr>
                <w:i/>
                <w:sz w:val="24"/>
              </w:rPr>
              <w:t>Summary</w:t>
            </w:r>
          </w:p>
        </w:tc>
      </w:tr>
      <w:tr w:rsidR="00C76446" w:rsidTr="00C76446">
        <w:trPr>
          <w:jc w:val="center"/>
        </w:trPr>
        <w:tc>
          <w:tcPr>
            <w:tcW w:w="9637" w:type="dxa"/>
            <w:shd w:val="clear" w:color="auto" w:fill="auto"/>
          </w:tcPr>
          <w:p w:rsidR="00166BBF" w:rsidRDefault="00327DF6" w:rsidP="00F42F92">
            <w:pPr>
              <w:pStyle w:val="SingleTxtG"/>
            </w:pPr>
            <w:r>
              <w:tab/>
            </w:r>
            <w:r w:rsidR="00101EFC">
              <w:t xml:space="preserve">In line with </w:t>
            </w:r>
            <w:r w:rsidR="00F42F92">
              <w:t xml:space="preserve">its </w:t>
            </w:r>
            <w:r w:rsidR="00101EFC">
              <w:t>request</w:t>
            </w:r>
            <w:r w:rsidR="00F42F92">
              <w:t xml:space="preserve"> at </w:t>
            </w:r>
            <w:r w:rsidR="00F42F92" w:rsidRPr="00166BBF">
              <w:t>its seventy-seventh session</w:t>
            </w:r>
            <w:r w:rsidR="00101EFC">
              <w:t xml:space="preserve">, the Committee may wish to be informed about the status of implementation of the </w:t>
            </w:r>
            <w:r w:rsidR="00F42F92">
              <w:t>policy recommendations of the White Paper on Efficient Inland Water Transport in Europe</w:t>
            </w:r>
            <w:r w:rsidR="00101EFC">
              <w:t>.</w:t>
            </w:r>
          </w:p>
        </w:tc>
      </w:tr>
      <w:tr w:rsidR="00C76446" w:rsidTr="00C76446">
        <w:trPr>
          <w:jc w:val="center"/>
        </w:trPr>
        <w:tc>
          <w:tcPr>
            <w:tcW w:w="9637" w:type="dxa"/>
            <w:shd w:val="clear" w:color="auto" w:fill="auto"/>
          </w:tcPr>
          <w:p w:rsidR="00101EFC" w:rsidRDefault="00327DF6" w:rsidP="00F42F92">
            <w:pPr>
              <w:pStyle w:val="SingleTxtG"/>
            </w:pPr>
            <w:r>
              <w:tab/>
            </w:r>
            <w:r w:rsidR="00101EFC">
              <w:t xml:space="preserve">The Committee may also wish to note that in close cooperation with member States, River Commissions and other stakeholders, </w:t>
            </w:r>
            <w:r w:rsidR="00F42F92" w:rsidRPr="00166BBF">
              <w:t>the Working Party on Inland Water Transport</w:t>
            </w:r>
            <w:r w:rsidR="00F42F92">
              <w:t xml:space="preserve"> (SC.3) </w:t>
            </w:r>
            <w:r w:rsidR="00101EFC">
              <w:t>began the</w:t>
            </w:r>
            <w:r w:rsidR="00101EFC" w:rsidRPr="008C6E75">
              <w:t xml:space="preserve"> preparation and organization of a high level international conference for all countries with an interest in inland navigation </w:t>
            </w:r>
            <w:r>
              <w:t>to be held in 2016–</w:t>
            </w:r>
            <w:r w:rsidR="00101EFC">
              <w:t xml:space="preserve">2017 </w:t>
            </w:r>
            <w:r w:rsidR="00101EFC" w:rsidRPr="008C6E75">
              <w:t xml:space="preserve">as requested by </w:t>
            </w:r>
            <w:r w:rsidR="00101EFC">
              <w:t>ITC</w:t>
            </w:r>
            <w:r w:rsidR="00101EFC" w:rsidRPr="008C6E75">
              <w:t xml:space="preserve"> (ECE/TRANS/236, para. 31).</w:t>
            </w:r>
            <w:r w:rsidR="00101EFC">
              <w:t xml:space="preserve"> The follow-up to the conference and the realization of </w:t>
            </w:r>
            <w:r w:rsidR="00101EFC" w:rsidRPr="001B0FF5">
              <w:t>post-2015 agenda tasks</w:t>
            </w:r>
            <w:r w:rsidR="00101EFC">
              <w:t xml:space="preserve"> will contribute to the further implementation of </w:t>
            </w:r>
            <w:r w:rsidR="00F42F92">
              <w:t>p</w:t>
            </w:r>
            <w:r w:rsidR="00101EFC">
              <w:t xml:space="preserve">olicy </w:t>
            </w:r>
            <w:r w:rsidR="00F42F92">
              <w:t>r</w:t>
            </w:r>
            <w:r w:rsidR="00101EFC">
              <w:t xml:space="preserve">ecommendations of the White Paper by SC.3 and </w:t>
            </w:r>
            <w:r w:rsidR="00F42F92" w:rsidRPr="00166BBF">
              <w:t>the Working Party on the Standardization of Technical and Safety Req</w:t>
            </w:r>
            <w:r w:rsidR="00F42F92">
              <w:t>uirements in Inland Navigation (SC.3/WP.3)</w:t>
            </w:r>
            <w:r w:rsidR="00101EFC">
              <w:t>.</w:t>
            </w:r>
          </w:p>
        </w:tc>
      </w:tr>
      <w:tr w:rsidR="00C76446" w:rsidTr="00C76446">
        <w:trPr>
          <w:jc w:val="center"/>
        </w:trPr>
        <w:tc>
          <w:tcPr>
            <w:tcW w:w="9637" w:type="dxa"/>
            <w:shd w:val="clear" w:color="auto" w:fill="auto"/>
          </w:tcPr>
          <w:p w:rsidR="00C76446" w:rsidRDefault="00C76446" w:rsidP="00C76446"/>
        </w:tc>
      </w:tr>
    </w:tbl>
    <w:p w:rsidR="007F31D3" w:rsidRPr="00712EC5" w:rsidRDefault="007F31D3" w:rsidP="000B47E2">
      <w:pPr>
        <w:pStyle w:val="HChG"/>
      </w:pPr>
      <w:r>
        <w:tab/>
      </w:r>
      <w:r w:rsidRPr="00712EC5">
        <w:t>I.</w:t>
      </w:r>
      <w:r w:rsidRPr="00712EC5">
        <w:tab/>
      </w:r>
      <w:r w:rsidRPr="000B47E2">
        <w:t>Mandate</w:t>
      </w:r>
    </w:p>
    <w:p w:rsidR="007F31D3" w:rsidRDefault="007F31D3" w:rsidP="007F31D3">
      <w:pPr>
        <w:pStyle w:val="SingleTxtG"/>
      </w:pPr>
      <w:r>
        <w:t>1.</w:t>
      </w:r>
      <w:r>
        <w:tab/>
        <w:t>This document is submitted in line with cluster 5: Inland Waterway Transport, paragraph 5.1 of the programme of work 2014–2015 (ECE/TRANS/2014/23) adopted by the Inland Transport Committee on 27 February 2014.</w:t>
      </w:r>
    </w:p>
    <w:p w:rsidR="001E2ED6" w:rsidRDefault="007F31D3" w:rsidP="001E2ED6">
      <w:pPr>
        <w:pStyle w:val="SingleTxtG"/>
      </w:pPr>
      <w:r>
        <w:lastRenderedPageBreak/>
        <w:t>2.</w:t>
      </w:r>
      <w:r>
        <w:tab/>
      </w:r>
      <w:r w:rsidR="001E2ED6">
        <w:t xml:space="preserve">The Inland Transport Committee </w:t>
      </w:r>
      <w:r w:rsidR="00654ECE">
        <w:t>(</w:t>
      </w:r>
      <w:r w:rsidR="003B4F34">
        <w:t xml:space="preserve">hereafter </w:t>
      </w:r>
      <w:r w:rsidR="009173A6">
        <w:t>ITC</w:t>
      </w:r>
      <w:r w:rsidR="00654ECE">
        <w:t>) at its seventy-</w:t>
      </w:r>
      <w:r w:rsidR="009173A6">
        <w:t xml:space="preserve">seventh </w:t>
      </w:r>
      <w:r w:rsidR="00654ECE">
        <w:t xml:space="preserve">session </w:t>
      </w:r>
      <w:r w:rsidR="001E2ED6" w:rsidRPr="00654ECE">
        <w:t>reminded</w:t>
      </w:r>
      <w:r w:rsidR="001E2ED6">
        <w:rPr>
          <w:b/>
        </w:rPr>
        <w:t xml:space="preserve"> </w:t>
      </w:r>
      <w:r w:rsidR="00B97A8F">
        <w:t xml:space="preserve">the Working Party </w:t>
      </w:r>
      <w:r w:rsidR="001E2ED6">
        <w:t>of its decisions regarding the recommendations in the White Paper on Efficient Inland Water Transport in Europe published in 2011 and</w:t>
      </w:r>
      <w:r w:rsidR="001E2ED6" w:rsidRPr="00654ECE">
        <w:t xml:space="preserve"> requested</w:t>
      </w:r>
      <w:r w:rsidR="001E2ED6">
        <w:t xml:space="preserve"> the Working Party on Inland Water Transport (</w:t>
      </w:r>
      <w:r w:rsidR="003B4F34">
        <w:t xml:space="preserve">hereafter </w:t>
      </w:r>
      <w:r w:rsidR="001E2ED6">
        <w:t>SC.3), the Working Party on the Standardization of Technical and Safety Requirements in Inland Navigation (</w:t>
      </w:r>
      <w:r w:rsidR="003B4F34">
        <w:t>hereafter SC.3/</w:t>
      </w:r>
      <w:r w:rsidR="001E2ED6">
        <w:t xml:space="preserve">WP.3) and the secretariat to report on the status of implementation of the White Paper recommendations </w:t>
      </w:r>
      <w:r w:rsidR="009173A6">
        <w:t xml:space="preserve">to </w:t>
      </w:r>
      <w:r w:rsidR="001E2ED6">
        <w:t>the</w:t>
      </w:r>
      <w:r w:rsidR="00D8767E">
        <w:t xml:space="preserve"> </w:t>
      </w:r>
      <w:r w:rsidR="00A8131B">
        <w:t>seventy-</w:t>
      </w:r>
      <w:r w:rsidR="009173A6">
        <w:t xml:space="preserve">eighth </w:t>
      </w:r>
      <w:r w:rsidR="00A8131B">
        <w:t>session</w:t>
      </w:r>
      <w:r w:rsidR="001E2ED6">
        <w:t xml:space="preserve"> of the Committee (ECE/TRANS/24</w:t>
      </w:r>
      <w:r w:rsidR="001E2ED6">
        <w:rPr>
          <w:lang w:val="en-US"/>
        </w:rPr>
        <w:t>8, para.</w:t>
      </w:r>
      <w:r w:rsidR="00A23D0E">
        <w:rPr>
          <w:lang w:val="en-US"/>
        </w:rPr>
        <w:t> </w:t>
      </w:r>
      <w:r w:rsidR="001E2ED6">
        <w:rPr>
          <w:lang w:val="en-US"/>
        </w:rPr>
        <w:t>92</w:t>
      </w:r>
      <w:r w:rsidR="001E2ED6">
        <w:t>).</w:t>
      </w:r>
    </w:p>
    <w:p w:rsidR="00D80B2C" w:rsidRDefault="00D80B2C" w:rsidP="00B83F28">
      <w:pPr>
        <w:pStyle w:val="SingleTxtG"/>
      </w:pPr>
      <w:r>
        <w:t>3</w:t>
      </w:r>
      <w:r w:rsidR="001F2267">
        <w:t>.</w:t>
      </w:r>
      <w:r w:rsidR="001F2267">
        <w:tab/>
        <w:t xml:space="preserve">SC.3 </w:t>
      </w:r>
      <w:r>
        <w:t xml:space="preserve">at its fifty-ninth session approved the report on the </w:t>
      </w:r>
      <w:r w:rsidR="00AD364D">
        <w:t xml:space="preserve">status of </w:t>
      </w:r>
      <w:r>
        <w:t xml:space="preserve">implementation of the </w:t>
      </w:r>
      <w:r w:rsidR="00AD364D">
        <w:t xml:space="preserve">White Paper </w:t>
      </w:r>
      <w:r>
        <w:t>P</w:t>
      </w:r>
      <w:r w:rsidR="00AD364D">
        <w:t>o</w:t>
      </w:r>
      <w:r>
        <w:t xml:space="preserve">licy </w:t>
      </w:r>
      <w:r w:rsidR="00AD364D">
        <w:t xml:space="preserve">Recommendations (ECE/TRANS/SC.3/201, para. 12) </w:t>
      </w:r>
      <w:r>
        <w:t xml:space="preserve">and asked the secretariat to transmit it to the seventy-eighth session of </w:t>
      </w:r>
      <w:r w:rsidR="00AD364D">
        <w:t>ITC.</w:t>
      </w:r>
    </w:p>
    <w:p w:rsidR="007F31D3" w:rsidRDefault="007F31D3" w:rsidP="007F31D3">
      <w:pPr>
        <w:pStyle w:val="HChG"/>
      </w:pPr>
      <w:r>
        <w:tab/>
        <w:t>I</w:t>
      </w:r>
      <w:r w:rsidRPr="00712EC5">
        <w:t>I.</w:t>
      </w:r>
      <w:r w:rsidRPr="00712EC5">
        <w:tab/>
      </w:r>
      <w:r w:rsidR="00D956CC">
        <w:t xml:space="preserve">Policy Recommendations of the White Paper </w:t>
      </w:r>
      <w:r w:rsidR="00D956CC" w:rsidRPr="00B83F28">
        <w:rPr>
          <w:lang w:val="en-US"/>
        </w:rPr>
        <w:t>on Efficient and Sustainable Inland Water Transport in Europe</w:t>
      </w:r>
    </w:p>
    <w:p w:rsidR="007A7BFC" w:rsidRDefault="00AD364D" w:rsidP="00C17B4C">
      <w:pPr>
        <w:pStyle w:val="SingleTxtG"/>
      </w:pPr>
      <w:r>
        <w:t>4</w:t>
      </w:r>
      <w:r w:rsidR="00D956CC">
        <w:t>.</w:t>
      </w:r>
      <w:r w:rsidR="00D956CC">
        <w:tab/>
      </w:r>
      <w:r w:rsidR="007A7BFC" w:rsidRPr="006D5F5A">
        <w:t xml:space="preserve">The White Paper on Efficient and Sustainable Inland Water Transport in Europe, which contains strategic policy recommendations for the development of inland water transport at the pan-European level was finalized in 2010, </w:t>
      </w:r>
      <w:r w:rsidR="009D081E">
        <w:t xml:space="preserve">was </w:t>
      </w:r>
      <w:r w:rsidR="007A7BFC" w:rsidRPr="006D5F5A">
        <w:t xml:space="preserve">endorsed by </w:t>
      </w:r>
      <w:r w:rsidR="009173A6">
        <w:t>ITC</w:t>
      </w:r>
      <w:r w:rsidR="007A7BFC">
        <w:t xml:space="preserve"> in March 2011</w:t>
      </w:r>
      <w:r w:rsidR="007A7BFC" w:rsidRPr="006D5F5A">
        <w:t xml:space="preserve"> </w:t>
      </w:r>
      <w:r w:rsidR="007A7BFC">
        <w:t>and</w:t>
      </w:r>
      <w:r w:rsidR="007A7BFC" w:rsidRPr="006D5F5A">
        <w:t xml:space="preserve"> </w:t>
      </w:r>
      <w:r w:rsidR="009173A6">
        <w:t xml:space="preserve">was </w:t>
      </w:r>
      <w:r w:rsidR="007A7BFC" w:rsidRPr="006D5F5A">
        <w:t>issued in July 2011.</w:t>
      </w:r>
    </w:p>
    <w:p w:rsidR="00D956CC" w:rsidRDefault="00AD364D" w:rsidP="00C17B4C">
      <w:pPr>
        <w:pStyle w:val="SingleTxtG"/>
      </w:pPr>
      <w:r>
        <w:t>5</w:t>
      </w:r>
      <w:r w:rsidR="007A7BFC">
        <w:t>.</w:t>
      </w:r>
      <w:r w:rsidR="007A7BFC">
        <w:tab/>
      </w:r>
      <w:r w:rsidR="00D956CC">
        <w:t xml:space="preserve">On the basis of the review on IWT </w:t>
      </w:r>
      <w:r w:rsidR="00261F2D">
        <w:t xml:space="preserve">for the period </w:t>
      </w:r>
      <w:r w:rsidR="00D956CC">
        <w:t xml:space="preserve">1996 – 2011 </w:t>
      </w:r>
      <w:r w:rsidR="00261F2D">
        <w:t xml:space="preserve">seven priority areas were identified in </w:t>
      </w:r>
      <w:r w:rsidR="00D956CC">
        <w:t xml:space="preserve">the White Paper to make IWT in the </w:t>
      </w:r>
      <w:r w:rsidR="009173A6">
        <w:t>UN</w:t>
      </w:r>
      <w:r w:rsidR="00D956CC">
        <w:t xml:space="preserve">ECE region more efficient and sustainable </w:t>
      </w:r>
      <w:r w:rsidR="003B4F34">
        <w:t xml:space="preserve">and </w:t>
      </w:r>
      <w:r w:rsidR="00D956CC">
        <w:t xml:space="preserve">therefore </w:t>
      </w:r>
      <w:r w:rsidR="003B4F34">
        <w:t xml:space="preserve">policy recommendations </w:t>
      </w:r>
      <w:r w:rsidR="00D956CC">
        <w:t xml:space="preserve">in these </w:t>
      </w:r>
      <w:r w:rsidR="009173A6">
        <w:t xml:space="preserve">seven </w:t>
      </w:r>
      <w:r w:rsidR="00D956CC">
        <w:t>priority areas</w:t>
      </w:r>
      <w:r w:rsidR="003B4F34">
        <w:t xml:space="preserve"> were proposed</w:t>
      </w:r>
      <w:r w:rsidR="00D956CC">
        <w:t>:</w:t>
      </w:r>
    </w:p>
    <w:p w:rsidR="00D956CC" w:rsidRDefault="00D956CC" w:rsidP="00D956CC">
      <w:pPr>
        <w:pStyle w:val="SingleTxtG"/>
        <w:ind w:firstLine="567"/>
      </w:pPr>
      <w:r>
        <w:t>(a)</w:t>
      </w:r>
      <w:r>
        <w:tab/>
        <w:t>Policy Recommendation No. 1: Make full use of pan-European mechanisms to coordinate the development of the E waterway network (promote the AGN, strengthen monitoring mechanisms and set up expert groups to further coordinate the development of the E waterway network);</w:t>
      </w:r>
    </w:p>
    <w:p w:rsidR="00D956CC" w:rsidRDefault="00D956CC" w:rsidP="00D956CC">
      <w:pPr>
        <w:pStyle w:val="SingleTxtG"/>
      </w:pPr>
      <w:r>
        <w:tab/>
        <w:t>(b)</w:t>
      </w:r>
      <w:r>
        <w:tab/>
        <w:t>Policy Recommendation No. 2: Coordinate and support measures to modernize the inland water fleet at the pan-European level (strengthen the work on pan-Europeans norms on technical requirements for inland water vessels; promote Europe-wide studies on the inland fleet, its modernization and efficiency and continue work on technical prescriptions for river-sea vessels);</w:t>
      </w:r>
    </w:p>
    <w:p w:rsidR="00D956CC" w:rsidRDefault="00D956CC" w:rsidP="00D956CC">
      <w:pPr>
        <w:pStyle w:val="SingleTxtG"/>
      </w:pPr>
      <w:r>
        <w:tab/>
        <w:t>(c)</w:t>
      </w:r>
      <w:r>
        <w:tab/>
        <w:t xml:space="preserve">Policy Recommendation No. 3: Promote the use of River Information Service (RIS) and other information communication technologies (ICT) (support a pan-European dialogue on the implementation and further development of RIS; support current efforts to set up an international hull data base, and encourage other uses of ICT to facilitate IWT </w:t>
      </w:r>
      <w:proofErr w:type="gramStart"/>
      <w:r>
        <w:t>operations</w:t>
      </w:r>
      <w:proofErr w:type="gramEnd"/>
      <w:r>
        <w:t>);</w:t>
      </w:r>
    </w:p>
    <w:p w:rsidR="00D956CC" w:rsidRDefault="00D956CC" w:rsidP="00D956CC">
      <w:pPr>
        <w:pStyle w:val="SingleTxtG"/>
      </w:pPr>
      <w:r>
        <w:tab/>
        <w:t>(d)</w:t>
      </w:r>
      <w:r>
        <w:tab/>
        <w:t>Policy Recommendation No. 4: Respond effectively to new market requirements (raise awareness of IWT advantages in comparison with and/or in conjunction with other modes of land transport; improve cooperation between IWT, rail and road operators; raise awareness of international agreements on intermodal transport operations; support initiatives to improve the role of IWT in secure intermodal transport chains; and address the issue of inland waterway infrastructure pricing);</w:t>
      </w:r>
    </w:p>
    <w:p w:rsidR="00D956CC" w:rsidRDefault="00D956CC" w:rsidP="00D956CC">
      <w:pPr>
        <w:pStyle w:val="SingleTxtG"/>
      </w:pPr>
      <w:r>
        <w:tab/>
        <w:t>(e)</w:t>
      </w:r>
      <w:r>
        <w:tab/>
        <w:t xml:space="preserve">Policy Recommendation No. 5: Address the labour market challenge at the pan-European level (support the ongoing work of the </w:t>
      </w:r>
      <w:r w:rsidR="00612614">
        <w:t>European Union (</w:t>
      </w:r>
      <w:r>
        <w:t>EU</w:t>
      </w:r>
      <w:r w:rsidR="00612614">
        <w:t>)</w:t>
      </w:r>
      <w:r>
        <w:t xml:space="preserve"> and River Commissions on addressing labour market challenges and strengthen</w:t>
      </w:r>
      <w:r w:rsidR="009173A6">
        <w:t>ing</w:t>
      </w:r>
      <w:r>
        <w:t xml:space="preserve"> the image of IWT</w:t>
      </w:r>
      <w:r w:rsidR="00612614">
        <w:t xml:space="preserve">; </w:t>
      </w:r>
      <w:r>
        <w:t xml:space="preserve">continue work on harmonizing requirements for issuing certificates for </w:t>
      </w:r>
      <w:proofErr w:type="spellStart"/>
      <w:r>
        <w:t>boatmasters</w:t>
      </w:r>
      <w:proofErr w:type="spellEnd"/>
      <w:r>
        <w:t xml:space="preserve"> and crew members and on manning requirements for inland vessels; monitor and support the process of opening up </w:t>
      </w:r>
      <w:r w:rsidR="009173A6">
        <w:t xml:space="preserve">the </w:t>
      </w:r>
      <w:r>
        <w:t>national inland waterways of some UNECE countries);</w:t>
      </w:r>
    </w:p>
    <w:p w:rsidR="00D956CC" w:rsidRDefault="00D956CC" w:rsidP="00D956CC">
      <w:pPr>
        <w:pStyle w:val="SingleTxtG"/>
      </w:pPr>
      <w:r>
        <w:lastRenderedPageBreak/>
        <w:tab/>
        <w:t>(f)</w:t>
      </w:r>
      <w:r>
        <w:tab/>
        <w:t>Policy Recommendation No. 6: Tackle environmental challenges and the carbon footprint (ensure active participation of UNECE member countries in the United Nations Development Account project on the development and implementation of a monitoring and assessment tool for CO</w:t>
      </w:r>
      <w:r w:rsidRPr="00612614">
        <w:rPr>
          <w:vertAlign w:val="subscript"/>
        </w:rPr>
        <w:t>2</w:t>
      </w:r>
      <w:r>
        <w:t xml:space="preserve"> emissions in inland transport to facilitate climate change mitigation; maintain a register of pertinent studies and events; support national and regional activities aimed at adapting IWT to the impact of climate change; and manage waste and reduce pollution of inland water vessels); and</w:t>
      </w:r>
    </w:p>
    <w:p w:rsidR="00D956CC" w:rsidRDefault="00D956CC" w:rsidP="00D956CC">
      <w:pPr>
        <w:pStyle w:val="SingleTxtG"/>
      </w:pPr>
      <w:r>
        <w:tab/>
        <w:t>(g)</w:t>
      </w:r>
      <w:r>
        <w:tab/>
        <w:t>Policy Recommendation No. 7: Reinforce the institutional and regulatory framework at pan-European level (identify areas for further coordination, cooperation, transparency and harmonization of rules and regulations for IWT at the pan-European level; promote transparent and standard pan-European rules for inland water navigation, support the establishment of a pan-European legal framework for private law aspects of inland navigation; and monitor and support reforms to improve institutional arrangements in inland navigation).</w:t>
      </w:r>
    </w:p>
    <w:p w:rsidR="00111701" w:rsidRDefault="00AD364D" w:rsidP="00D956CC">
      <w:pPr>
        <w:pStyle w:val="SingleTxtG"/>
      </w:pPr>
      <w:r>
        <w:t>6</w:t>
      </w:r>
      <w:r w:rsidR="00D956CC">
        <w:t>.</w:t>
      </w:r>
      <w:r w:rsidR="00D956CC">
        <w:tab/>
        <w:t>The Working Parties SC.3 and SC.3/WP.3 have</w:t>
      </w:r>
      <w:r w:rsidR="007A7BFC">
        <w:t xml:space="preserve"> been planning their activities, including work programmes and </w:t>
      </w:r>
      <w:r w:rsidR="00DD31BC">
        <w:t xml:space="preserve">work plans, </w:t>
      </w:r>
      <w:r w:rsidR="00D956CC">
        <w:t xml:space="preserve">on the basis of </w:t>
      </w:r>
      <w:r w:rsidR="005A0F1B">
        <w:t>these strategic recommendations</w:t>
      </w:r>
      <w:r w:rsidR="00111701">
        <w:t>.</w:t>
      </w:r>
    </w:p>
    <w:p w:rsidR="007E65D5" w:rsidRDefault="003B4F34" w:rsidP="00DA72BA">
      <w:pPr>
        <w:pStyle w:val="H1G"/>
      </w:pPr>
      <w:r>
        <w:tab/>
        <w:t>A.</w:t>
      </w:r>
      <w:r>
        <w:tab/>
        <w:t>Policy Recommendation No. 1</w:t>
      </w:r>
    </w:p>
    <w:p w:rsidR="00A82A63" w:rsidRDefault="00AD364D" w:rsidP="00A82A63">
      <w:pPr>
        <w:pStyle w:val="SingleTxtG"/>
      </w:pPr>
      <w:r>
        <w:t>7</w:t>
      </w:r>
      <w:r w:rsidR="005357AE">
        <w:t>.</w:t>
      </w:r>
      <w:r w:rsidR="005357AE">
        <w:tab/>
      </w:r>
      <w:r w:rsidR="00A82A63">
        <w:t>Under Police Recommendation No. 1</w:t>
      </w:r>
      <w:r w:rsidR="00386E3A">
        <w:t xml:space="preserve"> SC.3 </w:t>
      </w:r>
      <w:r w:rsidR="009D081E">
        <w:t xml:space="preserve">and SC.3/WP.3 </w:t>
      </w:r>
      <w:r w:rsidR="00386E3A">
        <w:t>ha</w:t>
      </w:r>
      <w:r w:rsidR="009D081E">
        <w:t>ve</w:t>
      </w:r>
      <w:r w:rsidR="00386E3A">
        <w:t xml:space="preserve"> performed </w:t>
      </w:r>
      <w:r w:rsidR="00A82A63">
        <w:t>the following activities:</w:t>
      </w:r>
    </w:p>
    <w:p w:rsidR="00A82A63" w:rsidRDefault="00A82A63" w:rsidP="0053151F">
      <w:pPr>
        <w:pStyle w:val="Bullet1G"/>
      </w:pPr>
      <w:r>
        <w:t>monitoring of the AGN Agreement, promotion of it and revision with due regard of the actions implemented by the member States;</w:t>
      </w:r>
    </w:p>
    <w:p w:rsidR="00A82A63" w:rsidRDefault="00A82A63" w:rsidP="005B6A5E">
      <w:pPr>
        <w:pStyle w:val="Bullet1G"/>
      </w:pPr>
      <w:r>
        <w:t>monitoring and revision of the Blue Book:</w:t>
      </w:r>
    </w:p>
    <w:p w:rsidR="00A82A63" w:rsidRDefault="00A82A63" w:rsidP="005B6A5E">
      <w:pPr>
        <w:pStyle w:val="Bullet1G"/>
      </w:pPr>
      <w:r>
        <w:t>development of the Blue Book database on the UNECE website;</w:t>
      </w:r>
    </w:p>
    <w:p w:rsidR="00A82A63" w:rsidRPr="005B6A5E" w:rsidRDefault="00A82A63" w:rsidP="005B6A5E">
      <w:pPr>
        <w:pStyle w:val="Bullet1G"/>
      </w:pPr>
      <w:proofErr w:type="gramStart"/>
      <w:r>
        <w:t>revision</w:t>
      </w:r>
      <w:proofErr w:type="gramEnd"/>
      <w:r>
        <w:t xml:space="preserve"> of Resolution No. 49, </w:t>
      </w:r>
      <w:r w:rsidR="00E641DF">
        <w:t>“</w:t>
      </w:r>
      <w:r w:rsidRPr="00111701">
        <w:t xml:space="preserve">Inventory of most important bottlenecks and missing links in </w:t>
      </w:r>
      <w:r w:rsidRPr="005B6A5E">
        <w:t>the E Waterway Network</w:t>
      </w:r>
      <w:r w:rsidR="00E641DF">
        <w:t>”</w:t>
      </w:r>
      <w:r w:rsidRPr="005B6A5E">
        <w:t>.</w:t>
      </w:r>
    </w:p>
    <w:p w:rsidR="00A82A63" w:rsidRPr="005B6A5E" w:rsidRDefault="00A82A63" w:rsidP="005B6A5E">
      <w:pPr>
        <w:pStyle w:val="SingleTxtG"/>
      </w:pPr>
      <w:r w:rsidRPr="005B6A5E">
        <w:t>The item on the European inland waterway network has been included into the agenda of SC.3 and SC.3/WP.3 sessions.</w:t>
      </w:r>
    </w:p>
    <w:p w:rsidR="00A82A63" w:rsidRPr="005B6A5E" w:rsidRDefault="00AD364D" w:rsidP="005B6A5E">
      <w:pPr>
        <w:pStyle w:val="SingleTxtG"/>
      </w:pPr>
      <w:r>
        <w:t>8</w:t>
      </w:r>
      <w:r w:rsidR="00A82A63" w:rsidRPr="005B6A5E">
        <w:t>.</w:t>
      </w:r>
      <w:r w:rsidR="00A82A63" w:rsidRPr="005B6A5E">
        <w:tab/>
      </w:r>
      <w:r w:rsidR="009173A6">
        <w:t>The s</w:t>
      </w:r>
      <w:r w:rsidR="00A82A63" w:rsidRPr="005B6A5E">
        <w:t xml:space="preserve">tatus of the AGN Agreement is shown </w:t>
      </w:r>
      <w:r w:rsidR="009173A6">
        <w:t>i</w:t>
      </w:r>
      <w:r w:rsidR="009173A6" w:rsidRPr="005B6A5E">
        <w:t xml:space="preserve">n </w:t>
      </w:r>
      <w:r w:rsidR="00A82A63" w:rsidRPr="005B6A5E">
        <w:t>Fig</w:t>
      </w:r>
      <w:r w:rsidR="0017481A">
        <w:t>ure</w:t>
      </w:r>
      <w:r w:rsidR="00A82A63" w:rsidRPr="005B6A5E">
        <w:t xml:space="preserve"> 1.</w:t>
      </w:r>
    </w:p>
    <w:p w:rsidR="00BC0F09" w:rsidRPr="005B6A5E" w:rsidRDefault="0053151F" w:rsidP="005B6A5E">
      <w:pPr>
        <w:pStyle w:val="SingleTxtG"/>
      </w:pPr>
      <w:r>
        <w:tab/>
      </w:r>
      <w:r w:rsidR="00BC0F09" w:rsidRPr="005B6A5E">
        <w:t>In 2011</w:t>
      </w:r>
      <w:r w:rsidR="00211C9D">
        <w:t>,</w:t>
      </w:r>
      <w:r w:rsidR="00BC0F09" w:rsidRPr="005B6A5E">
        <w:t xml:space="preserve"> there were 17 Contracting Parties to the AGN Agreement: Austria, Belarus, Bosnia and Herzegovina, Bulgaria, Croatia, Czech Republic, Hungary, Italy, Lithuania, Luxembourg, Netherlands, </w:t>
      </w:r>
      <w:r w:rsidR="00080DC1">
        <w:t xml:space="preserve">Republic of </w:t>
      </w:r>
      <w:r w:rsidR="00080DC1" w:rsidRPr="005B6A5E">
        <w:t xml:space="preserve">Moldova, </w:t>
      </w:r>
      <w:r w:rsidR="00BC0F09" w:rsidRPr="005B6A5E">
        <w:t xml:space="preserve">Romania, Russian Federation, Slovakia, Switzerland and Ukraine. </w:t>
      </w:r>
      <w:r w:rsidR="00B97A8F">
        <w:t xml:space="preserve">On </w:t>
      </w:r>
      <w:r w:rsidR="00BC0F09" w:rsidRPr="005B6A5E">
        <w:t>10 January 2014</w:t>
      </w:r>
      <w:r w:rsidR="00211C9D">
        <w:t>,</w:t>
      </w:r>
      <w:r w:rsidR="00BC0F09" w:rsidRPr="005B6A5E">
        <w:t xml:space="preserve"> Serbia acceded </w:t>
      </w:r>
      <w:r w:rsidR="00B97A8F">
        <w:t xml:space="preserve">to </w:t>
      </w:r>
      <w:r w:rsidR="00BC0F09" w:rsidRPr="005B6A5E">
        <w:t xml:space="preserve">the Agreement, and the number of Contracting Parties </w:t>
      </w:r>
      <w:r w:rsidR="00B97A8F">
        <w:t>increased to</w:t>
      </w:r>
      <w:r w:rsidR="00BC0F09" w:rsidRPr="005B6A5E">
        <w:t xml:space="preserve"> 18.</w:t>
      </w:r>
    </w:p>
    <w:p w:rsidR="00617494" w:rsidRDefault="00617494" w:rsidP="00617494">
      <w:pPr>
        <w:pStyle w:val="SingleTxtG"/>
        <w:keepLines/>
        <w:spacing w:after="0"/>
      </w:pPr>
      <w:r>
        <w:t>Figure 1</w:t>
      </w:r>
    </w:p>
    <w:p w:rsidR="00BC0F09" w:rsidRPr="00445DD8" w:rsidRDefault="00C43109" w:rsidP="00617494">
      <w:pPr>
        <w:pStyle w:val="SingleTxtG"/>
        <w:keepLines/>
      </w:pPr>
      <w:r w:rsidRPr="00AA0691">
        <w:rPr>
          <w:b/>
          <w:noProof/>
          <w:lang w:val="en-US"/>
        </w:rPr>
        <w:drawing>
          <wp:anchor distT="0" distB="0" distL="114300" distR="114300" simplePos="0" relativeHeight="251659264" behindDoc="0" locked="0" layoutInCell="1" allowOverlap="1" wp14:anchorId="067119B8" wp14:editId="3BF4668F">
            <wp:simplePos x="0" y="0"/>
            <wp:positionH relativeFrom="column">
              <wp:posOffset>745490</wp:posOffset>
            </wp:positionH>
            <wp:positionV relativeFrom="paragraph">
              <wp:posOffset>431800</wp:posOffset>
            </wp:positionV>
            <wp:extent cx="3714750" cy="2009775"/>
            <wp:effectExtent l="0" t="0" r="19050" b="9525"/>
            <wp:wrapTopAndBottom/>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17494" w:rsidRPr="00AA0691">
        <w:rPr>
          <w:b/>
        </w:rPr>
        <w:t>Status of the European Agreement on Main Inland Waterways of International Importance (AGN</w:t>
      </w:r>
      <w:r w:rsidR="00617494" w:rsidRPr="00445DD8">
        <w:t>)</w:t>
      </w:r>
    </w:p>
    <w:p w:rsidR="00A82A63" w:rsidRPr="005B6A5E" w:rsidRDefault="00AD364D" w:rsidP="00617494">
      <w:pPr>
        <w:pStyle w:val="SingleTxtG"/>
        <w:spacing w:before="240"/>
      </w:pPr>
      <w:r>
        <w:lastRenderedPageBreak/>
        <w:t>9</w:t>
      </w:r>
      <w:r w:rsidR="00A82A63" w:rsidRPr="005B6A5E">
        <w:t>.</w:t>
      </w:r>
      <w:r w:rsidR="00A82A63" w:rsidRPr="005B6A5E">
        <w:tab/>
        <w:t xml:space="preserve">The ongoing work on the revision of AGN </w:t>
      </w:r>
      <w:r w:rsidR="00E641DF">
        <w:t>jointly</w:t>
      </w:r>
      <w:r w:rsidR="00543D85">
        <w:t xml:space="preserve"> with member States and River Commissions </w:t>
      </w:r>
      <w:r w:rsidR="00A82A63" w:rsidRPr="005B6A5E">
        <w:t xml:space="preserve">resulted in </w:t>
      </w:r>
      <w:r w:rsidR="00B97A8F">
        <w:t xml:space="preserve">the </w:t>
      </w:r>
      <w:r w:rsidR="00A82A63" w:rsidRPr="005B6A5E">
        <w:t>adoption by SC.3 of the fourth package of amendments in 2012 (ECE/TRANS/SC.3/193/Add.1) which were ratified in 2014. The second revision of</w:t>
      </w:r>
      <w:r w:rsidR="00B97A8F">
        <w:t xml:space="preserve"> the</w:t>
      </w:r>
      <w:r w:rsidR="00A82A63" w:rsidRPr="005B6A5E">
        <w:t xml:space="preserve"> AGN was published in 2012 including the third package of amendments adopted in 2008, and the third revision was published in 2014.</w:t>
      </w:r>
    </w:p>
    <w:p w:rsidR="00A82A63" w:rsidRPr="005B6A5E" w:rsidRDefault="00A82A63" w:rsidP="005B6A5E">
      <w:pPr>
        <w:pStyle w:val="SingleTxtG"/>
      </w:pPr>
      <w:r w:rsidRPr="005B6A5E">
        <w:t>1</w:t>
      </w:r>
      <w:r w:rsidR="00AD364D">
        <w:t>0</w:t>
      </w:r>
      <w:r w:rsidRPr="005B6A5E">
        <w:t>.</w:t>
      </w:r>
      <w:r w:rsidRPr="005B6A5E">
        <w:tab/>
        <w:t>The second revised edition of the Inventory of Main Standards and Parameters of the Waterway Network (the Blue Book) was a</w:t>
      </w:r>
      <w:r w:rsidR="00B827B4">
        <w:t>pproved</w:t>
      </w:r>
      <w:r w:rsidRPr="005B6A5E">
        <w:t xml:space="preserve"> by SC.3 at its </w:t>
      </w:r>
      <w:r w:rsidR="00B827B4">
        <w:t xml:space="preserve">fifty-fifth session </w:t>
      </w:r>
      <w:r w:rsidRPr="005B6A5E">
        <w:t xml:space="preserve">and </w:t>
      </w:r>
      <w:r w:rsidR="00507A85" w:rsidRPr="005B6A5E">
        <w:t>released</w:t>
      </w:r>
      <w:r w:rsidRPr="005B6A5E">
        <w:t xml:space="preserve"> in 2012. Since then, updates to the Blue Book were adopted by SC.3:</w:t>
      </w:r>
    </w:p>
    <w:p w:rsidR="00A82A63" w:rsidRPr="005B6A5E" w:rsidRDefault="00A82A63" w:rsidP="00617494">
      <w:pPr>
        <w:pStyle w:val="Bullet1G"/>
      </w:pPr>
      <w:r w:rsidRPr="00DB65A9">
        <w:t xml:space="preserve">in 2013 </w:t>
      </w:r>
      <w:r>
        <w:t xml:space="preserve">at </w:t>
      </w:r>
      <w:r w:rsidRPr="005B6A5E">
        <w:t>the fifty-seventh session of SC.3 (ECE/TRANS/SC.3/195, para.</w:t>
      </w:r>
      <w:r w:rsidR="005F4C46">
        <w:t> </w:t>
      </w:r>
      <w:r w:rsidRPr="005B6A5E">
        <w:t>19) and published as ECE/TRANS/SC.3/144/Rev.2/Add.1;</w:t>
      </w:r>
    </w:p>
    <w:p w:rsidR="00A82A63" w:rsidRPr="005B6A5E" w:rsidRDefault="00A82A63" w:rsidP="005B6A5E">
      <w:pPr>
        <w:pStyle w:val="Bullet1G"/>
      </w:pPr>
      <w:proofErr w:type="gramStart"/>
      <w:r w:rsidRPr="005B6A5E">
        <w:t>in</w:t>
      </w:r>
      <w:proofErr w:type="gramEnd"/>
      <w:r w:rsidRPr="005B6A5E">
        <w:t xml:space="preserve"> 2014 at the fifty-eighth session of SC.3 (ECE/TRANS/SC.3/197, para. 19) and published in 2015 as ECE/TRANS/SC.3/144/Rev.2/Add.2.</w:t>
      </w:r>
    </w:p>
    <w:p w:rsidR="00A82A63" w:rsidRPr="005B6A5E" w:rsidRDefault="00F56675" w:rsidP="005B6A5E">
      <w:pPr>
        <w:pStyle w:val="SingleTxtG"/>
      </w:pPr>
      <w:r>
        <w:t>1</w:t>
      </w:r>
      <w:r w:rsidR="00AD364D">
        <w:t>1</w:t>
      </w:r>
      <w:r>
        <w:t>.</w:t>
      </w:r>
      <w:r>
        <w:tab/>
      </w:r>
      <w:r w:rsidR="00B97A8F">
        <w:t>The c</w:t>
      </w:r>
      <w:r w:rsidR="00A82A63" w:rsidRPr="005B6A5E">
        <w:t xml:space="preserve">urrent </w:t>
      </w:r>
      <w:r w:rsidR="00AD364D">
        <w:t>amendment</w:t>
      </w:r>
      <w:r w:rsidR="00A82A63" w:rsidRPr="005B6A5E">
        <w:t xml:space="preserve"> to the Blue Book was </w:t>
      </w:r>
      <w:r w:rsidR="00D80B2C">
        <w:t xml:space="preserve">adopted at </w:t>
      </w:r>
      <w:r w:rsidR="00A82A63" w:rsidRPr="005B6A5E">
        <w:t xml:space="preserve">the fifty-ninth session of SC.3 </w:t>
      </w:r>
      <w:r w:rsidR="00AB505E" w:rsidRPr="005B6A5E">
        <w:t>(ECE/TRANS/SC.3/2015/4)</w:t>
      </w:r>
      <w:r w:rsidR="00A82A63" w:rsidRPr="005B6A5E">
        <w:t>.</w:t>
      </w:r>
      <w:r>
        <w:t xml:space="preserve"> </w:t>
      </w:r>
      <w:r w:rsidR="00A82A63" w:rsidRPr="005B6A5E">
        <w:t>The next, third</w:t>
      </w:r>
      <w:r w:rsidR="00B97A8F">
        <w:t>,</w:t>
      </w:r>
      <w:r w:rsidR="00A82A63" w:rsidRPr="005B6A5E">
        <w:t xml:space="preserve"> revision of the Blue Book is planned </w:t>
      </w:r>
      <w:r w:rsidR="00B97A8F">
        <w:t>for</w:t>
      </w:r>
      <w:r w:rsidR="00A82A63" w:rsidRPr="005B6A5E">
        <w:t xml:space="preserve"> 2016.</w:t>
      </w:r>
    </w:p>
    <w:p w:rsidR="00A82A63" w:rsidRPr="005B6A5E" w:rsidRDefault="001C088D" w:rsidP="005B6A5E">
      <w:pPr>
        <w:pStyle w:val="SingleTxtG"/>
      </w:pPr>
      <w:r w:rsidRPr="005B6A5E">
        <w:t>1</w:t>
      </w:r>
      <w:r w:rsidR="00AD364D">
        <w:t>2</w:t>
      </w:r>
      <w:r w:rsidRPr="005B6A5E">
        <w:t>.</w:t>
      </w:r>
      <w:r w:rsidRPr="005B6A5E">
        <w:tab/>
        <w:t>A</w:t>
      </w:r>
      <w:r w:rsidR="00A82A63" w:rsidRPr="005B6A5E">
        <w:t xml:space="preserve"> UNECE web-based application con</w:t>
      </w:r>
      <w:r w:rsidRPr="005B6A5E">
        <w:t>taining data from the Blue Book</w:t>
      </w:r>
      <w:r w:rsidR="00A82A63" w:rsidRPr="005B6A5E">
        <w:t xml:space="preserve"> was launched </w:t>
      </w:r>
      <w:r w:rsidRPr="005B6A5E">
        <w:t>in 201</w:t>
      </w:r>
      <w:r w:rsidR="00507A85" w:rsidRPr="005B6A5E">
        <w:t xml:space="preserve">2. It </w:t>
      </w:r>
      <w:r w:rsidR="00B97A8F">
        <w:t>has been</w:t>
      </w:r>
      <w:r w:rsidR="00A82A63" w:rsidRPr="005B6A5E">
        <w:t xml:space="preserve"> updated on the basis of comments </w:t>
      </w:r>
      <w:r w:rsidR="00B97A8F">
        <w:t>received from</w:t>
      </w:r>
      <w:r w:rsidR="00A82A63" w:rsidRPr="005B6A5E">
        <w:t xml:space="preserve"> member States and is available at </w:t>
      </w:r>
      <w:hyperlink r:id="rId11" w:history="1">
        <w:r w:rsidR="00DA72BA" w:rsidRPr="00095A36">
          <w:rPr>
            <w:rStyle w:val="Hyperlink"/>
          </w:rPr>
          <w:t>www.unece.org/trans/main/sc3/bluebook_database.html</w:t>
        </w:r>
      </w:hyperlink>
      <w:r w:rsidR="00B97A8F">
        <w:rPr>
          <w:rStyle w:val="Hyperlink"/>
        </w:rPr>
        <w:t>,</w:t>
      </w:r>
      <w:r w:rsidR="00507A85" w:rsidRPr="005B6A5E">
        <w:rPr>
          <w:rStyle w:val="Hyperlink"/>
        </w:rPr>
        <w:t xml:space="preserve"> </w:t>
      </w:r>
      <w:r w:rsidR="00507A85" w:rsidRPr="005B6A5E">
        <w:t>free of charge</w:t>
      </w:r>
      <w:r w:rsidR="00B97A8F">
        <w:t>,</w:t>
      </w:r>
      <w:r w:rsidR="00507A85" w:rsidRPr="005B6A5E">
        <w:t xml:space="preserve"> in English, French and Russian</w:t>
      </w:r>
      <w:r w:rsidR="00A82A63" w:rsidRPr="005B6A5E">
        <w:t>. The Blue Book database provides navigational characteristics of E waterways, as set out in Table 1 of the Blue Book. Data include present and target values for individual E waterway sections to be achieved through modernization of existing waterways or construction of new inland water links.</w:t>
      </w:r>
    </w:p>
    <w:p w:rsidR="00507A85" w:rsidRDefault="00A82A63" w:rsidP="005B6A5E">
      <w:pPr>
        <w:pStyle w:val="SingleTxtG"/>
      </w:pPr>
      <w:r w:rsidRPr="005B6A5E">
        <w:t>1</w:t>
      </w:r>
      <w:r w:rsidR="00AD364D">
        <w:t>3</w:t>
      </w:r>
      <w:r w:rsidRPr="005B6A5E">
        <w:t>.</w:t>
      </w:r>
      <w:r w:rsidRPr="005B6A5E">
        <w:tab/>
        <w:t>Resolution No. 49</w:t>
      </w:r>
      <w:r w:rsidR="00E641DF" w:rsidRPr="00F25E32">
        <w:t xml:space="preserve">, </w:t>
      </w:r>
      <w:r w:rsidR="00E641DF">
        <w:t>“</w:t>
      </w:r>
      <w:r w:rsidR="00E641DF" w:rsidRPr="00111701">
        <w:t xml:space="preserve">Inventory of most important bottlenecks and missing links in </w:t>
      </w:r>
      <w:r w:rsidR="00E641DF" w:rsidRPr="005B6A5E">
        <w:t>the E Waterway Network</w:t>
      </w:r>
      <w:r w:rsidR="00E641DF">
        <w:t>”,</w:t>
      </w:r>
      <w:r w:rsidRPr="005B6A5E">
        <w:t xml:space="preserve"> </w:t>
      </w:r>
      <w:r w:rsidR="00507A85" w:rsidRPr="005B6A5E">
        <w:t>was revised and</w:t>
      </w:r>
      <w:r w:rsidRPr="005B6A5E">
        <w:t xml:space="preserve"> adopted by SC.3</w:t>
      </w:r>
      <w:r w:rsidR="00543D85">
        <w:t xml:space="preserve"> </w:t>
      </w:r>
      <w:r w:rsidRPr="005B6A5E">
        <w:t>at its fifty-sixth session in 201</w:t>
      </w:r>
      <w:r w:rsidR="00507A85" w:rsidRPr="005B6A5E">
        <w:t>2 as Resolution No.</w:t>
      </w:r>
      <w:r w:rsidR="00543D85">
        <w:t> </w:t>
      </w:r>
      <w:r w:rsidR="00507A85" w:rsidRPr="005B6A5E">
        <w:t xml:space="preserve">74. </w:t>
      </w:r>
      <w:r w:rsidR="00D80B2C">
        <w:t>Further</w:t>
      </w:r>
      <w:r w:rsidRPr="005B6A5E">
        <w:t xml:space="preserve"> amendments were approved by SC.3</w:t>
      </w:r>
      <w:r w:rsidR="00D80B2C">
        <w:t xml:space="preserve"> as pending</w:t>
      </w:r>
      <w:r w:rsidRPr="005B6A5E">
        <w:t xml:space="preserve"> in 2013</w:t>
      </w:r>
      <w:r w:rsidR="00D80B2C">
        <w:t>,</w:t>
      </w:r>
      <w:r>
        <w:t xml:space="preserve"> 2014</w:t>
      </w:r>
      <w:r w:rsidR="00D80B2C">
        <w:t xml:space="preserve"> and 2015.</w:t>
      </w:r>
    </w:p>
    <w:p w:rsidR="00507A85" w:rsidRPr="005C4130" w:rsidRDefault="00A82A63" w:rsidP="00D80B2C">
      <w:pPr>
        <w:pStyle w:val="SingleTxtG"/>
      </w:pPr>
      <w:r w:rsidRPr="005C4130">
        <w:t>1</w:t>
      </w:r>
      <w:r w:rsidR="00AD364D">
        <w:t>4</w:t>
      </w:r>
      <w:r w:rsidRPr="005C4130">
        <w:t>.</w:t>
      </w:r>
      <w:r w:rsidRPr="005C4130">
        <w:tab/>
      </w:r>
      <w:r w:rsidR="007533ED" w:rsidRPr="005C4130">
        <w:t xml:space="preserve">SC.3 and SC.3/WP.3 continue to monitor </w:t>
      </w:r>
      <w:r w:rsidR="005E203B">
        <w:t xml:space="preserve">the </w:t>
      </w:r>
      <w:r w:rsidR="00507A85" w:rsidRPr="005C4130">
        <w:t xml:space="preserve">progress </w:t>
      </w:r>
      <w:r w:rsidR="007533ED" w:rsidRPr="005C4130">
        <w:t>of</w:t>
      </w:r>
      <w:r w:rsidR="00507A85" w:rsidRPr="005C4130">
        <w:t xml:space="preserve"> infrastructure</w:t>
      </w:r>
      <w:r w:rsidRPr="005C4130">
        <w:t xml:space="preserve"> projects</w:t>
      </w:r>
      <w:r w:rsidR="00D80B2C">
        <w:t xml:space="preserve">. At the present time </w:t>
      </w:r>
      <w:r w:rsidR="00ED41A9">
        <w:t>major</w:t>
      </w:r>
      <w:r w:rsidR="00D80B2C">
        <w:t xml:space="preserve"> attention </w:t>
      </w:r>
      <w:r w:rsidR="00ED41A9">
        <w:t xml:space="preserve">is paid </w:t>
      </w:r>
      <w:r w:rsidR="00D80B2C">
        <w:t xml:space="preserve">to the project of </w:t>
      </w:r>
      <w:r w:rsidR="00D80B2C" w:rsidRPr="00612614">
        <w:t xml:space="preserve">development of the </w:t>
      </w:r>
      <w:r w:rsidR="00D80B2C" w:rsidRPr="005C4130">
        <w:t xml:space="preserve">Dnieper–Vistula Section of the E 40 Waterway </w:t>
      </w:r>
      <w:r w:rsidR="00ED41A9">
        <w:t>aimed at</w:t>
      </w:r>
      <w:r w:rsidR="00D80B2C" w:rsidRPr="00612614">
        <w:t xml:space="preserve"> restor</w:t>
      </w:r>
      <w:r w:rsidR="00ED41A9">
        <w:t>ation of</w:t>
      </w:r>
      <w:r w:rsidR="00D80B2C" w:rsidRPr="00612614">
        <w:t xml:space="preserve"> navigation along the rivers of Poland, Belarus and Ukraine</w:t>
      </w:r>
      <w:r w:rsidR="00D80B2C">
        <w:t>.</w:t>
      </w:r>
    </w:p>
    <w:p w:rsidR="00BC0F09" w:rsidRPr="00DA72BA" w:rsidRDefault="005C4130" w:rsidP="00DA72BA">
      <w:pPr>
        <w:pStyle w:val="H1G"/>
      </w:pPr>
      <w:r>
        <w:t xml:space="preserve"> </w:t>
      </w:r>
      <w:r w:rsidR="00BC0F09">
        <w:tab/>
        <w:t>B.</w:t>
      </w:r>
      <w:r w:rsidR="00BC0F09">
        <w:tab/>
        <w:t>Policy Recommendation No. 2</w:t>
      </w:r>
    </w:p>
    <w:p w:rsidR="004836F8" w:rsidRPr="007533ED" w:rsidRDefault="00AA54CE" w:rsidP="007533ED">
      <w:pPr>
        <w:pStyle w:val="SingleTxtG"/>
      </w:pPr>
      <w:r>
        <w:t>1</w:t>
      </w:r>
      <w:r w:rsidR="00AD364D">
        <w:t>5</w:t>
      </w:r>
      <w:r>
        <w:t>.</w:t>
      </w:r>
      <w:r>
        <w:tab/>
      </w:r>
      <w:r w:rsidR="00BC0F09" w:rsidRPr="007533ED">
        <w:t xml:space="preserve">Coordination and support measures to modernize the inland water fleet at the pan-European level (Policy Recommendation No. 2) consisted </w:t>
      </w:r>
      <w:r w:rsidR="00B97A8F">
        <w:t>of</w:t>
      </w:r>
      <w:r w:rsidR="00BC0F09" w:rsidRPr="007533ED">
        <w:t xml:space="preserve"> regular updates to the </w:t>
      </w:r>
      <w:r w:rsidRPr="007533ED">
        <w:t xml:space="preserve">UNECE Recommendations on harmonized Europe-wide technical requirements for inland navigation vessels </w:t>
      </w:r>
      <w:r w:rsidR="00BC0F09" w:rsidRPr="007533ED">
        <w:t>(Resolution No. 61</w:t>
      </w:r>
      <w:r w:rsidR="00E641DF">
        <w:t>, revised</w:t>
      </w:r>
      <w:r w:rsidR="00BC0F09" w:rsidRPr="007533ED">
        <w:t xml:space="preserve">) with due regard to the existing requirements in EU, River Commissions and </w:t>
      </w:r>
      <w:r w:rsidR="00B97A8F">
        <w:t>standards</w:t>
      </w:r>
      <w:r w:rsidR="00BC0F09" w:rsidRPr="007533ED">
        <w:t xml:space="preserve"> of the non-EU member States.</w:t>
      </w:r>
    </w:p>
    <w:p w:rsidR="00ED41A9" w:rsidRPr="007533ED" w:rsidRDefault="00ED41A9" w:rsidP="00ED41A9">
      <w:pPr>
        <w:pStyle w:val="SingleTxtG"/>
      </w:pPr>
      <w:r>
        <w:t>16</w:t>
      </w:r>
      <w:r w:rsidR="003B4F34">
        <w:t>.</w:t>
      </w:r>
      <w:r w:rsidR="003B4F34">
        <w:tab/>
      </w:r>
      <w:r w:rsidRPr="007533ED">
        <w:t>The first revision of Resolution No. 61 was adopted in 2010, at the fifty-fourth session of SC.3 and was published in 2011 as ECE/TRANS/SC.3/172/Rev.1.</w:t>
      </w:r>
      <w:r>
        <w:t xml:space="preserve"> Further </w:t>
      </w:r>
      <w:r w:rsidRPr="007533ED">
        <w:t>amendments and addenda to Resolution No. 61</w:t>
      </w:r>
      <w:r>
        <w:t xml:space="preserve"> were</w:t>
      </w:r>
      <w:r w:rsidR="00D94C84" w:rsidRPr="007533ED">
        <w:t xml:space="preserve"> approved </w:t>
      </w:r>
      <w:r w:rsidR="00543D85">
        <w:t xml:space="preserve">by SC.3 </w:t>
      </w:r>
      <w:r>
        <w:t xml:space="preserve">since 2011 on the basis of the outcome of </w:t>
      </w:r>
      <w:r w:rsidRPr="007533ED">
        <w:t xml:space="preserve">five meetings </w:t>
      </w:r>
      <w:r>
        <w:t xml:space="preserve">of </w:t>
      </w:r>
      <w:r w:rsidRPr="007533ED">
        <w:t xml:space="preserve">the Group of Volunteer experts on Resolution No. 61 </w:t>
      </w:r>
      <w:r>
        <w:t>(</w:t>
      </w:r>
      <w:r w:rsidRPr="007533ED">
        <w:t>6–9 September 2011, 23–25 October 2012, 4–6 June 2013, 26–28 February 2014 and 11-13 May 2015</w:t>
      </w:r>
      <w:r>
        <w:t>):</w:t>
      </w:r>
    </w:p>
    <w:p w:rsidR="003141B1" w:rsidRPr="007533ED" w:rsidRDefault="003141B1" w:rsidP="007533ED">
      <w:pPr>
        <w:pStyle w:val="Bullet1G"/>
      </w:pPr>
      <w:r w:rsidRPr="007533ED">
        <w:t xml:space="preserve">Amendment No.1, 2011 (ECE/TRANS/SC.3/172/Rev.1/Amend.1): </w:t>
      </w:r>
      <w:r w:rsidR="00823F04" w:rsidRPr="007533ED">
        <w:t>revision of terms and definitions used in the Resolution (Section 1-2)</w:t>
      </w:r>
      <w:r w:rsidRPr="007533ED">
        <w:t>; a</w:t>
      </w:r>
      <w:r w:rsidR="00823F04" w:rsidRPr="007533ED">
        <w:t xml:space="preserve"> new Chapter 20b on special provisions applicable to river-sea navigation vessels</w:t>
      </w:r>
      <w:r w:rsidRPr="007533ED">
        <w:t>; a</w:t>
      </w:r>
      <w:r w:rsidR="00823F04" w:rsidRPr="007533ED">
        <w:t>mendments to Chapters 1, 6, Appendix II</w:t>
      </w:r>
      <w:r w:rsidRPr="007533ED">
        <w:t>;</w:t>
      </w:r>
    </w:p>
    <w:p w:rsidR="00DA1F01" w:rsidRPr="007533ED" w:rsidRDefault="003141B1" w:rsidP="007533ED">
      <w:pPr>
        <w:pStyle w:val="Bullet1G"/>
      </w:pPr>
      <w:r w:rsidRPr="007533ED">
        <w:lastRenderedPageBreak/>
        <w:t>Amendment No. 2, 2012 (ECE/TRANS/SC.3/172/Rev.1/Amend.2): a</w:t>
      </w:r>
      <w:r w:rsidR="00F56675">
        <w:t xml:space="preserve"> new section</w:t>
      </w:r>
      <w:r w:rsidR="00F56675">
        <w:br/>
      </w:r>
      <w:r w:rsidR="00823F04" w:rsidRPr="007533ED">
        <w:t>7-3A, “Requirements concerning on</w:t>
      </w:r>
      <w:r w:rsidR="00F56675">
        <w:t>-</w:t>
      </w:r>
      <w:r w:rsidR="00823F04" w:rsidRPr="007533ED">
        <w:t>board computers” to Chapter 7, “Wheelhouse”</w:t>
      </w:r>
      <w:r w:rsidRPr="007533ED">
        <w:t>; a</w:t>
      </w:r>
      <w:r w:rsidR="00823F04" w:rsidRPr="007533ED">
        <w:t xml:space="preserve"> new Chapter 17, “Specific requirements applicable to floating equipment”</w:t>
      </w:r>
      <w:r w:rsidR="00DA1F01" w:rsidRPr="007533ED">
        <w:t>; a</w:t>
      </w:r>
      <w:r w:rsidR="00823F04" w:rsidRPr="007533ED">
        <w:t xml:space="preserve"> new Chapter 18, “Specific requirements applicable to worksite craft”</w:t>
      </w:r>
      <w:r w:rsidR="00DA1F01" w:rsidRPr="007533ED">
        <w:t>; a</w:t>
      </w:r>
      <w:r w:rsidR="00823F04" w:rsidRPr="007533ED">
        <w:t xml:space="preserve"> new section 20B-8, “Specific requirements applicable to the vessels forming the pushed river-sea navigation convoys”</w:t>
      </w:r>
      <w:r w:rsidR="00DA1F01" w:rsidRPr="007533ED">
        <w:t>;</w:t>
      </w:r>
    </w:p>
    <w:p w:rsidR="0091535B" w:rsidRPr="007533ED" w:rsidRDefault="00DA1F01" w:rsidP="007533ED">
      <w:pPr>
        <w:pStyle w:val="Bullet1G"/>
      </w:pPr>
      <w:r w:rsidRPr="007533ED">
        <w:t xml:space="preserve">A new set of amendments approved by SC.3 in 2014 (ECE/TRANS/SC.3/WP.3/2014/6 – </w:t>
      </w:r>
      <w:r w:rsidRPr="000139EF">
        <w:t>ECE/TRANS/SC.3/WP.3/2014/8): revision of Chapter 4</w:t>
      </w:r>
      <w:r w:rsidR="0091535B" w:rsidRPr="000139EF">
        <w:t>, “Safety clearance, freeboard and draught marks”</w:t>
      </w:r>
      <w:r w:rsidRPr="000139EF">
        <w:t xml:space="preserve">; </w:t>
      </w:r>
      <w:r w:rsidR="00CB575A" w:rsidRPr="000139EF">
        <w:t>a new Chapter 15</w:t>
      </w:r>
      <w:r w:rsidR="00F56675">
        <w:t>A</w:t>
      </w:r>
      <w:r w:rsidR="00CB575A" w:rsidRPr="000139EF">
        <w:t xml:space="preserve"> “Specific requirements for passenger sailing vessels”; </w:t>
      </w:r>
      <w:r w:rsidR="000139EF" w:rsidRPr="000139EF">
        <w:t>a new Chapter 22A, "Specific requirements applicable to craft longer than 110 m”</w:t>
      </w:r>
      <w:r w:rsidR="000139EF">
        <w:t xml:space="preserve"> and </w:t>
      </w:r>
      <w:r w:rsidR="00CB575A" w:rsidRPr="000139EF">
        <w:t>a</w:t>
      </w:r>
      <w:r w:rsidRPr="000139EF">
        <w:t xml:space="preserve">mendments to </w:t>
      </w:r>
      <w:r w:rsidR="00CB575A" w:rsidRPr="000139EF">
        <w:t>s</w:t>
      </w:r>
      <w:r w:rsidRPr="000139EF">
        <w:t>ection</w:t>
      </w:r>
      <w:r w:rsidR="00CB575A" w:rsidRPr="000139EF">
        <w:t>s</w:t>
      </w:r>
      <w:r w:rsidR="00F56675">
        <w:br/>
      </w:r>
      <w:r w:rsidRPr="000139EF">
        <w:t>2–7.3</w:t>
      </w:r>
      <w:r w:rsidR="00CB575A" w:rsidRPr="000139EF">
        <w:t xml:space="preserve">, </w:t>
      </w:r>
      <w:r w:rsidR="0091535B" w:rsidRPr="000139EF">
        <w:t xml:space="preserve">10–1.4, 11–4, </w:t>
      </w:r>
      <w:r w:rsidR="000139EF">
        <w:t>and Annex 3</w:t>
      </w:r>
      <w:r w:rsidR="00CB575A" w:rsidRPr="007533ED">
        <w:t>.</w:t>
      </w:r>
    </w:p>
    <w:p w:rsidR="00CB575A" w:rsidRPr="007533ED" w:rsidRDefault="00ED41A9" w:rsidP="007533ED">
      <w:pPr>
        <w:pStyle w:val="SingleTxtG"/>
      </w:pPr>
      <w:r>
        <w:t>17</w:t>
      </w:r>
      <w:r w:rsidR="001F2267">
        <w:t>.</w:t>
      </w:r>
      <w:r w:rsidR="001F2267">
        <w:tab/>
      </w:r>
      <w:r w:rsidR="00CB575A" w:rsidRPr="00CB575A">
        <w:t xml:space="preserve">The next </w:t>
      </w:r>
      <w:r w:rsidR="00CB575A" w:rsidRPr="007533ED">
        <w:t>amendment proposal, including a pr</w:t>
      </w:r>
      <w:r w:rsidR="00F56675">
        <w:t>oposal for the new Section 8B-4</w:t>
      </w:r>
      <w:r w:rsidR="00CB575A" w:rsidRPr="007533ED">
        <w:t xml:space="preserve"> and draft Appendixes 8 and 9 (ECE/TRANS/SC.3/2015/8), a proposal for amending Chapter 23 and Appendix 2 and a proposal for a new Chapter 24 (ECE/TRANS/SC.3/2015/9), is presented at the fifty-ninth session of SC.3 for further consideration. </w:t>
      </w:r>
    </w:p>
    <w:p w:rsidR="00CB575A" w:rsidRPr="007533ED" w:rsidRDefault="00ED41A9" w:rsidP="007533ED">
      <w:pPr>
        <w:pStyle w:val="SingleTxtG"/>
      </w:pPr>
      <w:r>
        <w:t>18</w:t>
      </w:r>
      <w:r w:rsidR="00CB575A" w:rsidRPr="007533ED">
        <w:t>.</w:t>
      </w:r>
      <w:r w:rsidR="001F2267" w:rsidRPr="007533ED">
        <w:tab/>
      </w:r>
      <w:r w:rsidR="00CB575A" w:rsidRPr="007533ED">
        <w:t xml:space="preserve">Preparation of a consolidated version of Resolution No. 61 </w:t>
      </w:r>
      <w:r w:rsidR="00143B69">
        <w:t>is</w:t>
      </w:r>
      <w:r w:rsidR="00CB575A" w:rsidRPr="007533ED">
        <w:t xml:space="preserve"> planned for </w:t>
      </w:r>
      <w:r w:rsidR="00143B69">
        <w:t xml:space="preserve">the </w:t>
      </w:r>
      <w:r w:rsidR="006A415F">
        <w:t>2016–</w:t>
      </w:r>
      <w:r w:rsidR="00CB575A" w:rsidRPr="007533ED">
        <w:t>2017</w:t>
      </w:r>
      <w:r w:rsidR="00143B69">
        <w:t xml:space="preserve"> biennium</w:t>
      </w:r>
      <w:r w:rsidR="00CB575A" w:rsidRPr="007533ED">
        <w:t>.</w:t>
      </w:r>
    </w:p>
    <w:p w:rsidR="00CB575A" w:rsidRDefault="00CB575A" w:rsidP="00CB575A">
      <w:pPr>
        <w:pStyle w:val="H1G"/>
      </w:pPr>
      <w:r>
        <w:tab/>
        <w:t>C.</w:t>
      </w:r>
      <w:r>
        <w:tab/>
        <w:t>Policy Recommendation No. 3</w:t>
      </w:r>
    </w:p>
    <w:p w:rsidR="00EE5813" w:rsidRDefault="00ED41A9" w:rsidP="00612614">
      <w:pPr>
        <w:spacing w:after="120"/>
        <w:ind w:left="1134" w:right="1134"/>
        <w:jc w:val="both"/>
      </w:pPr>
      <w:r>
        <w:t>19</w:t>
      </w:r>
      <w:r w:rsidR="00DB168C">
        <w:t>.</w:t>
      </w:r>
      <w:r w:rsidR="00DB168C">
        <w:tab/>
      </w:r>
      <w:r w:rsidR="00441982">
        <w:t>SC.3 in cooperation with</w:t>
      </w:r>
      <w:r w:rsidR="00143B69">
        <w:t xml:space="preserve"> the</w:t>
      </w:r>
      <w:r w:rsidR="00441982">
        <w:t xml:space="preserve"> International Groups of Experts</w:t>
      </w:r>
      <w:r w:rsidR="005E203B">
        <w:t>, EU and</w:t>
      </w:r>
      <w:r w:rsidR="00543D85">
        <w:t xml:space="preserve"> River Commissions</w:t>
      </w:r>
      <w:r w:rsidR="00441982">
        <w:t xml:space="preserve"> maintains and updates the follow</w:t>
      </w:r>
      <w:r w:rsidR="00EE5813">
        <w:t>ing resolutions of RIS-related matters:</w:t>
      </w:r>
    </w:p>
    <w:p w:rsidR="00D06711" w:rsidRPr="00D06711" w:rsidRDefault="00EE5813" w:rsidP="00EE5813">
      <w:pPr>
        <w:pStyle w:val="Bullet1G"/>
      </w:pPr>
      <w:r w:rsidRPr="00D06711">
        <w:rPr>
          <w:lang w:val="en-US"/>
        </w:rPr>
        <w:t>Resolution No. 48</w:t>
      </w:r>
      <w:r>
        <w:rPr>
          <w:lang w:val="en-US"/>
        </w:rPr>
        <w:t xml:space="preserve">, </w:t>
      </w:r>
      <w:r w:rsidR="00E641DF">
        <w:rPr>
          <w:lang w:val="en-US"/>
        </w:rPr>
        <w:t>“</w:t>
      </w:r>
      <w:r w:rsidR="00D06711" w:rsidRPr="00D06711">
        <w:rPr>
          <w:lang w:val="en-US"/>
        </w:rPr>
        <w:t>Recommendation on electronic chart display and information system for inland navigation (Inland ECDIS)</w:t>
      </w:r>
      <w:r w:rsidR="00E641DF">
        <w:rPr>
          <w:lang w:val="en-US"/>
        </w:rPr>
        <w:t>”</w:t>
      </w:r>
      <w:r w:rsidR="00D06711" w:rsidRPr="00D06711">
        <w:rPr>
          <w:lang w:val="en-US"/>
        </w:rPr>
        <w:t>;</w:t>
      </w:r>
    </w:p>
    <w:p w:rsidR="00D06711" w:rsidRPr="00D06711" w:rsidRDefault="00EE5813" w:rsidP="00EE5813">
      <w:pPr>
        <w:pStyle w:val="Bullet1G"/>
      </w:pPr>
      <w:r w:rsidRPr="00D06711">
        <w:rPr>
          <w:lang w:val="en-US"/>
        </w:rPr>
        <w:t>Resolution No. 57</w:t>
      </w:r>
      <w:r>
        <w:rPr>
          <w:lang w:val="en-US"/>
        </w:rPr>
        <w:t xml:space="preserve">, </w:t>
      </w:r>
      <w:r w:rsidR="00E641DF">
        <w:rPr>
          <w:lang w:val="en-US"/>
        </w:rPr>
        <w:t>“</w:t>
      </w:r>
      <w:r w:rsidR="00D06711" w:rsidRPr="00D06711">
        <w:rPr>
          <w:lang w:val="en-US"/>
        </w:rPr>
        <w:t>Guidelines and Recommendations</w:t>
      </w:r>
      <w:r>
        <w:rPr>
          <w:lang w:val="en-US"/>
        </w:rPr>
        <w:t xml:space="preserve"> for River Information Services</w:t>
      </w:r>
      <w:r w:rsidR="00E641DF">
        <w:rPr>
          <w:lang w:val="en-US"/>
        </w:rPr>
        <w:t>”</w:t>
      </w:r>
      <w:r w:rsidR="00D06711" w:rsidRPr="00D06711">
        <w:rPr>
          <w:lang w:val="en-US"/>
        </w:rPr>
        <w:t>;</w:t>
      </w:r>
    </w:p>
    <w:p w:rsidR="00D06711" w:rsidRPr="00D06711" w:rsidRDefault="00EE5813" w:rsidP="00EE5813">
      <w:pPr>
        <w:pStyle w:val="Bullet1G"/>
      </w:pPr>
      <w:r w:rsidRPr="00D06711">
        <w:rPr>
          <w:lang w:val="en-US"/>
        </w:rPr>
        <w:t>Resolution No. 58</w:t>
      </w:r>
      <w:r>
        <w:rPr>
          <w:lang w:val="en-US"/>
        </w:rPr>
        <w:t xml:space="preserve">, </w:t>
      </w:r>
      <w:r w:rsidR="00E641DF">
        <w:rPr>
          <w:lang w:val="en-US"/>
        </w:rPr>
        <w:t>“</w:t>
      </w:r>
      <w:r w:rsidR="00D06711" w:rsidRPr="00D06711">
        <w:rPr>
          <w:lang w:val="en-US"/>
        </w:rPr>
        <w:t>Guidelines and Criteria for Vessel Traff</w:t>
      </w:r>
      <w:r>
        <w:rPr>
          <w:lang w:val="en-US"/>
        </w:rPr>
        <w:t>ic Services on Inland Waterways</w:t>
      </w:r>
      <w:r w:rsidR="00E641DF">
        <w:rPr>
          <w:lang w:val="en-US"/>
        </w:rPr>
        <w:t>”</w:t>
      </w:r>
      <w:r w:rsidR="00D06711" w:rsidRPr="00D06711">
        <w:rPr>
          <w:lang w:val="en-US"/>
        </w:rPr>
        <w:t>;</w:t>
      </w:r>
    </w:p>
    <w:p w:rsidR="00D06711" w:rsidRPr="00D06711" w:rsidRDefault="00EE5813" w:rsidP="00EE5813">
      <w:pPr>
        <w:pStyle w:val="Bullet1G"/>
      </w:pPr>
      <w:r w:rsidRPr="00D06711">
        <w:rPr>
          <w:lang w:val="en-US"/>
        </w:rPr>
        <w:t>Resolution No. 63</w:t>
      </w:r>
      <w:r>
        <w:rPr>
          <w:lang w:val="en-US"/>
        </w:rPr>
        <w:t xml:space="preserve">, </w:t>
      </w:r>
      <w:r w:rsidR="00E641DF">
        <w:rPr>
          <w:lang w:val="en-US"/>
        </w:rPr>
        <w:t>“</w:t>
      </w:r>
      <w:r>
        <w:rPr>
          <w:lang w:val="en-US"/>
        </w:rPr>
        <w:t>I</w:t>
      </w:r>
      <w:r w:rsidR="00D06711" w:rsidRPr="00D06711">
        <w:rPr>
          <w:lang w:val="en-US"/>
        </w:rPr>
        <w:t>nternational Standard for Tracking and Tra</w:t>
      </w:r>
      <w:r>
        <w:rPr>
          <w:lang w:val="en-US"/>
        </w:rPr>
        <w:t>cing on Inland Waterways (VTT)</w:t>
      </w:r>
      <w:r w:rsidR="00E641DF">
        <w:rPr>
          <w:lang w:val="en-US"/>
        </w:rPr>
        <w:t>”</w:t>
      </w:r>
      <w:r w:rsidR="00D06711" w:rsidRPr="00D06711">
        <w:rPr>
          <w:lang w:val="en-US"/>
        </w:rPr>
        <w:t>;</w:t>
      </w:r>
    </w:p>
    <w:p w:rsidR="00EE5813" w:rsidRDefault="00EE5813" w:rsidP="00EE5813">
      <w:pPr>
        <w:pStyle w:val="Bullet1G"/>
        <w:rPr>
          <w:lang w:val="en-US"/>
        </w:rPr>
      </w:pPr>
      <w:r w:rsidRPr="00D06711">
        <w:rPr>
          <w:lang w:val="en-US"/>
        </w:rPr>
        <w:t>Resolution No. 79</w:t>
      </w:r>
      <w:r>
        <w:rPr>
          <w:lang w:val="en-US"/>
        </w:rPr>
        <w:t xml:space="preserve">, </w:t>
      </w:r>
      <w:r w:rsidR="00E641DF">
        <w:rPr>
          <w:lang w:val="en-US"/>
        </w:rPr>
        <w:t>“</w:t>
      </w:r>
      <w:r w:rsidR="00D06711" w:rsidRPr="00D06711">
        <w:rPr>
          <w:lang w:val="en-US"/>
        </w:rPr>
        <w:t>International Standards For Electronic Ship Reporting In Inland Navigation</w:t>
      </w:r>
      <w:r w:rsidR="00E641DF">
        <w:rPr>
          <w:lang w:val="en-US"/>
        </w:rPr>
        <w:t>”</w:t>
      </w:r>
      <w:r>
        <w:rPr>
          <w:lang w:val="en-US"/>
        </w:rPr>
        <w:t>;</w:t>
      </w:r>
    </w:p>
    <w:p w:rsidR="00EE5813" w:rsidRDefault="00EE5813" w:rsidP="00EE5813">
      <w:pPr>
        <w:pStyle w:val="Bullet1G"/>
        <w:rPr>
          <w:lang w:val="en-US"/>
        </w:rPr>
      </w:pPr>
      <w:r w:rsidRPr="00D06711">
        <w:rPr>
          <w:lang w:val="en-US"/>
        </w:rPr>
        <w:t>Resolution No. 80</w:t>
      </w:r>
      <w:r>
        <w:rPr>
          <w:lang w:val="en-US"/>
        </w:rPr>
        <w:t xml:space="preserve">, </w:t>
      </w:r>
      <w:r w:rsidR="00E641DF">
        <w:rPr>
          <w:lang w:val="en-US"/>
        </w:rPr>
        <w:t>“</w:t>
      </w:r>
      <w:r w:rsidRPr="00D06711">
        <w:rPr>
          <w:lang w:val="en-US"/>
        </w:rPr>
        <w:t xml:space="preserve">International Standards For </w:t>
      </w:r>
      <w:r w:rsidR="00D06711" w:rsidRPr="00D06711">
        <w:rPr>
          <w:lang w:val="en-US"/>
        </w:rPr>
        <w:t>Notices To Skippers</w:t>
      </w:r>
      <w:r w:rsidR="00E641DF">
        <w:rPr>
          <w:lang w:val="en-US"/>
        </w:rPr>
        <w:t>”</w:t>
      </w:r>
      <w:r w:rsidR="005E203B">
        <w:rPr>
          <w:lang w:val="en-US"/>
        </w:rPr>
        <w:t>;</w:t>
      </w:r>
      <w:r>
        <w:rPr>
          <w:lang w:val="en-US"/>
        </w:rPr>
        <w:t xml:space="preserve"> </w:t>
      </w:r>
    </w:p>
    <w:p w:rsidR="00D06711" w:rsidRDefault="00EE5813" w:rsidP="00EE5813">
      <w:pPr>
        <w:pStyle w:val="Bullet1G"/>
        <w:rPr>
          <w:lang w:val="en-US"/>
        </w:rPr>
      </w:pPr>
      <w:r w:rsidRPr="00EE5813">
        <w:rPr>
          <w:lang w:val="en-US"/>
        </w:rPr>
        <w:t xml:space="preserve">Resolution No. 35, </w:t>
      </w:r>
      <w:r w:rsidR="00E641DF">
        <w:rPr>
          <w:lang w:val="en-US"/>
        </w:rPr>
        <w:t>“</w:t>
      </w:r>
      <w:r w:rsidRPr="00EE5813">
        <w:rPr>
          <w:lang w:val="en-US"/>
        </w:rPr>
        <w:t>Standardized UNECE Vocabulary for Radio-Connections in Inland Navigation</w:t>
      </w:r>
      <w:r w:rsidR="00E641DF">
        <w:rPr>
          <w:lang w:val="en-US"/>
        </w:rPr>
        <w:t>”</w:t>
      </w:r>
      <w:r w:rsidR="00D06711" w:rsidRPr="00D06711">
        <w:rPr>
          <w:lang w:val="en-US"/>
        </w:rPr>
        <w:t>.</w:t>
      </w:r>
    </w:p>
    <w:p w:rsidR="00A52EF0" w:rsidRPr="00A52EF0" w:rsidRDefault="00EE5813" w:rsidP="007533ED">
      <w:pPr>
        <w:pStyle w:val="SingleTxtG"/>
        <w:rPr>
          <w:lang w:val="en-US"/>
        </w:rPr>
      </w:pPr>
      <w:r>
        <w:rPr>
          <w:lang w:val="en-US"/>
        </w:rPr>
        <w:t>2</w:t>
      </w:r>
      <w:r w:rsidR="005D5442">
        <w:rPr>
          <w:lang w:val="en-US"/>
        </w:rPr>
        <w:t>0</w:t>
      </w:r>
      <w:r>
        <w:rPr>
          <w:lang w:val="en-US"/>
        </w:rPr>
        <w:t>.</w:t>
      </w:r>
      <w:r>
        <w:rPr>
          <w:lang w:val="en-US"/>
        </w:rPr>
        <w:tab/>
      </w:r>
      <w:r w:rsidRPr="00EE5813">
        <w:rPr>
          <w:lang w:val="en-US"/>
        </w:rPr>
        <w:t>For safety reasons and in the in</w:t>
      </w:r>
      <w:r w:rsidR="002F723D">
        <w:rPr>
          <w:lang w:val="en-US"/>
        </w:rPr>
        <w:t>terests of pan-European harmoniz</w:t>
      </w:r>
      <w:r w:rsidRPr="00EE5813">
        <w:rPr>
          <w:lang w:val="en-US"/>
        </w:rPr>
        <w:t>ation,</w:t>
      </w:r>
      <w:r w:rsidRPr="00A52EF0">
        <w:rPr>
          <w:lang w:val="en-US"/>
        </w:rPr>
        <w:t xml:space="preserve"> </w:t>
      </w:r>
      <w:r>
        <w:rPr>
          <w:lang w:val="en-US"/>
        </w:rPr>
        <w:t xml:space="preserve">UNECE carries out work in this field in cooperation with </w:t>
      </w:r>
      <w:r w:rsidR="00A52EF0">
        <w:rPr>
          <w:lang w:val="en-US"/>
        </w:rPr>
        <w:t xml:space="preserve">relevant international organizations, such as </w:t>
      </w:r>
      <w:r w:rsidR="00A52EF0" w:rsidRPr="00A52EF0">
        <w:rPr>
          <w:lang w:val="en-US"/>
        </w:rPr>
        <w:t xml:space="preserve">the International Navigation Association (PIANC), EU and the Central Commission for Navigation on the Rhine (CCNR). This fact is reflected in Directive 2005/44/EC. In particular, UNECE </w:t>
      </w:r>
      <w:r w:rsidR="00F56675">
        <w:rPr>
          <w:lang w:val="en-US"/>
        </w:rPr>
        <w:t>R</w:t>
      </w:r>
      <w:r w:rsidR="00A52EF0" w:rsidRPr="00A52EF0">
        <w:rPr>
          <w:lang w:val="en-US"/>
        </w:rPr>
        <w:t xml:space="preserve">esolutions No. </w:t>
      </w:r>
      <w:r w:rsidR="00A52EF0">
        <w:rPr>
          <w:lang w:val="en-US"/>
        </w:rPr>
        <w:t>30</w:t>
      </w:r>
      <w:r w:rsidR="00E641DF">
        <w:rPr>
          <w:lang w:val="en-US"/>
        </w:rPr>
        <w:t>, “</w:t>
      </w:r>
      <w:r w:rsidR="00A52EF0">
        <w:rPr>
          <w:lang w:val="en-US"/>
        </w:rPr>
        <w:t xml:space="preserve">Classification of </w:t>
      </w:r>
      <w:r w:rsidR="00A52EF0" w:rsidRPr="00A52EF0">
        <w:rPr>
          <w:lang w:val="en-US"/>
        </w:rPr>
        <w:t>European Inland Waterways</w:t>
      </w:r>
      <w:r w:rsidR="00E641DF">
        <w:rPr>
          <w:lang w:val="en-US"/>
        </w:rPr>
        <w:t>”</w:t>
      </w:r>
      <w:r w:rsidR="00A52EF0" w:rsidRPr="00A52EF0">
        <w:rPr>
          <w:lang w:val="en-US"/>
        </w:rPr>
        <w:t>, No.</w:t>
      </w:r>
      <w:r w:rsidR="00A52EF0">
        <w:rPr>
          <w:lang w:val="en-US"/>
        </w:rPr>
        <w:t> 35</w:t>
      </w:r>
      <w:r w:rsidR="00E641DF">
        <w:rPr>
          <w:lang w:val="en-US"/>
        </w:rPr>
        <w:t>, “</w:t>
      </w:r>
      <w:r w:rsidR="00E641DF" w:rsidRPr="00EE5813">
        <w:rPr>
          <w:lang w:val="en-US"/>
        </w:rPr>
        <w:t>Standardized UNECE Vocabulary for Radio-Connections in Inland Navigation</w:t>
      </w:r>
      <w:r w:rsidR="00E641DF">
        <w:rPr>
          <w:lang w:val="en-US"/>
        </w:rPr>
        <w:t>”</w:t>
      </w:r>
      <w:r w:rsidR="00A52EF0">
        <w:rPr>
          <w:lang w:val="en-US"/>
        </w:rPr>
        <w:t xml:space="preserve"> and No. </w:t>
      </w:r>
      <w:r w:rsidR="00A52EF0" w:rsidRPr="00A52EF0">
        <w:rPr>
          <w:lang w:val="en-US"/>
        </w:rPr>
        <w:t>58</w:t>
      </w:r>
      <w:r w:rsidR="00E641DF">
        <w:rPr>
          <w:lang w:val="en-US"/>
        </w:rPr>
        <w:t>, “</w:t>
      </w:r>
      <w:r w:rsidR="00E641DF" w:rsidRPr="00D06711">
        <w:rPr>
          <w:lang w:val="en-US"/>
        </w:rPr>
        <w:t>Guidelines and Criteria for Vessel Traff</w:t>
      </w:r>
      <w:r w:rsidR="00E641DF">
        <w:rPr>
          <w:lang w:val="en-US"/>
        </w:rPr>
        <w:t>ic Services on Inland Waterways”</w:t>
      </w:r>
      <w:r w:rsidR="00A52EF0" w:rsidRPr="00A52EF0">
        <w:rPr>
          <w:lang w:val="en-US"/>
        </w:rPr>
        <w:t xml:space="preserve"> are referred to in EU documents on RIS (Directive 2005/44/EC, Commission Regulation No.</w:t>
      </w:r>
      <w:r w:rsidR="00E641DF">
        <w:rPr>
          <w:lang w:val="en-US"/>
        </w:rPr>
        <w:t> </w:t>
      </w:r>
      <w:r w:rsidR="00A52EF0" w:rsidRPr="00A52EF0">
        <w:rPr>
          <w:lang w:val="en-US"/>
        </w:rPr>
        <w:t xml:space="preserve">415/2007 etc.), and revised </w:t>
      </w:r>
      <w:r w:rsidR="00E641DF">
        <w:rPr>
          <w:lang w:val="en-US"/>
        </w:rPr>
        <w:t>R</w:t>
      </w:r>
      <w:r w:rsidR="00E641DF" w:rsidRPr="00A52EF0">
        <w:rPr>
          <w:lang w:val="en-US"/>
        </w:rPr>
        <w:t xml:space="preserve">esolution </w:t>
      </w:r>
      <w:r w:rsidR="00A52EF0" w:rsidRPr="00A52EF0">
        <w:rPr>
          <w:lang w:val="en-US"/>
        </w:rPr>
        <w:t>No.</w:t>
      </w:r>
      <w:r w:rsidR="00E641DF">
        <w:rPr>
          <w:lang w:val="en-US"/>
        </w:rPr>
        <w:t> </w:t>
      </w:r>
      <w:r w:rsidR="00A52EF0" w:rsidRPr="00A52EF0">
        <w:rPr>
          <w:lang w:val="en-US"/>
        </w:rPr>
        <w:t>48</w:t>
      </w:r>
      <w:r w:rsidR="00E641DF">
        <w:rPr>
          <w:lang w:val="en-US"/>
        </w:rPr>
        <w:t>, “</w:t>
      </w:r>
      <w:r w:rsidR="00E641DF" w:rsidRPr="00D06711">
        <w:rPr>
          <w:lang w:val="en-US"/>
        </w:rPr>
        <w:t>Recommendation on electronic chart display and information system for inland navigation (Inland ECDIS)</w:t>
      </w:r>
      <w:r w:rsidR="00E641DF">
        <w:rPr>
          <w:lang w:val="en-US"/>
        </w:rPr>
        <w:t>”</w:t>
      </w:r>
      <w:r w:rsidR="00A52EF0" w:rsidRPr="00A52EF0">
        <w:rPr>
          <w:lang w:val="en-US"/>
        </w:rPr>
        <w:t xml:space="preserve"> is now the basis for EU Regulations No 909/2013 on Inland ECDIS.</w:t>
      </w:r>
    </w:p>
    <w:p w:rsidR="00723F02" w:rsidRDefault="00723F02" w:rsidP="007533ED">
      <w:pPr>
        <w:pStyle w:val="SingleTxtG"/>
      </w:pPr>
      <w:r>
        <w:lastRenderedPageBreak/>
        <w:t>2</w:t>
      </w:r>
      <w:r w:rsidR="005D5442">
        <w:t>1</w:t>
      </w:r>
      <w:r>
        <w:t>.</w:t>
      </w:r>
      <w:r>
        <w:tab/>
        <w:t>SC.3 adopted the following amendments to these resolutions during 2011 – 2015:</w:t>
      </w:r>
    </w:p>
    <w:p w:rsidR="00380F5C" w:rsidRDefault="00380F5C" w:rsidP="00380F5C">
      <w:pPr>
        <w:pStyle w:val="Bullet1G"/>
      </w:pPr>
      <w:r>
        <w:t>Revision of Resolution No. 48</w:t>
      </w:r>
      <w:r w:rsidR="00E641DF">
        <w:t xml:space="preserve">, </w:t>
      </w:r>
      <w:r w:rsidR="00E641DF">
        <w:rPr>
          <w:lang w:val="en-US"/>
        </w:rPr>
        <w:t>“</w:t>
      </w:r>
      <w:r w:rsidR="00E641DF" w:rsidRPr="00D06711">
        <w:rPr>
          <w:lang w:val="en-US"/>
        </w:rPr>
        <w:t>Recommendation on electronic chart display and information system for inland navigation (Inland ECDIS)</w:t>
      </w:r>
      <w:r w:rsidR="00E641DF">
        <w:rPr>
          <w:lang w:val="en-US"/>
        </w:rPr>
        <w:t>”</w:t>
      </w:r>
      <w:r>
        <w:t xml:space="preserve"> with technical appendices (2012 – second revision, 2015 – third revision);</w:t>
      </w:r>
    </w:p>
    <w:p w:rsidR="00380F5C" w:rsidRDefault="00380F5C" w:rsidP="00380F5C">
      <w:pPr>
        <w:pStyle w:val="Bullet1G"/>
      </w:pPr>
      <w:r>
        <w:t>Revision of Resolution No. 63</w:t>
      </w:r>
      <w:r w:rsidR="00E641DF">
        <w:t xml:space="preserve">, </w:t>
      </w:r>
      <w:r w:rsidR="00E641DF">
        <w:rPr>
          <w:lang w:val="en-US"/>
        </w:rPr>
        <w:t>“I</w:t>
      </w:r>
      <w:r w:rsidR="00E641DF" w:rsidRPr="00D06711">
        <w:rPr>
          <w:lang w:val="en-US"/>
        </w:rPr>
        <w:t>nternational Standard for Tracking and Tra</w:t>
      </w:r>
      <w:r w:rsidR="00E641DF">
        <w:rPr>
          <w:lang w:val="en-US"/>
        </w:rPr>
        <w:t>cing on Inland Waterways (VTT)”</w:t>
      </w:r>
      <w:r>
        <w:t xml:space="preserve"> (2014);</w:t>
      </w:r>
    </w:p>
    <w:p w:rsidR="00380F5C" w:rsidRDefault="00380F5C" w:rsidP="00380F5C">
      <w:pPr>
        <w:pStyle w:val="Bullet1G"/>
      </w:pPr>
      <w:r>
        <w:t xml:space="preserve">Revision of Resolution No. 57 (2014), </w:t>
      </w:r>
      <w:r w:rsidR="00E641DF">
        <w:rPr>
          <w:lang w:val="en-US"/>
        </w:rPr>
        <w:t>“</w:t>
      </w:r>
      <w:r w:rsidR="00E641DF" w:rsidRPr="00D06711">
        <w:rPr>
          <w:lang w:val="en-US"/>
        </w:rPr>
        <w:t>Guidelines and Recommendations</w:t>
      </w:r>
      <w:r w:rsidR="00E641DF">
        <w:rPr>
          <w:lang w:val="en-US"/>
        </w:rPr>
        <w:t xml:space="preserve"> for River Information Services”, </w:t>
      </w:r>
      <w:r>
        <w:t>Amendment No. 1 to Resolution No. 57, revised (ECE/TRANS/SC.3/2014/10 and ECE/TRANS/SC.3/2015/10) (2015);</w:t>
      </w:r>
    </w:p>
    <w:p w:rsidR="00380F5C" w:rsidRDefault="00380F5C" w:rsidP="00380F5C">
      <w:pPr>
        <w:pStyle w:val="Bullet1G"/>
      </w:pPr>
      <w:r>
        <w:t>New Resolutions No. 79</w:t>
      </w:r>
      <w:r w:rsidR="00E641DF">
        <w:t xml:space="preserve">, </w:t>
      </w:r>
      <w:r w:rsidR="00E641DF">
        <w:rPr>
          <w:lang w:val="en-US"/>
        </w:rPr>
        <w:t>“</w:t>
      </w:r>
      <w:r w:rsidR="00E641DF" w:rsidRPr="00D06711">
        <w:rPr>
          <w:lang w:val="en-US"/>
        </w:rPr>
        <w:t>International Standards For Electronic Ship Reporting In Inland Navigation</w:t>
      </w:r>
      <w:r w:rsidR="00E641DF">
        <w:rPr>
          <w:lang w:val="en-US"/>
        </w:rPr>
        <w:t>”</w:t>
      </w:r>
      <w:r>
        <w:t xml:space="preserve"> and No. 80</w:t>
      </w:r>
      <w:r w:rsidR="00E641DF">
        <w:t xml:space="preserve">, </w:t>
      </w:r>
      <w:r w:rsidR="00E641DF">
        <w:rPr>
          <w:lang w:val="en-US"/>
        </w:rPr>
        <w:t>“</w:t>
      </w:r>
      <w:r w:rsidR="00E641DF" w:rsidRPr="00D06711">
        <w:rPr>
          <w:lang w:val="en-US"/>
        </w:rPr>
        <w:t>International Standards For Notices To Skippers</w:t>
      </w:r>
      <w:r w:rsidR="00E641DF">
        <w:rPr>
          <w:lang w:val="en-US"/>
        </w:rPr>
        <w:t>”</w:t>
      </w:r>
      <w:r>
        <w:t xml:space="preserve"> on the basis of Resolution No. 60</w:t>
      </w:r>
      <w:r w:rsidR="00E641DF">
        <w:t xml:space="preserve">, “International Standards for Notices to Skippers and </w:t>
      </w:r>
      <w:r w:rsidR="00E641DF">
        <w:rPr>
          <w:bCs/>
        </w:rPr>
        <w:t>for</w:t>
      </w:r>
      <w:r w:rsidR="00E641DF">
        <w:t xml:space="preserve"> Electronic Ship Reporting in Inland Navigation”</w:t>
      </w:r>
      <w:r>
        <w:t xml:space="preserve"> (2014).</w:t>
      </w:r>
    </w:p>
    <w:p w:rsidR="00313961" w:rsidRDefault="00380F5C" w:rsidP="007533ED">
      <w:pPr>
        <w:pStyle w:val="SingleTxtG"/>
      </w:pPr>
      <w:r>
        <w:t>2</w:t>
      </w:r>
      <w:r w:rsidR="005D5442">
        <w:t>2</w:t>
      </w:r>
      <w:r>
        <w:t>.</w:t>
      </w:r>
      <w:r>
        <w:tab/>
        <w:t>In 2015</w:t>
      </w:r>
      <w:r w:rsidR="00143B69">
        <w:t>,</w:t>
      </w:r>
      <w:r>
        <w:t xml:space="preserve"> SC.3/WP.3 at its forty-seventh </w:t>
      </w:r>
      <w:proofErr w:type="gramStart"/>
      <w:r>
        <w:t>session</w:t>
      </w:r>
      <w:r w:rsidR="00143B69">
        <w:t>,</w:t>
      </w:r>
      <w:proofErr w:type="gramEnd"/>
      <w:r>
        <w:t xml:space="preserve"> supported </w:t>
      </w:r>
      <w:r w:rsidRPr="00BA5673">
        <w:t xml:space="preserve">further investigation of a technical solution for potential use Inland AIS Aid to Navigation </w:t>
      </w:r>
      <w:r>
        <w:t>(</w:t>
      </w:r>
      <w:proofErr w:type="spellStart"/>
      <w:r w:rsidRPr="00BA5673">
        <w:t>AtoN</w:t>
      </w:r>
      <w:proofErr w:type="spellEnd"/>
      <w:r>
        <w:t>)</w:t>
      </w:r>
      <w:r w:rsidRPr="00BA5673">
        <w:t xml:space="preserve"> </w:t>
      </w:r>
      <w:r>
        <w:t>o</w:t>
      </w:r>
      <w:r w:rsidRPr="00BA5673">
        <w:t>n inland waterways</w:t>
      </w:r>
      <w:r w:rsidRPr="00380F5C">
        <w:t xml:space="preserve"> </w:t>
      </w:r>
      <w:r w:rsidRPr="00BA5673">
        <w:t xml:space="preserve">and </w:t>
      </w:r>
      <w:r w:rsidR="00313961">
        <w:t xml:space="preserve">invited </w:t>
      </w:r>
      <w:r w:rsidR="00313961" w:rsidRPr="00BA5673">
        <w:t xml:space="preserve">UNECE member States and River Commissions </w:t>
      </w:r>
      <w:r w:rsidR="00313961">
        <w:t>to forward their opinions.</w:t>
      </w:r>
    </w:p>
    <w:p w:rsidR="00786128" w:rsidRDefault="00380F5C" w:rsidP="007533ED">
      <w:pPr>
        <w:pStyle w:val="SingleTxtG"/>
        <w:rPr>
          <w:bCs/>
          <w:lang w:val="en-US"/>
        </w:rPr>
      </w:pPr>
      <w:r>
        <w:t>2</w:t>
      </w:r>
      <w:r w:rsidR="005D5442">
        <w:t>3</w:t>
      </w:r>
      <w:r>
        <w:t>.</w:t>
      </w:r>
      <w:r>
        <w:tab/>
        <w:t>Cooperation between UNECE and EU on the European Hull Database is a permanent item of its agenda. In 2011</w:t>
      </w:r>
      <w:r w:rsidR="00143B69">
        <w:t>,</w:t>
      </w:r>
      <w:r>
        <w:t xml:space="preserve"> SC.3 at its fifty-fifth session approved a background note on future cooperation on this matter and recalled that the decision on UNECE undertaking such a new activity needed to be taken by </w:t>
      </w:r>
      <w:r w:rsidR="009173A6">
        <w:t>ITC</w:t>
      </w:r>
      <w:r>
        <w:t xml:space="preserve"> (ECE/TRANS/SC.3/191, para. 14). At its seventy-fourth session</w:t>
      </w:r>
      <w:r w:rsidR="00143B69">
        <w:t>,</w:t>
      </w:r>
      <w:r>
        <w:t xml:space="preserve"> </w:t>
      </w:r>
      <w:r w:rsidR="009173A6">
        <w:t>ITC</w:t>
      </w:r>
      <w:r>
        <w:t xml:space="preserve"> </w:t>
      </w:r>
      <w:r w:rsidRPr="00380F5C">
        <w:rPr>
          <w:bCs/>
          <w:lang w:val="en-US"/>
        </w:rPr>
        <w:t>requested</w:t>
      </w:r>
      <w:r>
        <w:rPr>
          <w:b/>
          <w:bCs/>
          <w:lang w:val="en-US"/>
        </w:rPr>
        <w:t xml:space="preserve"> </w:t>
      </w:r>
      <w:r>
        <w:rPr>
          <w:bCs/>
          <w:lang w:val="en-US"/>
        </w:rPr>
        <w:t xml:space="preserve">the secretariat to continue its consultations with all stakeholders, particularly the European Commission, aimed at further exploring ways </w:t>
      </w:r>
      <w:r w:rsidR="005E203B">
        <w:rPr>
          <w:bCs/>
          <w:lang w:val="en-US"/>
        </w:rPr>
        <w:t xml:space="preserve">in which </w:t>
      </w:r>
      <w:r>
        <w:rPr>
          <w:bCs/>
          <w:lang w:val="en-US"/>
        </w:rPr>
        <w:t>UNECE could assist in the establishment and operation of the European Hull Database that could include all European inland navigation vessels (ECE/TRANS/224, para. 53).</w:t>
      </w:r>
      <w:r w:rsidR="00786128">
        <w:rPr>
          <w:bCs/>
          <w:lang w:val="en-US"/>
        </w:rPr>
        <w:t xml:space="preserve"> </w:t>
      </w:r>
      <w:r>
        <w:t xml:space="preserve">At the </w:t>
      </w:r>
      <w:r w:rsidR="00786128">
        <w:t xml:space="preserve">fifty-sixth and the fifty-seventh sessions of SC.3 </w:t>
      </w:r>
      <w:r>
        <w:t xml:space="preserve">the EU delegation reported on </w:t>
      </w:r>
      <w:r w:rsidR="00786128">
        <w:rPr>
          <w:bCs/>
          <w:lang w:val="en-US"/>
        </w:rPr>
        <w:t xml:space="preserve">the latest developments in the pilot project of the database. Since then no new information on the project </w:t>
      </w:r>
      <w:r w:rsidR="00143B69">
        <w:rPr>
          <w:bCs/>
          <w:lang w:val="en-US"/>
        </w:rPr>
        <w:t>has been made</w:t>
      </w:r>
      <w:r w:rsidR="00786128">
        <w:rPr>
          <w:bCs/>
          <w:lang w:val="en-US"/>
        </w:rPr>
        <w:t xml:space="preserve"> available, however, consultations continu</w:t>
      </w:r>
      <w:r w:rsidR="00143B69">
        <w:rPr>
          <w:bCs/>
          <w:lang w:val="en-US"/>
        </w:rPr>
        <w:t>ed</w:t>
      </w:r>
      <w:r w:rsidR="00786128">
        <w:rPr>
          <w:bCs/>
          <w:lang w:val="en-US"/>
        </w:rPr>
        <w:t xml:space="preserve"> at the meeting between EU and the UNECE secretariat in July 2015.</w:t>
      </w:r>
    </w:p>
    <w:p w:rsidR="00B30644" w:rsidRDefault="00B30644" w:rsidP="00B30644">
      <w:pPr>
        <w:pStyle w:val="H1G"/>
      </w:pPr>
      <w:r>
        <w:tab/>
        <w:t>D.</w:t>
      </w:r>
      <w:r>
        <w:tab/>
        <w:t>Policy Recommendation No. 4</w:t>
      </w:r>
    </w:p>
    <w:p w:rsidR="00E7120B" w:rsidRDefault="00723992" w:rsidP="00723992">
      <w:pPr>
        <w:pStyle w:val="SingleTxtG"/>
      </w:pPr>
      <w:r>
        <w:t>2</w:t>
      </w:r>
      <w:r w:rsidR="005D5442">
        <w:t>4</w:t>
      </w:r>
      <w:r>
        <w:t>.</w:t>
      </w:r>
      <w:r>
        <w:tab/>
        <w:t xml:space="preserve">At the fifty-fifth session of SC.3 in 2011 </w:t>
      </w:r>
      <w:r w:rsidR="00E7120B">
        <w:t>i</w:t>
      </w:r>
      <w:r>
        <w:t xml:space="preserve">t was </w:t>
      </w:r>
      <w:r w:rsidR="005D5442">
        <w:t xml:space="preserve">decided to establish </w:t>
      </w:r>
      <w:r>
        <w:t>a joint work/consultations/common expert group with</w:t>
      </w:r>
      <w:r w:rsidR="00AE550A">
        <w:t xml:space="preserve"> the Working Party on Intermodal Transport and Logistics,</w:t>
      </w:r>
      <w:r>
        <w:t xml:space="preserve"> </w:t>
      </w:r>
      <w:r w:rsidR="00F56675">
        <w:t>WP.24</w:t>
      </w:r>
      <w:r w:rsidR="00E7120B">
        <w:t>. As a follow-up to the White Paper and in the context of the ongoing revision of the Blue Book, SC.3/WP.3 held a special discussion on strategic development of inland waterway infrastructure during its thirty-ninth session in 2011.</w:t>
      </w:r>
    </w:p>
    <w:p w:rsidR="00E7120B" w:rsidRDefault="005D5442" w:rsidP="00E7120B">
      <w:pPr>
        <w:pStyle w:val="SingleTxtG"/>
      </w:pPr>
      <w:r>
        <w:t>25</w:t>
      </w:r>
      <w:r w:rsidR="00E7120B">
        <w:t>.</w:t>
      </w:r>
      <w:r w:rsidR="00E7120B">
        <w:tab/>
        <w:t>In 2013, at its fifty-seventh session</w:t>
      </w:r>
      <w:r w:rsidR="00F56675">
        <w:t>, SC.3 reiterated its intention</w:t>
      </w:r>
      <w:r w:rsidR="00E7120B">
        <w:t xml:space="preserve"> </w:t>
      </w:r>
      <w:r w:rsidR="00143B69">
        <w:t>to cooperate</w:t>
      </w:r>
      <w:r w:rsidR="00E7120B">
        <w:t xml:space="preserve"> with other Working Parties, to support initiatives aimed at improving the role of inland water transport in secure intermodal chains (ECE/T</w:t>
      </w:r>
      <w:r w:rsidR="00C93987">
        <w:t>R</w:t>
      </w:r>
      <w:r w:rsidR="00E7120B">
        <w:t xml:space="preserve">ANS/SC.3/195, para. 15). SC.3/WP.3 at its forty-first session invited </w:t>
      </w:r>
      <w:r w:rsidR="00AE550A">
        <w:t>the Working Party on Inte</w:t>
      </w:r>
      <w:r w:rsidR="005E203B">
        <w:t>rmodal Transport and Logistics</w:t>
      </w:r>
      <w:r w:rsidR="00E7120B">
        <w:t xml:space="preserve"> to revise Annexes I and II of the AGTC Protocol to bring them in line with the revised Annexes to AGN (ECE/TRANS/SC.3/WP.3/82, para. 12). At its forty-seventh session SC.3/WP.3 considered the proposal prepared by the secretariat, and it will be submitted for consideration simultaneously to the fifty-ninth session of SC.3 and fifty-eighth session of </w:t>
      </w:r>
      <w:r w:rsidR="00AE550A">
        <w:t>the Working Party on Inte</w:t>
      </w:r>
      <w:r w:rsidR="005E203B">
        <w:t>rmodal Transport and Logistics</w:t>
      </w:r>
      <w:r w:rsidR="00E7120B">
        <w:t xml:space="preserve"> in November 2015</w:t>
      </w:r>
      <w:r w:rsidR="00CC0240">
        <w:t xml:space="preserve"> which may result in amendments to the AGTC Protocol.</w:t>
      </w:r>
    </w:p>
    <w:p w:rsidR="00CC0240" w:rsidRDefault="005D5442" w:rsidP="00723992">
      <w:pPr>
        <w:pStyle w:val="SingleTxtG"/>
      </w:pPr>
      <w:r>
        <w:lastRenderedPageBreak/>
        <w:t>26</w:t>
      </w:r>
      <w:r w:rsidR="00E7120B">
        <w:t>.</w:t>
      </w:r>
      <w:r w:rsidR="00E7120B">
        <w:tab/>
      </w:r>
      <w:r w:rsidR="00CC0240">
        <w:t>Promotion of d</w:t>
      </w:r>
      <w:r w:rsidR="00E7120B">
        <w:t>e</w:t>
      </w:r>
      <w:r w:rsidR="00CC0240">
        <w:t>velopment of coastal navigation by SC.3</w:t>
      </w:r>
      <w:r w:rsidR="00E7120B">
        <w:t xml:space="preserve"> includ</w:t>
      </w:r>
      <w:r w:rsidR="00CC0240">
        <w:t>es</w:t>
      </w:r>
      <w:r w:rsidR="00E7120B">
        <w:t xml:space="preserve"> </w:t>
      </w:r>
      <w:r w:rsidR="00CC0240">
        <w:t xml:space="preserve">new </w:t>
      </w:r>
      <w:r w:rsidR="00E7120B">
        <w:t xml:space="preserve">coastal routes </w:t>
      </w:r>
      <w:r w:rsidR="00CC0240">
        <w:t xml:space="preserve">and ports </w:t>
      </w:r>
      <w:r w:rsidR="00E7120B">
        <w:t>to be added to AGN and technical requirements for vessels capable of performing such voyages</w:t>
      </w:r>
      <w:r w:rsidR="00CC0240">
        <w:t xml:space="preserve">. In this field the following </w:t>
      </w:r>
      <w:r w:rsidR="003971F1">
        <w:t>were</w:t>
      </w:r>
      <w:r w:rsidR="00CC0240">
        <w:t xml:space="preserve"> achieved:</w:t>
      </w:r>
    </w:p>
    <w:p w:rsidR="00CC0240" w:rsidRPr="007533ED" w:rsidRDefault="00CC0240" w:rsidP="007533ED">
      <w:pPr>
        <w:pStyle w:val="Bullet1G"/>
      </w:pPr>
      <w:r w:rsidRPr="007533ED">
        <w:t>Requirements for river-sea vessels were included in Resolution No. 61</w:t>
      </w:r>
      <w:r w:rsidR="00E641DF">
        <w:t xml:space="preserve">, </w:t>
      </w:r>
      <w:r w:rsidR="00F25F1E">
        <w:t>“</w:t>
      </w:r>
      <w:r w:rsidR="00F25F1E" w:rsidRPr="007533ED">
        <w:t xml:space="preserve">Recommendations on </w:t>
      </w:r>
      <w:r w:rsidR="00F25F1E">
        <w:t>H</w:t>
      </w:r>
      <w:r w:rsidR="00F25F1E" w:rsidRPr="007533ED">
        <w:t xml:space="preserve">armonized Europe-wide </w:t>
      </w:r>
      <w:r w:rsidR="00F25F1E">
        <w:t>T</w:t>
      </w:r>
      <w:r w:rsidR="00F25F1E" w:rsidRPr="007533ED">
        <w:t xml:space="preserve">echnical </w:t>
      </w:r>
      <w:r w:rsidR="00F25F1E">
        <w:t>R</w:t>
      </w:r>
      <w:r w:rsidR="00F25F1E" w:rsidRPr="007533ED">
        <w:t xml:space="preserve">equirements for </w:t>
      </w:r>
      <w:r w:rsidR="00F25F1E">
        <w:t>I</w:t>
      </w:r>
      <w:r w:rsidR="00F25F1E" w:rsidRPr="007533ED">
        <w:t xml:space="preserve">nland </w:t>
      </w:r>
      <w:r w:rsidR="00F25F1E">
        <w:t>N</w:t>
      </w:r>
      <w:r w:rsidR="00F25F1E" w:rsidRPr="007533ED">
        <w:t xml:space="preserve">avigation </w:t>
      </w:r>
      <w:r w:rsidR="00F25F1E">
        <w:t>V</w:t>
      </w:r>
      <w:r w:rsidR="00F25F1E" w:rsidRPr="007533ED">
        <w:t>essels</w:t>
      </w:r>
      <w:r w:rsidR="00F25F1E">
        <w:t>”</w:t>
      </w:r>
      <w:r w:rsidR="00F25E32">
        <w:t xml:space="preserve"> </w:t>
      </w:r>
      <w:r w:rsidRPr="007533ED">
        <w:t xml:space="preserve">as a new Chapter 20B (see para. 20 </w:t>
      </w:r>
      <w:r w:rsidR="00FC10E9">
        <w:t>above</w:t>
      </w:r>
      <w:r w:rsidRPr="007533ED">
        <w:t>)</w:t>
      </w:r>
      <w:r w:rsidR="007533ED">
        <w:t xml:space="preserve"> including the classification of coastal waters by zones RS 2</w:t>
      </w:r>
      <w:r w:rsidR="003971F1">
        <w:t>.</w:t>
      </w:r>
      <w:r w:rsidR="007533ED">
        <w:t>0, 3</w:t>
      </w:r>
      <w:r w:rsidR="003971F1">
        <w:t>.</w:t>
      </w:r>
      <w:r w:rsidR="007533ED">
        <w:t>0, 3.5, 4</w:t>
      </w:r>
      <w:r w:rsidR="003971F1">
        <w:t>.</w:t>
      </w:r>
      <w:r w:rsidR="007533ED">
        <w:t>5 and 6.0.</w:t>
      </w:r>
    </w:p>
    <w:p w:rsidR="00E7120B" w:rsidRPr="007533ED" w:rsidRDefault="00CC0240" w:rsidP="007533ED">
      <w:pPr>
        <w:pStyle w:val="Bullet1G"/>
      </w:pPr>
      <w:r w:rsidRPr="007533ED">
        <w:t xml:space="preserve">The secretariat proposes </w:t>
      </w:r>
      <w:r w:rsidR="007533ED">
        <w:t>to hold</w:t>
      </w:r>
      <w:r w:rsidRPr="007533ED">
        <w:t xml:space="preserve"> consultations with </w:t>
      </w:r>
      <w:r w:rsidR="00AE550A">
        <w:t xml:space="preserve">the </w:t>
      </w:r>
      <w:r w:rsidR="00AE550A" w:rsidRPr="00F56675">
        <w:t>Working Party on Transport Trends and Economics</w:t>
      </w:r>
      <w:r w:rsidR="003971F1">
        <w:t xml:space="preserve"> </w:t>
      </w:r>
      <w:r w:rsidRPr="007533ED">
        <w:t xml:space="preserve">and </w:t>
      </w:r>
      <w:r w:rsidR="00AE550A">
        <w:t xml:space="preserve">the Working Party on Intermodal Transport and </w:t>
      </w:r>
      <w:r w:rsidR="003971F1">
        <w:t>Logistics</w:t>
      </w:r>
      <w:r w:rsidRPr="007533ED">
        <w:t xml:space="preserve"> in order to prepare a </w:t>
      </w:r>
      <w:r w:rsidR="007533ED">
        <w:t xml:space="preserve">detailed </w:t>
      </w:r>
      <w:r w:rsidRPr="007533ED">
        <w:t>proposal</w:t>
      </w:r>
      <w:r w:rsidR="00E7120B" w:rsidRPr="007533ED">
        <w:t xml:space="preserve"> of river-sea routes</w:t>
      </w:r>
      <w:r w:rsidRPr="007533ED">
        <w:t xml:space="preserve"> and ports</w:t>
      </w:r>
      <w:r w:rsidR="00E7120B" w:rsidRPr="007533ED">
        <w:t xml:space="preserve"> </w:t>
      </w:r>
      <w:r w:rsidRPr="007533ED">
        <w:t>to be included in AGN</w:t>
      </w:r>
      <w:r w:rsidR="00543D85">
        <w:t xml:space="preserve"> and collect proposals of member States, River Commissions, </w:t>
      </w:r>
      <w:r w:rsidR="00D85E60">
        <w:t>other stakeholders involved in coastal navigation</w:t>
      </w:r>
      <w:r w:rsidR="00E7120B" w:rsidRPr="007533ED">
        <w:t>.</w:t>
      </w:r>
    </w:p>
    <w:p w:rsidR="00217892" w:rsidRDefault="005D5442" w:rsidP="00217892">
      <w:pPr>
        <w:pStyle w:val="SingleTxtG"/>
        <w:rPr>
          <w:rStyle w:val="SingleTxtGChar"/>
        </w:rPr>
      </w:pPr>
      <w:r>
        <w:t>27</w:t>
      </w:r>
      <w:r w:rsidR="00F56675">
        <w:rPr>
          <w:rStyle w:val="SingleTxtGChar"/>
        </w:rPr>
        <w:t>.</w:t>
      </w:r>
      <w:r w:rsidR="00F56675">
        <w:rPr>
          <w:rStyle w:val="SingleTxtGChar"/>
        </w:rPr>
        <w:tab/>
      </w:r>
      <w:r w:rsidR="00217892" w:rsidRPr="00217892">
        <w:rPr>
          <w:rStyle w:val="SingleTxtGChar"/>
        </w:rPr>
        <w:t xml:space="preserve">Security on inland water </w:t>
      </w:r>
      <w:r w:rsidR="00217892" w:rsidRPr="00C06A93">
        <w:t xml:space="preserve">transport is included in the agenda of SC.3 on a permanent basis. </w:t>
      </w:r>
      <w:r w:rsidR="00143B69">
        <w:t>A p</w:t>
      </w:r>
      <w:r w:rsidR="00217892" w:rsidRPr="00C06A93">
        <w:t xml:space="preserve">roposal </w:t>
      </w:r>
      <w:r w:rsidR="00143B69">
        <w:t>for</w:t>
      </w:r>
      <w:r w:rsidR="00217892" w:rsidRPr="00C06A93">
        <w:t xml:space="preserve"> security provisions as a draft of Annex IV to AGN was discussed by SC.3 at its forty-ninth session and, later, reconsidered by SC.3/WP.3 at its forty-second session. SC.3/WP.3 came to the conclusion that the issue of security in European inland navigation was relevant, but expressed its concern with regard to implementation difficulties, should specific provisions be included in the AGN in the proposed form. Following the request of SC.3/WP.3, the secretariat prepared a generic text for possible inclusion in the body of the AGN.</w:t>
      </w:r>
      <w:r w:rsidR="002D0D6F">
        <w:t xml:space="preserve"> After discussion, SC.3 decided</w:t>
      </w:r>
      <w:r w:rsidR="002D0D6F" w:rsidRPr="00C67047">
        <w:t xml:space="preserve"> to postpone taking a decision on including security provisions in the AGN</w:t>
      </w:r>
      <w:r w:rsidR="00D85E60">
        <w:t xml:space="preserve"> until </w:t>
      </w:r>
      <w:r w:rsidR="002D0D6F" w:rsidRPr="006C1D13">
        <w:t xml:space="preserve">a proper risk assessment analysis </w:t>
      </w:r>
      <w:r w:rsidR="00D85E60">
        <w:t xml:space="preserve">demonstrates </w:t>
      </w:r>
      <w:r w:rsidR="002D0D6F" w:rsidRPr="006C1D13">
        <w:t xml:space="preserve">that the risks of security incidents </w:t>
      </w:r>
      <w:r w:rsidR="00D85E60">
        <w:t>are</w:t>
      </w:r>
      <w:r w:rsidR="00D85E60" w:rsidRPr="006C1D13">
        <w:t xml:space="preserve"> </w:t>
      </w:r>
      <w:r w:rsidR="002D0D6F" w:rsidRPr="006C1D13">
        <w:t>higher than currently perceived</w:t>
      </w:r>
      <w:r w:rsidR="002D0D6F">
        <w:t xml:space="preserve"> </w:t>
      </w:r>
      <w:r w:rsidR="00F56675">
        <w:rPr>
          <w:rStyle w:val="SingleTxtGChar"/>
        </w:rPr>
        <w:t>(ECE/TRANS/SC.3/</w:t>
      </w:r>
      <w:r w:rsidR="002D0D6F">
        <w:rPr>
          <w:rStyle w:val="SingleTxtGChar"/>
        </w:rPr>
        <w:t>2013/195, para. 13)</w:t>
      </w:r>
      <w:r w:rsidR="00217892" w:rsidRPr="00217892">
        <w:rPr>
          <w:rStyle w:val="SingleTxtGChar"/>
        </w:rPr>
        <w:t>.</w:t>
      </w:r>
    </w:p>
    <w:p w:rsidR="007A7291" w:rsidRDefault="007A7291" w:rsidP="007A7291">
      <w:pPr>
        <w:pStyle w:val="H1G"/>
      </w:pPr>
      <w:r>
        <w:tab/>
        <w:t>E.</w:t>
      </w:r>
      <w:r>
        <w:tab/>
        <w:t>Policy Recommendation No. 5</w:t>
      </w:r>
    </w:p>
    <w:p w:rsidR="007A7291" w:rsidRDefault="005D5442" w:rsidP="005D5442">
      <w:pPr>
        <w:pStyle w:val="SingleTxtG"/>
        <w:rPr>
          <w:lang w:eastAsia="en-GB"/>
        </w:rPr>
      </w:pPr>
      <w:r>
        <w:t>28</w:t>
      </w:r>
      <w:r w:rsidR="007A7291">
        <w:t>.</w:t>
      </w:r>
      <w:r w:rsidR="007A7291">
        <w:tab/>
        <w:t xml:space="preserve">Recognizing the need for addressing labour market challenges, continuing work on recognition of certificates of </w:t>
      </w:r>
      <w:proofErr w:type="spellStart"/>
      <w:r w:rsidR="007A7291">
        <w:t>boatmasters</w:t>
      </w:r>
      <w:proofErr w:type="spellEnd"/>
      <w:r w:rsidR="007A7291">
        <w:t xml:space="preserve"> and crew members </w:t>
      </w:r>
      <w:r w:rsidR="003971F1">
        <w:t xml:space="preserve">as well as harmonizing </w:t>
      </w:r>
      <w:r w:rsidR="007A7291">
        <w:t xml:space="preserve">educational and training standards at the pan-European level, </w:t>
      </w:r>
      <w:r w:rsidR="007C2DDE">
        <w:t>member States supported the idea of establishing an</w:t>
      </w:r>
      <w:r w:rsidR="007A7291" w:rsidRPr="00BA5673">
        <w:t xml:space="preserve"> International Expert Group on Mutual Recognition of </w:t>
      </w:r>
      <w:proofErr w:type="spellStart"/>
      <w:r w:rsidR="007A7291" w:rsidRPr="00BA5673">
        <w:t>Boatmasters</w:t>
      </w:r>
      <w:proofErr w:type="spellEnd"/>
      <w:r w:rsidR="007A7291" w:rsidRPr="00BA5673">
        <w:t>’ Certificates and Harmonization of Professional Requirements in Inland Navigation (IEG)</w:t>
      </w:r>
      <w:r w:rsidR="003971F1">
        <w:t>. This Group</w:t>
      </w:r>
      <w:r w:rsidR="007C2DDE">
        <w:t xml:space="preserve"> was set up by SC.3</w:t>
      </w:r>
      <w:r w:rsidR="007A7291">
        <w:t xml:space="preserve"> in 2014. </w:t>
      </w:r>
    </w:p>
    <w:p w:rsidR="00372050" w:rsidRPr="00C06A93" w:rsidRDefault="005D5442" w:rsidP="00C06A93">
      <w:pPr>
        <w:pStyle w:val="SingleTxtG"/>
      </w:pPr>
      <w:r>
        <w:rPr>
          <w:lang w:eastAsia="en-GB"/>
        </w:rPr>
        <w:t>29</w:t>
      </w:r>
      <w:r w:rsidR="00372050">
        <w:rPr>
          <w:lang w:eastAsia="en-GB"/>
        </w:rPr>
        <w:t>.</w:t>
      </w:r>
      <w:r w:rsidR="00372050">
        <w:rPr>
          <w:lang w:eastAsia="en-GB"/>
        </w:rPr>
        <w:tab/>
      </w:r>
      <w:r w:rsidR="007C2DDE">
        <w:rPr>
          <w:lang w:eastAsia="en-GB"/>
        </w:rPr>
        <w:t xml:space="preserve">Member States, River Commissions and other stakeholders </w:t>
      </w:r>
      <w:r w:rsidR="00A678B3">
        <w:rPr>
          <w:lang w:eastAsia="en-GB"/>
        </w:rPr>
        <w:t xml:space="preserve">have </w:t>
      </w:r>
      <w:r w:rsidR="007C2DDE">
        <w:t>consider</w:t>
      </w:r>
      <w:r w:rsidR="00796420">
        <w:t>ed</w:t>
      </w:r>
      <w:r w:rsidR="007C2DDE">
        <w:t xml:space="preserve"> </w:t>
      </w:r>
      <w:r w:rsidR="00372050" w:rsidRPr="00C06A93">
        <w:t>progress in the field</w:t>
      </w:r>
      <w:r w:rsidR="00796420">
        <w:t>s</w:t>
      </w:r>
      <w:r w:rsidR="00372050" w:rsidRPr="00C06A93">
        <w:t xml:space="preserve"> of education and training and professional competencies </w:t>
      </w:r>
      <w:r w:rsidR="007C2DDE">
        <w:t>at sessions of SC.3 and SC.3/WP.3</w:t>
      </w:r>
      <w:r w:rsidR="00796420">
        <w:t>. P</w:t>
      </w:r>
      <w:r w:rsidR="00372050" w:rsidRPr="00C06A93">
        <w:t xml:space="preserve">roposals </w:t>
      </w:r>
      <w:r w:rsidR="00796420">
        <w:t xml:space="preserve">were made </w:t>
      </w:r>
      <w:r w:rsidR="00372050" w:rsidRPr="00C06A93">
        <w:t xml:space="preserve">for development of the tables in the Standards of Training and Certification for personnel in Inland Navigation (STCIN) on the basis of experience of non-EU member States, </w:t>
      </w:r>
      <w:r w:rsidR="00796420" w:rsidRPr="00C06A93">
        <w:t>shar</w:t>
      </w:r>
      <w:r w:rsidR="00796420">
        <w:t>ed</w:t>
      </w:r>
      <w:r w:rsidR="00372050" w:rsidRPr="00C06A93">
        <w:t xml:space="preserve"> experience</w:t>
      </w:r>
      <w:r w:rsidR="00796420">
        <w:t>s</w:t>
      </w:r>
      <w:r w:rsidR="00372050" w:rsidRPr="00C06A93">
        <w:t xml:space="preserve"> in the field</w:t>
      </w:r>
      <w:r w:rsidR="00796420">
        <w:t>s</w:t>
      </w:r>
      <w:r w:rsidR="00372050" w:rsidRPr="00C06A93">
        <w:t xml:space="preserve"> of training, harmonization of professional standards, modern approaches and trends in education process </w:t>
      </w:r>
      <w:r w:rsidR="00796420">
        <w:t>(</w:t>
      </w:r>
      <w:r w:rsidR="00372050" w:rsidRPr="00C06A93">
        <w:t>such as use of simulators</w:t>
      </w:r>
      <w:r w:rsidR="00796420">
        <w:t>)</w:t>
      </w:r>
      <w:r w:rsidR="00372050" w:rsidRPr="00C06A93">
        <w:t xml:space="preserve">. </w:t>
      </w:r>
    </w:p>
    <w:p w:rsidR="00372050" w:rsidRPr="00C06A93" w:rsidRDefault="00372050" w:rsidP="00C06A93">
      <w:pPr>
        <w:pStyle w:val="SingleTxtG"/>
      </w:pPr>
      <w:r w:rsidRPr="00C06A93">
        <w:t>3</w:t>
      </w:r>
      <w:r w:rsidR="005D5442">
        <w:t>0</w:t>
      </w:r>
      <w:r w:rsidRPr="00C06A93">
        <w:t>.</w:t>
      </w:r>
      <w:r w:rsidRPr="00C06A93">
        <w:tab/>
      </w:r>
      <w:r w:rsidR="007C2DDE">
        <w:t>Member States and River Commissions</w:t>
      </w:r>
      <w:r w:rsidRPr="00C06A93">
        <w:t xml:space="preserve"> took part in the preparation of </w:t>
      </w:r>
      <w:r w:rsidR="00143B69" w:rsidRPr="00612614">
        <w:t xml:space="preserve">the </w:t>
      </w:r>
      <w:r w:rsidR="00612614">
        <w:t>International Labour Organization (</w:t>
      </w:r>
      <w:r w:rsidRPr="00612614">
        <w:t>ILO</w:t>
      </w:r>
      <w:r w:rsidR="00612614">
        <w:t>)</w:t>
      </w:r>
      <w:r w:rsidRPr="00C06A93">
        <w:t xml:space="preserve"> study on </w:t>
      </w:r>
      <w:r w:rsidR="00EF118C" w:rsidRPr="00C06A93">
        <w:t>working and living conditions in inland navigation in the European region (ILO Working Paper No. 297)</w:t>
      </w:r>
      <w:r w:rsidR="007C2DDE">
        <w:t xml:space="preserve">. SC.3 </w:t>
      </w:r>
      <w:r w:rsidR="007C2DDE" w:rsidRPr="00C06A93">
        <w:t>use</w:t>
      </w:r>
      <w:r w:rsidR="007C2DDE">
        <w:t>s</w:t>
      </w:r>
      <w:r w:rsidR="007C2DDE" w:rsidRPr="00C06A93">
        <w:t xml:space="preserve"> </w:t>
      </w:r>
      <w:r w:rsidR="00EF118C" w:rsidRPr="00C06A93">
        <w:t xml:space="preserve">this material as a source of information for the IEG. Furthermore, </w:t>
      </w:r>
      <w:r w:rsidR="007C2DDE">
        <w:t xml:space="preserve">Governments, River Commissions and other stakeholders </w:t>
      </w:r>
      <w:r w:rsidRPr="00C06A93">
        <w:t>held a discussion on</w:t>
      </w:r>
      <w:r w:rsidR="007C2DDE">
        <w:t xml:space="preserve"> the topic</w:t>
      </w:r>
      <w:r w:rsidR="00143B69">
        <w:t xml:space="preserve"> “</w:t>
      </w:r>
      <w:r w:rsidRPr="00C06A93">
        <w:t xml:space="preserve">Making jobs of crew members employed in inland navigation more attractive” at </w:t>
      </w:r>
      <w:r w:rsidR="007C2DDE">
        <w:t>the</w:t>
      </w:r>
      <w:r w:rsidR="007C2DDE" w:rsidRPr="00C06A93">
        <w:t xml:space="preserve"> </w:t>
      </w:r>
      <w:r w:rsidR="00EF118C" w:rsidRPr="00C06A93">
        <w:t xml:space="preserve">fifty-eighth session </w:t>
      </w:r>
      <w:r w:rsidR="007C2DDE">
        <w:t xml:space="preserve">of </w:t>
      </w:r>
      <w:r w:rsidR="007C2DDE" w:rsidRPr="00C06A93">
        <w:t xml:space="preserve">SC.3 </w:t>
      </w:r>
      <w:r w:rsidR="00EF118C" w:rsidRPr="00C06A93">
        <w:t>in 2014.</w:t>
      </w:r>
    </w:p>
    <w:p w:rsidR="009F7B95" w:rsidRPr="00C06A93" w:rsidRDefault="009F7B95" w:rsidP="00C06A93">
      <w:pPr>
        <w:pStyle w:val="SingleTxtG"/>
      </w:pPr>
      <w:r w:rsidRPr="00C06A93">
        <w:t>3</w:t>
      </w:r>
      <w:r w:rsidR="005D5442">
        <w:t>1</w:t>
      </w:r>
      <w:r w:rsidRPr="00C06A93">
        <w:t>.</w:t>
      </w:r>
      <w:r w:rsidRPr="00C06A93">
        <w:tab/>
        <w:t xml:space="preserve">Provisions for a minimum crew and professional requirements </w:t>
      </w:r>
      <w:r w:rsidR="00796420">
        <w:t xml:space="preserve">were </w:t>
      </w:r>
      <w:r w:rsidRPr="00C06A93">
        <w:t xml:space="preserve">included </w:t>
      </w:r>
      <w:r w:rsidR="00796420">
        <w:t>in</w:t>
      </w:r>
      <w:r w:rsidR="00796420" w:rsidRPr="00C06A93">
        <w:t xml:space="preserve"> </w:t>
      </w:r>
      <w:r w:rsidRPr="00C06A93">
        <w:t>Resolution No. 61</w:t>
      </w:r>
      <w:r w:rsidR="00203EF4">
        <w:t xml:space="preserve">, </w:t>
      </w:r>
      <w:r w:rsidR="00F25F1E">
        <w:t>“</w:t>
      </w:r>
      <w:r w:rsidR="00F25F1E" w:rsidRPr="007533ED">
        <w:t xml:space="preserve">Recommendations on </w:t>
      </w:r>
      <w:r w:rsidR="00F25F1E">
        <w:t>H</w:t>
      </w:r>
      <w:r w:rsidR="00F25F1E" w:rsidRPr="007533ED">
        <w:t xml:space="preserve">armonized Europe-wide </w:t>
      </w:r>
      <w:r w:rsidR="00F25F1E">
        <w:t>T</w:t>
      </w:r>
      <w:r w:rsidR="00F25F1E" w:rsidRPr="007533ED">
        <w:t xml:space="preserve">echnical </w:t>
      </w:r>
      <w:r w:rsidR="00F25F1E">
        <w:t>R</w:t>
      </w:r>
      <w:r w:rsidR="00F25F1E" w:rsidRPr="007533ED">
        <w:t xml:space="preserve">equirements for </w:t>
      </w:r>
      <w:r w:rsidR="00F25F1E">
        <w:t>I</w:t>
      </w:r>
      <w:r w:rsidR="00F25F1E" w:rsidRPr="007533ED">
        <w:t xml:space="preserve">nland </w:t>
      </w:r>
      <w:r w:rsidR="00F25F1E">
        <w:t>N</w:t>
      </w:r>
      <w:r w:rsidR="00F25F1E" w:rsidRPr="007533ED">
        <w:t xml:space="preserve">avigation </w:t>
      </w:r>
      <w:r w:rsidR="00F25F1E">
        <w:t>V</w:t>
      </w:r>
      <w:r w:rsidR="00F25F1E" w:rsidRPr="007533ED">
        <w:t>essels</w:t>
      </w:r>
      <w:r w:rsidR="00F25F1E">
        <w:t>”</w:t>
      </w:r>
      <w:r w:rsidR="00203EF4">
        <w:t>,</w:t>
      </w:r>
      <w:r w:rsidRPr="00C06A93">
        <w:t xml:space="preserve"> as Chapter 23</w:t>
      </w:r>
      <w:r w:rsidR="00796420">
        <w:t>.</w:t>
      </w:r>
      <w:r w:rsidRPr="00C06A93">
        <w:t xml:space="preserve"> </w:t>
      </w:r>
      <w:r w:rsidR="00796420">
        <w:t xml:space="preserve">A revision of Chapter 23 is being made on the basis of a </w:t>
      </w:r>
      <w:r w:rsidRPr="00C06A93">
        <w:t xml:space="preserve">proposal </w:t>
      </w:r>
      <w:r w:rsidR="00796420">
        <w:t>submitted by the Danube Commission</w:t>
      </w:r>
      <w:r w:rsidRPr="00C06A93">
        <w:t xml:space="preserve"> (Informal document SC.3/WP.3 No. 5 (2013)), a proposal </w:t>
      </w:r>
      <w:r w:rsidR="00A678B3">
        <w:t>from</w:t>
      </w:r>
      <w:r w:rsidRPr="00C06A93">
        <w:t xml:space="preserve"> the Group of Volunteer experts on </w:t>
      </w:r>
      <w:r w:rsidRPr="00C06A93">
        <w:lastRenderedPageBreak/>
        <w:t xml:space="preserve">Resolution No. 61 </w:t>
      </w:r>
      <w:r w:rsidR="0046749C" w:rsidRPr="00C06A93">
        <w:t>(ECE/TRANS/SC.3/2015/9, Annex I)</w:t>
      </w:r>
      <w:r w:rsidR="00796420">
        <w:t xml:space="preserve"> and</w:t>
      </w:r>
      <w:r w:rsidR="0046749C" w:rsidRPr="00C06A93">
        <w:t xml:space="preserve"> </w:t>
      </w:r>
      <w:r w:rsidR="00796420">
        <w:t xml:space="preserve">a </w:t>
      </w:r>
      <w:r w:rsidR="0046749C" w:rsidRPr="00C06A93">
        <w:t xml:space="preserve">proposal </w:t>
      </w:r>
      <w:r w:rsidR="00796420">
        <w:t>from</w:t>
      </w:r>
      <w:r w:rsidR="00796420" w:rsidRPr="00C06A93">
        <w:t xml:space="preserve"> </w:t>
      </w:r>
      <w:r w:rsidR="0046749C" w:rsidRPr="00C06A93">
        <w:t>the secretariat on</w:t>
      </w:r>
      <w:r w:rsidR="00C06A93" w:rsidRPr="00C06A93">
        <w:t xml:space="preserve"> </w:t>
      </w:r>
      <w:r w:rsidR="0046749C" w:rsidRPr="00C06A93">
        <w:t>Chapter 23 for the forty-sixth session of SC.3/WP.3 (ECE/TRANS/SC.3/WP.3/2015/2)</w:t>
      </w:r>
      <w:r w:rsidR="00E976E4">
        <w:t>.</w:t>
      </w:r>
    </w:p>
    <w:p w:rsidR="009F7B95" w:rsidRPr="00C06A93" w:rsidRDefault="00EF118C" w:rsidP="00C06A93">
      <w:pPr>
        <w:pStyle w:val="SingleTxtG"/>
      </w:pPr>
      <w:r w:rsidRPr="00C06A93">
        <w:t>3</w:t>
      </w:r>
      <w:r w:rsidR="005D5442">
        <w:t>2</w:t>
      </w:r>
      <w:r w:rsidRPr="00C06A93">
        <w:t>.</w:t>
      </w:r>
      <w:r w:rsidRPr="00C06A93">
        <w:tab/>
      </w:r>
      <w:r w:rsidR="00CE6F45">
        <w:t>Significant</w:t>
      </w:r>
      <w:r w:rsidRPr="00C06A93">
        <w:t xml:space="preserve"> progress in </w:t>
      </w:r>
      <w:r w:rsidR="00143B69">
        <w:t xml:space="preserve">the </w:t>
      </w:r>
      <w:r w:rsidRPr="00C06A93">
        <w:t>recognitio</w:t>
      </w:r>
      <w:r w:rsidR="00143B69">
        <w:t xml:space="preserve">n of </w:t>
      </w:r>
      <w:proofErr w:type="spellStart"/>
      <w:r w:rsidR="00143B69">
        <w:t>boatmasters</w:t>
      </w:r>
      <w:proofErr w:type="spellEnd"/>
      <w:r w:rsidR="00143B69">
        <w:t>’ certificates has been</w:t>
      </w:r>
      <w:r w:rsidRPr="00C06A93">
        <w:t xml:space="preserve"> </w:t>
      </w:r>
      <w:r w:rsidR="00CE6F45">
        <w:t>achieved</w:t>
      </w:r>
      <w:r w:rsidR="00CE6F45" w:rsidRPr="00C06A93">
        <w:t xml:space="preserve"> </w:t>
      </w:r>
      <w:r w:rsidRPr="00C06A93">
        <w:t xml:space="preserve">in the recreational navigation sector, where UNECE Resolution No. 40, </w:t>
      </w:r>
      <w:r w:rsidR="00203EF4">
        <w:t>“</w:t>
      </w:r>
      <w:r w:rsidRPr="00C06A93">
        <w:t>International Certificate for Operators of Pleasure Craft</w:t>
      </w:r>
      <w:r w:rsidR="00203EF4">
        <w:t>”</w:t>
      </w:r>
      <w:r w:rsidRPr="00C06A93">
        <w:t xml:space="preserve">, is recognized by member States applying this Resolution. </w:t>
      </w:r>
      <w:r w:rsidR="00143B69">
        <w:t>It has also been recognised outside the</w:t>
      </w:r>
      <w:r w:rsidRPr="00C06A93">
        <w:t xml:space="preserve"> UNECE </w:t>
      </w:r>
      <w:r w:rsidR="00CE6F45">
        <w:t xml:space="preserve">region </w:t>
      </w:r>
      <w:r w:rsidR="00143B69">
        <w:t>by South Africa. The r</w:t>
      </w:r>
      <w:r w:rsidRPr="00C06A93">
        <w:t>esolution was revised and re-issued in 2011 (the first revision), 2012 (the second revision), 2013 (the third revision) and in 2014 (</w:t>
      </w:r>
      <w:r w:rsidR="00CE6F45">
        <w:t xml:space="preserve">the </w:t>
      </w:r>
      <w:r w:rsidR="009F7B95" w:rsidRPr="00C06A93">
        <w:t xml:space="preserve">current, </w:t>
      </w:r>
      <w:r w:rsidRPr="00C06A93">
        <w:t>the fourth revision)</w:t>
      </w:r>
      <w:r w:rsidR="009F7B95" w:rsidRPr="00C06A93">
        <w:t xml:space="preserve"> (ECE/TRANS/SC.3/147/Rev.4).</w:t>
      </w:r>
    </w:p>
    <w:p w:rsidR="009F7B95" w:rsidRPr="00C06A93" w:rsidRDefault="009F7B95" w:rsidP="00C06A93">
      <w:pPr>
        <w:pStyle w:val="SingleTxtG"/>
      </w:pPr>
      <w:r w:rsidRPr="00C06A93">
        <w:t>3</w:t>
      </w:r>
      <w:r w:rsidR="005D5442">
        <w:t>3</w:t>
      </w:r>
      <w:r w:rsidR="00EF118C" w:rsidRPr="00C06A93">
        <w:t>.</w:t>
      </w:r>
      <w:r w:rsidRPr="00C06A93">
        <w:tab/>
      </w:r>
      <w:r w:rsidR="00EF118C" w:rsidRPr="00C06A93">
        <w:t xml:space="preserve"> In order to facilitate </w:t>
      </w:r>
      <w:r w:rsidR="00E976E4">
        <w:t>a</w:t>
      </w:r>
      <w:r w:rsidR="00A61551">
        <w:t>n</w:t>
      </w:r>
      <w:r w:rsidR="00E976E4" w:rsidRPr="00C06A93">
        <w:t xml:space="preserve"> </w:t>
      </w:r>
      <w:r w:rsidR="00EF118C" w:rsidRPr="00C06A93">
        <w:t>understanding of the resolution by the operators of pleasure craft</w:t>
      </w:r>
      <w:r w:rsidR="00CE6F45">
        <w:t>,</w:t>
      </w:r>
      <w:r w:rsidR="00EF118C" w:rsidRPr="00C06A93">
        <w:t xml:space="preserve"> Guidelines on the implementation of Resolution No. 40 were approved at the forty-fourth session of SC.3/WP.3, adopted by SC.3 and are available on the UNECE website. </w:t>
      </w:r>
      <w:proofErr w:type="gramStart"/>
      <w:r w:rsidR="00EF118C" w:rsidRPr="00C06A93">
        <w:t xml:space="preserve">Recognizing the importance of Resolution No. 40 for recreational navigation in Europe and </w:t>
      </w:r>
      <w:r w:rsidR="00A61551">
        <w:t>beyond</w:t>
      </w:r>
      <w:r w:rsidR="00EF118C" w:rsidRPr="00C06A93">
        <w:t>, SC.3 started at its fortieth session in 2012 discussion on possibl</w:t>
      </w:r>
      <w:r w:rsidR="00CE6F45">
        <w:t>y</w:t>
      </w:r>
      <w:r w:rsidR="00EF118C" w:rsidRPr="00C06A93">
        <w:t xml:space="preserve"> upgrading its status </w:t>
      </w:r>
      <w:r w:rsidR="00A61551">
        <w:t>to</w:t>
      </w:r>
      <w:r w:rsidR="00A61551" w:rsidRPr="00C06A93">
        <w:t xml:space="preserve"> </w:t>
      </w:r>
      <w:r w:rsidR="00EF118C" w:rsidRPr="00C06A93">
        <w:t>a binding instrument.</w:t>
      </w:r>
      <w:proofErr w:type="gramEnd"/>
    </w:p>
    <w:p w:rsidR="00EF118C" w:rsidRDefault="009F7B95" w:rsidP="00C06A93">
      <w:pPr>
        <w:pStyle w:val="SingleTxtG"/>
      </w:pPr>
      <w:r w:rsidRPr="00C06A93">
        <w:t>3</w:t>
      </w:r>
      <w:r w:rsidR="005D5442">
        <w:t>4</w:t>
      </w:r>
      <w:r w:rsidRPr="00C06A93">
        <w:t>.</w:t>
      </w:r>
      <w:r w:rsidRPr="00C06A93">
        <w:tab/>
      </w:r>
      <w:r w:rsidR="00EF118C" w:rsidRPr="00C06A93">
        <w:t xml:space="preserve">Other UNECE resolutions </w:t>
      </w:r>
      <w:r w:rsidRPr="00C06A93">
        <w:t xml:space="preserve">dealing with </w:t>
      </w:r>
      <w:r w:rsidR="00CE6F45">
        <w:t xml:space="preserve">the </w:t>
      </w:r>
      <w:r w:rsidRPr="00C06A93">
        <w:t xml:space="preserve">issuance and recognition of certificates of operators of pleasure craft and </w:t>
      </w:r>
      <w:r w:rsidR="00CE6F45">
        <w:t xml:space="preserve">the </w:t>
      </w:r>
      <w:r w:rsidRPr="00C06A93">
        <w:t>promotion of recreational</w:t>
      </w:r>
      <w:r>
        <w:t xml:space="preserve"> navigation in the UNECE region are:</w:t>
      </w:r>
    </w:p>
    <w:p w:rsidR="00EF118C" w:rsidRPr="00E37315" w:rsidRDefault="009F7B95" w:rsidP="0046749C">
      <w:pPr>
        <w:pStyle w:val="Bullet1G"/>
      </w:pPr>
      <w:r w:rsidRPr="00E37315">
        <w:t>Resolution No. 13</w:t>
      </w:r>
      <w:r>
        <w:t xml:space="preserve">, </w:t>
      </w:r>
      <w:r w:rsidR="00203EF4">
        <w:t>“</w:t>
      </w:r>
      <w:r w:rsidR="00EF118C" w:rsidRPr="00E37315">
        <w:t>International Certificate (international card) for Pleasure Craft</w:t>
      </w:r>
      <w:r w:rsidR="00203EF4">
        <w:t>”</w:t>
      </w:r>
      <w:r w:rsidR="006B4E30">
        <w:t xml:space="preserve"> </w:t>
      </w:r>
      <w:r w:rsidR="00EF118C" w:rsidRPr="00E37315">
        <w:t>(TRANS/SC.3/118 and TRANS/SC.3/131);</w:t>
      </w:r>
    </w:p>
    <w:p w:rsidR="00EF118C" w:rsidRPr="00E37315" w:rsidRDefault="009F7B95" w:rsidP="0046749C">
      <w:pPr>
        <w:pStyle w:val="Bullet1G"/>
      </w:pPr>
      <w:r w:rsidRPr="00E37315">
        <w:t>Resolution No.14</w:t>
      </w:r>
      <w:r>
        <w:t xml:space="preserve">, </w:t>
      </w:r>
      <w:r w:rsidR="00203EF4">
        <w:t>“</w:t>
      </w:r>
      <w:r w:rsidR="00EF118C" w:rsidRPr="00E37315">
        <w:t>International Certificate (international card) concerning the Competen</w:t>
      </w:r>
      <w:r>
        <w:t>ce of Pleasure-Craft Operators</w:t>
      </w:r>
      <w:r w:rsidR="00203EF4">
        <w:t>”</w:t>
      </w:r>
      <w:r w:rsidR="00EF118C" w:rsidRPr="00E37315">
        <w:t xml:space="preserve"> (TRANS/SC.3/96 and TRANS/SC.3/131);</w:t>
      </w:r>
    </w:p>
    <w:p w:rsidR="009F7B95" w:rsidRDefault="009F7B95" w:rsidP="0046749C">
      <w:pPr>
        <w:pStyle w:val="Bullet1G"/>
      </w:pPr>
      <w:r w:rsidRPr="00E37315">
        <w:t>Resolution No. 41</w:t>
      </w:r>
      <w:r>
        <w:t>,</w:t>
      </w:r>
      <w:r>
        <w:rPr>
          <w:lang w:val="en-US"/>
        </w:rPr>
        <w:t xml:space="preserve"> </w:t>
      </w:r>
      <w:r w:rsidR="00203EF4">
        <w:rPr>
          <w:lang w:val="en-US"/>
        </w:rPr>
        <w:t>“</w:t>
      </w:r>
      <w:r w:rsidR="00EF118C" w:rsidRPr="00E37315">
        <w:t>Small Craft Used Exclus</w:t>
      </w:r>
      <w:r>
        <w:t>ively for Pleasure Navigation</w:t>
      </w:r>
      <w:r w:rsidR="00203EF4">
        <w:t>”</w:t>
      </w:r>
      <w:r>
        <w:t xml:space="preserve"> </w:t>
      </w:r>
      <w:r w:rsidR="00EF118C" w:rsidRPr="00E37315">
        <w:t>(TRANS/SC.3/148)</w:t>
      </w:r>
      <w:r>
        <w:t>, and</w:t>
      </w:r>
    </w:p>
    <w:p w:rsidR="009F7B95" w:rsidRDefault="009F7B95" w:rsidP="0046749C">
      <w:pPr>
        <w:pStyle w:val="Bullet1G"/>
      </w:pPr>
      <w:r w:rsidRPr="00E37315">
        <w:t>Resolution No. 52</w:t>
      </w:r>
      <w:r>
        <w:t xml:space="preserve">, </w:t>
      </w:r>
      <w:r w:rsidR="00203EF4">
        <w:t>“</w:t>
      </w:r>
      <w:r w:rsidR="00EF118C" w:rsidRPr="00E37315">
        <w:t>European Recreatio</w:t>
      </w:r>
      <w:r>
        <w:t>nal Inland Navigation Network</w:t>
      </w:r>
      <w:r w:rsidR="00203EF4">
        <w:t>”</w:t>
      </w:r>
      <w:r>
        <w:t xml:space="preserve"> </w:t>
      </w:r>
      <w:r w:rsidR="00EF118C" w:rsidRPr="00E37315">
        <w:t>(ECE/TRANS/SC.3/164/Rev.1)</w:t>
      </w:r>
      <w:r>
        <w:t>, revised by SC.3 at its fifty-sixth session in 2012.</w:t>
      </w:r>
    </w:p>
    <w:p w:rsidR="0046749C" w:rsidRDefault="005D5442" w:rsidP="0046749C">
      <w:pPr>
        <w:pStyle w:val="SingleTxtG"/>
      </w:pPr>
      <w:r>
        <w:t>35</w:t>
      </w:r>
      <w:r w:rsidR="0046749C">
        <w:t>.</w:t>
      </w:r>
      <w:r w:rsidR="0046749C">
        <w:tab/>
        <w:t xml:space="preserve">SC.3/WP.3 at its forty-first session in 2012 noted the progress in </w:t>
      </w:r>
      <w:r w:rsidR="0046749C" w:rsidRPr="0046749C">
        <w:t>opening of inland waterways for recreational craft by the Russian Federation.</w:t>
      </w:r>
    </w:p>
    <w:p w:rsidR="009A372F" w:rsidRDefault="009A372F" w:rsidP="009A372F">
      <w:pPr>
        <w:pStyle w:val="H1G"/>
      </w:pPr>
      <w:r>
        <w:tab/>
        <w:t>F.</w:t>
      </w:r>
      <w:r>
        <w:tab/>
        <w:t>Policy Recommendation No. 6</w:t>
      </w:r>
    </w:p>
    <w:p w:rsidR="009A372F" w:rsidRDefault="005D5442" w:rsidP="00C06A93">
      <w:pPr>
        <w:pStyle w:val="SingleTxtG"/>
      </w:pPr>
      <w:r>
        <w:t>36</w:t>
      </w:r>
      <w:r w:rsidR="009A372F">
        <w:t>.</w:t>
      </w:r>
      <w:r w:rsidR="009A372F">
        <w:tab/>
      </w:r>
      <w:r w:rsidR="00A61551">
        <w:t>SC.3, in t</w:t>
      </w:r>
      <w:r w:rsidR="006B7D21">
        <w:t>ackling</w:t>
      </w:r>
      <w:r w:rsidR="009A372F">
        <w:t xml:space="preserve"> environmental challenges and the carbon footprint of </w:t>
      </w:r>
      <w:r w:rsidR="00A61551">
        <w:t>inland water transport</w:t>
      </w:r>
      <w:r w:rsidR="009A372F">
        <w:t xml:space="preserve">, </w:t>
      </w:r>
      <w:r w:rsidR="00B678CC">
        <w:t xml:space="preserve">revised and updated relevant provisions </w:t>
      </w:r>
      <w:r w:rsidR="009A372F">
        <w:t>of the European Code for Inland Waterways (CEVNI).</w:t>
      </w:r>
      <w:r w:rsidR="006832CC">
        <w:t xml:space="preserve"> </w:t>
      </w:r>
      <w:r w:rsidR="00B678CC">
        <w:t xml:space="preserve">A revision of Chapter 10, </w:t>
      </w:r>
      <w:r w:rsidR="006B7D21">
        <w:t xml:space="preserve">“Prevention of pollution of water and disposal of </w:t>
      </w:r>
      <w:proofErr w:type="gramStart"/>
      <w:r w:rsidR="006B7D21">
        <w:t>waste occurring</w:t>
      </w:r>
      <w:proofErr w:type="gramEnd"/>
      <w:r w:rsidR="006B7D21">
        <w:t xml:space="preserve"> on board vessels</w:t>
      </w:r>
      <w:r w:rsidR="00B678CC">
        <w:t xml:space="preserve">” and a new Annex </w:t>
      </w:r>
      <w:r w:rsidR="006B7D21">
        <w:t>11</w:t>
      </w:r>
      <w:r w:rsidR="00394E8D">
        <w:t>,</w:t>
      </w:r>
      <w:r w:rsidR="006B7D21">
        <w:t xml:space="preserve"> “</w:t>
      </w:r>
      <w:r w:rsidR="006B7D21" w:rsidRPr="00DA7D5A">
        <w:rPr>
          <w:snapToGrid w:val="0"/>
        </w:rPr>
        <w:t>Safety checklist for bunkering fuel</w:t>
      </w:r>
      <w:r w:rsidR="006B7D21">
        <w:rPr>
          <w:snapToGrid w:val="0"/>
        </w:rPr>
        <w:t>”</w:t>
      </w:r>
      <w:r w:rsidR="006B7D21">
        <w:t xml:space="preserve"> </w:t>
      </w:r>
      <w:r w:rsidR="00A61551">
        <w:t xml:space="preserve">were </w:t>
      </w:r>
      <w:r w:rsidR="00B678CC">
        <w:t>included in the fifth revised edition of CEVNI</w:t>
      </w:r>
      <w:r w:rsidR="00A61551">
        <w:t>,</w:t>
      </w:r>
      <w:r w:rsidR="006B7D21">
        <w:t xml:space="preserve"> adopted in 2014</w:t>
      </w:r>
      <w:r w:rsidR="00B678CC">
        <w:t>.</w:t>
      </w:r>
    </w:p>
    <w:p w:rsidR="009A372F" w:rsidRDefault="005D5442" w:rsidP="00C06A93">
      <w:pPr>
        <w:pStyle w:val="SingleTxtG"/>
      </w:pPr>
      <w:r>
        <w:t>37</w:t>
      </w:r>
      <w:r w:rsidR="00B678CC">
        <w:t>.</w:t>
      </w:r>
      <w:r w:rsidR="00B678CC">
        <w:tab/>
      </w:r>
      <w:r w:rsidR="009A372F">
        <w:t xml:space="preserve">SC.3 experts </w:t>
      </w:r>
      <w:r w:rsidR="00B678CC">
        <w:t>and member States</w:t>
      </w:r>
      <w:r w:rsidR="00A61551">
        <w:t>, furthermore,</w:t>
      </w:r>
      <w:r w:rsidR="00B678CC">
        <w:t xml:space="preserve"> </w:t>
      </w:r>
      <w:r w:rsidR="00A61551">
        <w:t xml:space="preserve">contributed </w:t>
      </w:r>
      <w:r w:rsidR="009A372F">
        <w:t>to the relevant UNECE studies, such a</w:t>
      </w:r>
      <w:r w:rsidR="006B7D21">
        <w:t>s the UNECE Discussion Paper “</w:t>
      </w:r>
      <w:r w:rsidR="009A372F">
        <w:t>Diesel engine exhausts</w:t>
      </w:r>
      <w:r w:rsidR="006B7D21">
        <w:t>: Myths and Realities”</w:t>
      </w:r>
      <w:r w:rsidR="00B678CC">
        <w:t xml:space="preserve"> </w:t>
      </w:r>
      <w:r w:rsidR="00F25F1E">
        <w:t xml:space="preserve">which was </w:t>
      </w:r>
      <w:r w:rsidR="00EE5522">
        <w:t xml:space="preserve">finalised </w:t>
      </w:r>
      <w:r w:rsidR="00B678CC">
        <w:t xml:space="preserve">in </w:t>
      </w:r>
      <w:r w:rsidR="006B7D21">
        <w:t>2014</w:t>
      </w:r>
      <w:r w:rsidR="009A372F">
        <w:t>.</w:t>
      </w:r>
    </w:p>
    <w:p w:rsidR="006B7D21" w:rsidRDefault="005D5442" w:rsidP="00C06A93">
      <w:pPr>
        <w:pStyle w:val="SingleTxtG"/>
      </w:pPr>
      <w:r>
        <w:t>38</w:t>
      </w:r>
      <w:r w:rsidR="00DD1A10">
        <w:t>.</w:t>
      </w:r>
      <w:r w:rsidR="00DD1A10">
        <w:tab/>
      </w:r>
      <w:r>
        <w:t>SC.3 at its fifty-ninth session started the discussion on a n</w:t>
      </w:r>
      <w:r w:rsidR="00DD1A10">
        <w:t>ew text of section 8-4B</w:t>
      </w:r>
      <w:r w:rsidR="006B7D21">
        <w:t>,</w:t>
      </w:r>
      <w:r w:rsidR="00DD1A10">
        <w:t xml:space="preserve"> </w:t>
      </w:r>
      <w:r w:rsidR="006B7D21">
        <w:t>“</w:t>
      </w:r>
      <w:r w:rsidR="006B7D21" w:rsidRPr="00CB575A">
        <w:t>Requirements concerning equipment for the treatment of domestic waste water</w:t>
      </w:r>
      <w:r w:rsidR="006B7D21">
        <w:t xml:space="preserve">” </w:t>
      </w:r>
      <w:r w:rsidR="00C3791C">
        <w:t>of Resolution No. 61</w:t>
      </w:r>
      <w:r w:rsidR="00203EF4">
        <w:t>, “</w:t>
      </w:r>
      <w:r w:rsidR="00203EF4" w:rsidRPr="007533ED">
        <w:t xml:space="preserve">Recommendations on </w:t>
      </w:r>
      <w:r w:rsidR="00E16B2E">
        <w:t>H</w:t>
      </w:r>
      <w:r w:rsidR="00203EF4" w:rsidRPr="007533ED">
        <w:t xml:space="preserve">armonized Europe-wide </w:t>
      </w:r>
      <w:r w:rsidR="00E16B2E">
        <w:t>T</w:t>
      </w:r>
      <w:r w:rsidR="00203EF4" w:rsidRPr="007533ED">
        <w:t xml:space="preserve">echnical </w:t>
      </w:r>
      <w:r w:rsidR="00E16B2E">
        <w:t>R</w:t>
      </w:r>
      <w:r w:rsidR="00203EF4" w:rsidRPr="007533ED">
        <w:t xml:space="preserve">equirements for </w:t>
      </w:r>
      <w:r w:rsidR="00E16B2E">
        <w:t>I</w:t>
      </w:r>
      <w:r w:rsidR="00203EF4" w:rsidRPr="007533ED">
        <w:t xml:space="preserve">nland </w:t>
      </w:r>
      <w:r w:rsidR="00E16B2E">
        <w:t>N</w:t>
      </w:r>
      <w:r w:rsidR="00203EF4" w:rsidRPr="007533ED">
        <w:t xml:space="preserve">avigation </w:t>
      </w:r>
      <w:r w:rsidR="00E16B2E">
        <w:t>V</w:t>
      </w:r>
      <w:r w:rsidR="00203EF4" w:rsidRPr="007533ED">
        <w:t>essels</w:t>
      </w:r>
      <w:r>
        <w:t>”</w:t>
      </w:r>
      <w:r w:rsidR="00203EF4" w:rsidRPr="00C06A93">
        <w:t xml:space="preserve"> </w:t>
      </w:r>
      <w:r w:rsidR="006B7D21">
        <w:t>on the basis of Chapter 14a of Directive 2006/87/EC</w:t>
      </w:r>
      <w:r w:rsidR="00DD1A10">
        <w:t xml:space="preserve"> (</w:t>
      </w:r>
      <w:r w:rsidR="00EE5522">
        <w:t>ECE/</w:t>
      </w:r>
      <w:r w:rsidR="00DD1A10">
        <w:t xml:space="preserve">TRANS/SC.3/2015/8) </w:t>
      </w:r>
      <w:r w:rsidR="006B7D21">
        <w:t xml:space="preserve">(see para. 21 </w:t>
      </w:r>
      <w:r w:rsidR="00EE5522">
        <w:t>above</w:t>
      </w:r>
      <w:r w:rsidR="006B7D21">
        <w:t xml:space="preserve">). The proposal contains purification </w:t>
      </w:r>
      <w:r w:rsidR="00143B69">
        <w:t>standards</w:t>
      </w:r>
      <w:r w:rsidR="006B7D21">
        <w:t xml:space="preserve"> for on-board sewage treatment plants, test procedures and type approval certificates for this equipment.</w:t>
      </w:r>
    </w:p>
    <w:p w:rsidR="003E546F" w:rsidRDefault="005D5442" w:rsidP="00C06A93">
      <w:pPr>
        <w:pStyle w:val="SingleTxtG"/>
      </w:pPr>
      <w:r>
        <w:lastRenderedPageBreak/>
        <w:t>39</w:t>
      </w:r>
      <w:r w:rsidR="0026009B">
        <w:t>.</w:t>
      </w:r>
      <w:r w:rsidR="0026009B">
        <w:tab/>
      </w:r>
      <w:r w:rsidR="00AF4098" w:rsidRPr="00AF4098">
        <w:t>Conclusions and recommendations of SC.3 contributed to the development of a model called “For Future Inland Transport Systems” (</w:t>
      </w:r>
      <w:proofErr w:type="spellStart"/>
      <w:r w:rsidR="00AF4098" w:rsidRPr="00AF4098">
        <w:t>ForFITS</w:t>
      </w:r>
      <w:proofErr w:type="spellEnd"/>
      <w:r w:rsidR="00AF4098" w:rsidRPr="00AF4098">
        <w:t>). This modelling tool can assist users in the selection of the most appropriate and effective measure to reduce transport CO</w:t>
      </w:r>
      <w:r w:rsidR="00AF4098" w:rsidRPr="00AF4098">
        <w:rPr>
          <w:vertAlign w:val="subscript"/>
        </w:rPr>
        <w:t>2</w:t>
      </w:r>
      <w:r w:rsidR="00AF4098" w:rsidRPr="00AF4098">
        <w:t xml:space="preserve"> emissions. It projects transport activity, energy use and CO</w:t>
      </w:r>
      <w:r w:rsidR="00AF4098" w:rsidRPr="00AF4098">
        <w:rPr>
          <w:vertAlign w:val="subscript"/>
        </w:rPr>
        <w:t>2</w:t>
      </w:r>
      <w:r w:rsidR="00AF4098" w:rsidRPr="00AF4098">
        <w:t xml:space="preserve"> emissions in different scenarios and various policy interventions. The model can be applied at the local and regional levels, although it is optimised for national applications. The model is able to consider a large number of policies such as shift from private vehicles to public transport modes, fuel taxation schemes, road pricing, subsidies for cleaner vehicles and introduction of biofuels, public transport vessels and personal boats concerning passenger mobility, as well as inland navigation, short sea shipping and maritime regarding freight transport.</w:t>
      </w:r>
    </w:p>
    <w:p w:rsidR="006B7D21" w:rsidRDefault="006B7D21" w:rsidP="006B7D21">
      <w:pPr>
        <w:pStyle w:val="H1G"/>
      </w:pPr>
      <w:r>
        <w:tab/>
        <w:t>G.</w:t>
      </w:r>
      <w:r>
        <w:tab/>
        <w:t>Policy Recommendation No. 7</w:t>
      </w:r>
    </w:p>
    <w:p w:rsidR="005B6A5E" w:rsidRDefault="00044FC5" w:rsidP="00C06A93">
      <w:pPr>
        <w:pStyle w:val="SingleTxtG"/>
      </w:pPr>
      <w:r>
        <w:t>4</w:t>
      </w:r>
      <w:r w:rsidR="005D5442">
        <w:t>0</w:t>
      </w:r>
      <w:r w:rsidR="00FC43E4">
        <w:t>.</w:t>
      </w:r>
      <w:r w:rsidR="00FC43E4">
        <w:tab/>
      </w:r>
      <w:r w:rsidR="00650C24">
        <w:t>I</w:t>
      </w:r>
      <w:r w:rsidR="007A7BFC">
        <w:t xml:space="preserve">ntensive work on the revision of </w:t>
      </w:r>
      <w:r w:rsidR="00203EF4">
        <w:t xml:space="preserve">the </w:t>
      </w:r>
      <w:r w:rsidR="00E96EB4">
        <w:t>European Code for Inland Waterways (</w:t>
      </w:r>
      <w:r w:rsidR="007A7BFC">
        <w:t>CEVNI</w:t>
      </w:r>
      <w:r w:rsidR="00E96EB4">
        <w:t>)</w:t>
      </w:r>
      <w:r w:rsidR="007A7BFC">
        <w:t xml:space="preserve"> – the pan-European rules of the road for inland navigation – </w:t>
      </w:r>
      <w:r w:rsidR="00650C24">
        <w:t xml:space="preserve">was </w:t>
      </w:r>
      <w:r w:rsidR="006E4851">
        <w:t xml:space="preserve">carried out by the CEVNI Expert Group from 2007 </w:t>
      </w:r>
      <w:r w:rsidR="00650C24">
        <w:t>until</w:t>
      </w:r>
      <w:r w:rsidR="006E4851">
        <w:t xml:space="preserve"> 2014, </w:t>
      </w:r>
      <w:r w:rsidR="00E641DF">
        <w:t>jointly with</w:t>
      </w:r>
      <w:r w:rsidR="006E4851">
        <w:t xml:space="preserve"> member States and all River Commissions</w:t>
      </w:r>
      <w:r w:rsidR="005B6A5E">
        <w:t>.</w:t>
      </w:r>
      <w:r w:rsidR="005B6A5E" w:rsidRPr="005B6A5E">
        <w:t xml:space="preserve"> A package of amendment proposals to CEVNI was adopted by SC.3 in 2013.</w:t>
      </w:r>
    </w:p>
    <w:p w:rsidR="00A40FA4" w:rsidRPr="00BA6738" w:rsidRDefault="00044FC5" w:rsidP="00BA6738">
      <w:pPr>
        <w:pStyle w:val="SingleTxtG"/>
      </w:pPr>
      <w:r>
        <w:t>4</w:t>
      </w:r>
      <w:r w:rsidR="005D5442">
        <w:t>1</w:t>
      </w:r>
      <w:r w:rsidR="005B6A5E">
        <w:t>.</w:t>
      </w:r>
      <w:r w:rsidR="005B6A5E">
        <w:tab/>
        <w:t>T</w:t>
      </w:r>
      <w:r w:rsidR="006E4851">
        <w:t xml:space="preserve">he fifth edition of the Code </w:t>
      </w:r>
      <w:r w:rsidR="005B6A5E">
        <w:t xml:space="preserve">was adopted </w:t>
      </w:r>
      <w:r w:rsidR="006E4851">
        <w:t xml:space="preserve">at the fifty-eighth session of SC.3, thus increasing </w:t>
      </w:r>
      <w:r w:rsidR="007A7BFC">
        <w:t>the transparency and the degree of harmonization of inland navigation rules in the UNECE region and reinforc</w:t>
      </w:r>
      <w:r w:rsidR="006E4851">
        <w:t>ing</w:t>
      </w:r>
      <w:r w:rsidR="007A7BFC">
        <w:t xml:space="preserve"> the institutional and regulatory framework </w:t>
      </w:r>
      <w:r w:rsidR="007A7BFC" w:rsidRPr="00A40FA4">
        <w:t xml:space="preserve">at </w:t>
      </w:r>
      <w:r w:rsidR="00CE6F45">
        <w:t xml:space="preserve">a </w:t>
      </w:r>
      <w:r w:rsidR="007A7BFC" w:rsidRPr="00A40FA4">
        <w:t>pan-European level</w:t>
      </w:r>
      <w:r w:rsidR="006E4851" w:rsidRPr="00A40FA4">
        <w:t>.</w:t>
      </w:r>
      <w:r w:rsidR="00FC43E4" w:rsidRPr="00A40FA4">
        <w:t xml:space="preserve"> In this new edition of CEV</w:t>
      </w:r>
      <w:r w:rsidR="00E96EB4">
        <w:t>N</w:t>
      </w:r>
      <w:r w:rsidR="00FC43E4" w:rsidRPr="00A40FA4">
        <w:t>I</w:t>
      </w:r>
      <w:r w:rsidR="00650C24">
        <w:t>,</w:t>
      </w:r>
      <w:r w:rsidR="00FC43E4" w:rsidRPr="00A40FA4">
        <w:t xml:space="preserve"> best practices from the existing traffic regulations of the </w:t>
      </w:r>
      <w:r w:rsidR="00FC10E9">
        <w:t>R</w:t>
      </w:r>
      <w:r w:rsidR="00FC10E9" w:rsidRPr="00A40FA4">
        <w:t>iver</w:t>
      </w:r>
      <w:r w:rsidR="00FC10E9" w:rsidRPr="00FC43E4">
        <w:t xml:space="preserve"> </w:t>
      </w:r>
      <w:r w:rsidR="00FC10E9">
        <w:t>C</w:t>
      </w:r>
      <w:r w:rsidR="00FC10E9" w:rsidRPr="00FC43E4">
        <w:t xml:space="preserve">ommissions </w:t>
      </w:r>
      <w:r w:rsidR="00FC43E4" w:rsidRPr="00FC43E4">
        <w:t xml:space="preserve">and UNECE member States have been </w:t>
      </w:r>
      <w:r w:rsidR="00650C24">
        <w:t>included</w:t>
      </w:r>
      <w:r w:rsidR="00FC43E4" w:rsidRPr="00FC43E4">
        <w:t xml:space="preserve">. In particular, this revision updates several articles </w:t>
      </w:r>
      <w:r w:rsidR="00FC10E9">
        <w:t>on</w:t>
      </w:r>
      <w:r w:rsidR="00F25E32">
        <w:t xml:space="preserve"> </w:t>
      </w:r>
      <w:r w:rsidR="00FC43E4" w:rsidRPr="00FC43E4">
        <w:t xml:space="preserve">small craft, </w:t>
      </w:r>
      <w:r w:rsidR="00FC43E4">
        <w:t xml:space="preserve">signs and signals, traffic rules, </w:t>
      </w:r>
      <w:r w:rsidR="00FC43E4" w:rsidRPr="00FC43E4">
        <w:t>radiotelephony, Inland Automatic Identification System (AIS)</w:t>
      </w:r>
      <w:r w:rsidR="00F25E32">
        <w:t xml:space="preserve"> and</w:t>
      </w:r>
      <w:r w:rsidR="00FC43E4" w:rsidRPr="00FC43E4">
        <w:t xml:space="preserve"> prevention of </w:t>
      </w:r>
      <w:r w:rsidR="00CE6F45">
        <w:t xml:space="preserve">water </w:t>
      </w:r>
      <w:r w:rsidR="00FC43E4" w:rsidRPr="00FC43E4">
        <w:t>pollution.</w:t>
      </w:r>
      <w:r w:rsidR="005D5442">
        <w:t xml:space="preserve"> </w:t>
      </w:r>
      <w:r w:rsidR="00A40FA4" w:rsidRPr="00BA6738">
        <w:t>CEVNI 5 is available on the UNECE website</w:t>
      </w:r>
      <w:r w:rsidR="005D5442">
        <w:t xml:space="preserve"> in two versions</w:t>
      </w:r>
      <w:r w:rsidR="00A40FA4" w:rsidRPr="00BA6738">
        <w:t>.</w:t>
      </w:r>
    </w:p>
    <w:p w:rsidR="005B6A5E" w:rsidRPr="00BA6738" w:rsidRDefault="00044FC5" w:rsidP="00BA6738">
      <w:pPr>
        <w:pStyle w:val="SingleTxtG"/>
      </w:pPr>
      <w:r w:rsidRPr="00BA6738">
        <w:t>4</w:t>
      </w:r>
      <w:r w:rsidR="00AA0691">
        <w:t>2</w:t>
      </w:r>
      <w:r w:rsidR="00A40FA4" w:rsidRPr="00BA6738">
        <w:t>.</w:t>
      </w:r>
      <w:r w:rsidR="00A40FA4" w:rsidRPr="00BA6738">
        <w:tab/>
        <w:t xml:space="preserve">SC.3 continues </w:t>
      </w:r>
      <w:r w:rsidR="00650C24">
        <w:t>to monitor the</w:t>
      </w:r>
      <w:r w:rsidR="00A40FA4" w:rsidRPr="00BA6738">
        <w:t xml:space="preserve"> implementation of CEVNI. </w:t>
      </w:r>
      <w:r w:rsidR="00650C24">
        <w:t>A c</w:t>
      </w:r>
      <w:r w:rsidR="005B6A5E" w:rsidRPr="00BA6738">
        <w:t xml:space="preserve">urrent CEVNI status document </w:t>
      </w:r>
      <w:r w:rsidR="007C2DDE">
        <w:t xml:space="preserve">prepared on the basis of information submitted by the Governments </w:t>
      </w:r>
      <w:r w:rsidR="00A40FA4" w:rsidRPr="00BA6738">
        <w:t xml:space="preserve">and a proposal </w:t>
      </w:r>
      <w:r w:rsidR="00CE6F45">
        <w:t>for the</w:t>
      </w:r>
      <w:r w:rsidR="00CE6F45" w:rsidRPr="00BA6738">
        <w:t xml:space="preserve"> </w:t>
      </w:r>
      <w:r w:rsidR="00A40FA4" w:rsidRPr="00BA6738">
        <w:t xml:space="preserve">updating </w:t>
      </w:r>
      <w:r w:rsidR="00CE6F45">
        <w:t xml:space="preserve">of </w:t>
      </w:r>
      <w:r w:rsidR="00A40FA4" w:rsidRPr="00BA6738">
        <w:t xml:space="preserve">a questionnaire of its implementation </w:t>
      </w:r>
      <w:r w:rsidR="00CE6F45">
        <w:t>were</w:t>
      </w:r>
      <w:r w:rsidR="005B6A5E" w:rsidRPr="00BA6738">
        <w:t xml:space="preserve"> </w:t>
      </w:r>
      <w:r w:rsidR="00FC10E9">
        <w:t>issued</w:t>
      </w:r>
      <w:r w:rsidR="00FC10E9" w:rsidRPr="00BA6738">
        <w:t xml:space="preserve"> </w:t>
      </w:r>
      <w:r w:rsidR="005B6A5E" w:rsidRPr="00BA6738">
        <w:t>in 2015 for the fifty-ninth session of SC.3 (ECE/TRANS/SC.3/2015/7).</w:t>
      </w:r>
    </w:p>
    <w:p w:rsidR="00601FAC" w:rsidRDefault="00044FC5" w:rsidP="007674CD">
      <w:pPr>
        <w:pStyle w:val="SingleTxtG"/>
      </w:pPr>
      <w:r w:rsidRPr="00BA6738">
        <w:t>4</w:t>
      </w:r>
      <w:r w:rsidR="00AA0691">
        <w:t>3</w:t>
      </w:r>
      <w:r w:rsidR="007674CD" w:rsidRPr="00BA6738">
        <w:t>.</w:t>
      </w:r>
      <w:r w:rsidR="007674CD" w:rsidRPr="00BA6738">
        <w:tab/>
        <w:t xml:space="preserve">SC.3 regularly considers the status of International Conventions and agreements affecting inland navigation and application of SC.3 resolutions and the secretariat updates the status documents. The current information is </w:t>
      </w:r>
      <w:r w:rsidR="00FC10E9">
        <w:t>issued</w:t>
      </w:r>
      <w:r w:rsidR="00FC10E9" w:rsidRPr="00BA6738">
        <w:t xml:space="preserve"> </w:t>
      </w:r>
      <w:r w:rsidR="007674CD" w:rsidRPr="00BA6738">
        <w:t>in ECE/TRANS/SC.3/2015/13 and ECE/TRANS/SC.3/2015/14 respectively. The status of International Conventions for the period 2011–2015 is shown on Fig</w:t>
      </w:r>
      <w:r w:rsidR="00D32158">
        <w:t>ure</w:t>
      </w:r>
      <w:r w:rsidR="007674CD" w:rsidRPr="00BA6738">
        <w:t xml:space="preserve"> 2.</w:t>
      </w:r>
    </w:p>
    <w:p w:rsidR="001A3A55" w:rsidRDefault="001A3A55" w:rsidP="001A3A55">
      <w:pPr>
        <w:pStyle w:val="SingleTxtG"/>
        <w:keepNext/>
        <w:spacing w:after="0"/>
      </w:pPr>
      <w:r>
        <w:lastRenderedPageBreak/>
        <w:t>Figure 2</w:t>
      </w:r>
    </w:p>
    <w:p w:rsidR="00D32158" w:rsidRPr="001A3A55" w:rsidRDefault="00D32158" w:rsidP="00D32158">
      <w:pPr>
        <w:pStyle w:val="SingleTxtG"/>
        <w:keepNext/>
        <w:rPr>
          <w:b/>
        </w:rPr>
      </w:pPr>
      <w:r w:rsidRPr="001A3A55">
        <w:rPr>
          <w:b/>
        </w:rPr>
        <w:t>Number of International Conventions affecting Inland Navigation and Contracting Parties to them</w:t>
      </w:r>
    </w:p>
    <w:p w:rsidR="007674CD" w:rsidRPr="007674CD" w:rsidRDefault="00601FAC" w:rsidP="007674CD">
      <w:pPr>
        <w:pStyle w:val="SingleTxtG"/>
      </w:pPr>
      <w:r>
        <w:rPr>
          <w:noProof/>
          <w:lang w:val="en-US"/>
        </w:rPr>
        <w:drawing>
          <wp:inline distT="0" distB="0" distL="0" distR="0" wp14:anchorId="57DF8A2B" wp14:editId="35C4758E">
            <wp:extent cx="4616450" cy="259715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9EF" w:rsidRDefault="00AA0691" w:rsidP="000139EF">
      <w:pPr>
        <w:pStyle w:val="SingleTxtG"/>
      </w:pPr>
      <w:r>
        <w:t>44</w:t>
      </w:r>
      <w:r w:rsidR="000139EF" w:rsidRPr="000139EF">
        <w:t>.</w:t>
      </w:r>
      <w:r w:rsidR="000139EF" w:rsidRPr="000139EF">
        <w:tab/>
      </w:r>
      <w:r w:rsidR="00601FAC" w:rsidRPr="000139EF">
        <w:t xml:space="preserve">Particular attention </w:t>
      </w:r>
      <w:r w:rsidR="00FC10E9">
        <w:t>from</w:t>
      </w:r>
      <w:r w:rsidR="007C2DDE">
        <w:t xml:space="preserve"> </w:t>
      </w:r>
      <w:r w:rsidR="007C2DDE" w:rsidRPr="000139EF">
        <w:t xml:space="preserve">member States </w:t>
      </w:r>
      <w:r w:rsidR="00601FAC" w:rsidRPr="000139EF">
        <w:t xml:space="preserve">was given to </w:t>
      </w:r>
      <w:r w:rsidR="00650C24">
        <w:t xml:space="preserve">the </w:t>
      </w:r>
      <w:r w:rsidR="00601FAC" w:rsidRPr="000139EF">
        <w:t xml:space="preserve">application of the Convention on the Measurement of Inland Navigation Vessels </w:t>
      </w:r>
      <w:r w:rsidR="00BA6738" w:rsidRPr="000139EF">
        <w:t xml:space="preserve">at the </w:t>
      </w:r>
      <w:r w:rsidR="000139EF" w:rsidRPr="000139EF">
        <w:t>forty-third session of SC.3/WP.3</w:t>
      </w:r>
      <w:r w:rsidR="00601FAC" w:rsidRPr="000139EF">
        <w:t xml:space="preserve"> (ECE/TRANS/SC.3/WP.3/2013/13)</w:t>
      </w:r>
      <w:r w:rsidR="000139EF" w:rsidRPr="000139EF">
        <w:t xml:space="preserve"> and </w:t>
      </w:r>
      <w:r w:rsidR="00650C24">
        <w:t xml:space="preserve">the </w:t>
      </w:r>
      <w:r w:rsidR="000139EF" w:rsidRPr="000139EF">
        <w:t>Convention on the Registration of Inland Navigation Vessels discussed at the fifty-ninth session of SC.3 (ECE/TRANS/SC.3/WP.3/2015/15).</w:t>
      </w:r>
    </w:p>
    <w:p w:rsidR="000139EF" w:rsidRDefault="00AA0691" w:rsidP="000139EF">
      <w:pPr>
        <w:pStyle w:val="SingleTxtG"/>
      </w:pPr>
      <w:r>
        <w:t>45</w:t>
      </w:r>
      <w:r w:rsidR="000139EF">
        <w:t>.</w:t>
      </w:r>
      <w:r w:rsidR="000139EF">
        <w:tab/>
        <w:t xml:space="preserve">SC.3/WP.3 </w:t>
      </w:r>
      <w:r w:rsidR="007C2DDE">
        <w:t xml:space="preserve">supported a proposal </w:t>
      </w:r>
      <w:r w:rsidR="00FC10E9">
        <w:t>from</w:t>
      </w:r>
      <w:r w:rsidR="007C2DDE">
        <w:t xml:space="preserve"> Serbia to</w:t>
      </w:r>
      <w:r w:rsidR="000139EF">
        <w:t xml:space="preserve"> prepar</w:t>
      </w:r>
      <w:r w:rsidR="007C2DDE">
        <w:t>e</w:t>
      </w:r>
      <w:r w:rsidR="00D32158">
        <w:t xml:space="preserve"> </w:t>
      </w:r>
      <w:r w:rsidR="000139EF">
        <w:t xml:space="preserve">a </w:t>
      </w:r>
      <w:r w:rsidR="00143C0D" w:rsidRPr="00143C0D">
        <w:t xml:space="preserve">UNECE Resolution on </w:t>
      </w:r>
      <w:r w:rsidR="00FC10E9">
        <w:t>p</w:t>
      </w:r>
      <w:r w:rsidR="00FC10E9" w:rsidRPr="00143C0D">
        <w:t>an</w:t>
      </w:r>
      <w:r w:rsidR="00143C0D" w:rsidRPr="00143C0D">
        <w:t>-European Rules on General Average in 2013.</w:t>
      </w:r>
    </w:p>
    <w:p w:rsidR="007869AB" w:rsidRDefault="007869AB" w:rsidP="007869AB">
      <w:pPr>
        <w:pStyle w:val="H1G"/>
      </w:pPr>
      <w:r>
        <w:tab/>
        <w:t>H.</w:t>
      </w:r>
      <w:r>
        <w:tab/>
        <w:t>International conference on inland water transport issues</w:t>
      </w:r>
    </w:p>
    <w:p w:rsidR="00FC43E4" w:rsidRDefault="00AA0691" w:rsidP="007A7BFC">
      <w:pPr>
        <w:spacing w:after="120"/>
        <w:ind w:left="1134" w:right="1134"/>
        <w:jc w:val="both"/>
      </w:pPr>
      <w:r>
        <w:t>46</w:t>
      </w:r>
      <w:r w:rsidR="00143C0D" w:rsidRPr="00143C0D">
        <w:t>.</w:t>
      </w:r>
      <w:r w:rsidR="00143C0D" w:rsidRPr="00143C0D">
        <w:tab/>
      </w:r>
      <w:r w:rsidR="00E641DF">
        <w:t xml:space="preserve">In close cooperation </w:t>
      </w:r>
      <w:r w:rsidR="00CE6F45">
        <w:t>with</w:t>
      </w:r>
      <w:r w:rsidR="00E641DF">
        <w:t xml:space="preserve"> member States, River Commissions and other stakeholders </w:t>
      </w:r>
      <w:r w:rsidR="00143C0D">
        <w:t>SC.3</w:t>
      </w:r>
      <w:r w:rsidR="00143C0D" w:rsidRPr="008C6E75">
        <w:t xml:space="preserve"> </w:t>
      </w:r>
      <w:r w:rsidR="00B52180">
        <w:t>began the</w:t>
      </w:r>
      <w:r w:rsidR="00B52180" w:rsidRPr="008C6E75">
        <w:t xml:space="preserve"> </w:t>
      </w:r>
      <w:r w:rsidR="00143C0D" w:rsidRPr="008C6E75">
        <w:t xml:space="preserve">preparation and organization of a high level international conference for all countries with an interest in inland navigation </w:t>
      </w:r>
      <w:r w:rsidR="001B0FF5">
        <w:t xml:space="preserve">to be held in 2016 </w:t>
      </w:r>
      <w:r w:rsidR="0015608E">
        <w:t xml:space="preserve">– 2017 </w:t>
      </w:r>
      <w:r w:rsidR="00143C0D" w:rsidRPr="008C6E75">
        <w:t xml:space="preserve">as requested by </w:t>
      </w:r>
      <w:r w:rsidR="009173A6">
        <w:t>ITC</w:t>
      </w:r>
      <w:r w:rsidR="00143C0D" w:rsidRPr="008C6E75">
        <w:t xml:space="preserve"> (ECE/TRANS/236, para. 31).</w:t>
      </w:r>
      <w:r w:rsidR="00143C0D">
        <w:t xml:space="preserve"> The </w:t>
      </w:r>
      <w:r w:rsidR="001B0FF5">
        <w:t>follow-up</w:t>
      </w:r>
      <w:r w:rsidR="00143C0D">
        <w:t xml:space="preserve"> </w:t>
      </w:r>
      <w:r w:rsidR="00B52180">
        <w:t xml:space="preserve">to </w:t>
      </w:r>
      <w:r w:rsidR="00143C0D">
        <w:t>the conference</w:t>
      </w:r>
      <w:r w:rsidR="001B0FF5">
        <w:t xml:space="preserve"> and </w:t>
      </w:r>
      <w:r w:rsidR="00B52180">
        <w:t xml:space="preserve">the </w:t>
      </w:r>
      <w:r w:rsidR="001B0FF5">
        <w:t xml:space="preserve">realization of </w:t>
      </w:r>
      <w:r w:rsidR="001B0FF5" w:rsidRPr="001B0FF5">
        <w:t>post-2015 agenda tasks</w:t>
      </w:r>
      <w:r w:rsidR="00143C0D">
        <w:t xml:space="preserve"> </w:t>
      </w:r>
      <w:r w:rsidR="001B0FF5">
        <w:t xml:space="preserve">will contribute to </w:t>
      </w:r>
      <w:r w:rsidR="00D17ACE">
        <w:t xml:space="preserve">the </w:t>
      </w:r>
      <w:r w:rsidR="001B0FF5">
        <w:t>further implementation of Policy Recommendations of the White Paper by SC.3 and SC.3/WP.3.</w:t>
      </w:r>
    </w:p>
    <w:p w:rsidR="001B0FF5" w:rsidRPr="00D32158" w:rsidRDefault="001B0FF5" w:rsidP="00D32158">
      <w:pPr>
        <w:pStyle w:val="SingleTxtG"/>
        <w:spacing w:before="240" w:after="0"/>
        <w:jc w:val="center"/>
        <w:rPr>
          <w:u w:val="single"/>
        </w:rPr>
      </w:pPr>
      <w:r w:rsidRPr="00390168">
        <w:rPr>
          <w:u w:val="single"/>
        </w:rPr>
        <w:tab/>
      </w:r>
      <w:r w:rsidRPr="00390168">
        <w:rPr>
          <w:u w:val="single"/>
        </w:rPr>
        <w:tab/>
      </w:r>
      <w:r w:rsidRPr="00390168">
        <w:rPr>
          <w:u w:val="single"/>
        </w:rPr>
        <w:tab/>
      </w:r>
    </w:p>
    <w:sectPr w:rsidR="001B0FF5" w:rsidRPr="00D32158" w:rsidSect="00190E8E">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F2" w:rsidRDefault="004C53F2"/>
  </w:endnote>
  <w:endnote w:type="continuationSeparator" w:id="0">
    <w:p w:rsidR="004C53F2" w:rsidRDefault="004C53F2"/>
  </w:endnote>
  <w:endnote w:type="continuationNotice" w:id="1">
    <w:p w:rsidR="004C53F2" w:rsidRDefault="004C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E" w:rsidRPr="00190E8E" w:rsidRDefault="00190E8E" w:rsidP="00190E8E">
    <w:pPr>
      <w:pStyle w:val="Footer"/>
      <w:tabs>
        <w:tab w:val="right" w:pos="9638"/>
      </w:tabs>
      <w:rPr>
        <w:sz w:val="18"/>
      </w:rPr>
    </w:pPr>
    <w:r w:rsidRPr="00190E8E">
      <w:rPr>
        <w:b/>
        <w:sz w:val="18"/>
      </w:rPr>
      <w:fldChar w:fldCharType="begin"/>
    </w:r>
    <w:r w:rsidRPr="00190E8E">
      <w:rPr>
        <w:b/>
        <w:sz w:val="18"/>
      </w:rPr>
      <w:instrText xml:space="preserve"> PAGE  \* MERGEFORMAT </w:instrText>
    </w:r>
    <w:r w:rsidRPr="00190E8E">
      <w:rPr>
        <w:b/>
        <w:sz w:val="18"/>
      </w:rPr>
      <w:fldChar w:fldCharType="separate"/>
    </w:r>
    <w:r w:rsidR="006A3CBE">
      <w:rPr>
        <w:b/>
        <w:noProof/>
        <w:sz w:val="18"/>
      </w:rPr>
      <w:t>2</w:t>
    </w:r>
    <w:r w:rsidRPr="00190E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E" w:rsidRPr="00190E8E" w:rsidRDefault="00190E8E" w:rsidP="00190E8E">
    <w:pPr>
      <w:pStyle w:val="Footer"/>
      <w:tabs>
        <w:tab w:val="right" w:pos="9638"/>
      </w:tabs>
      <w:rPr>
        <w:b/>
        <w:sz w:val="18"/>
      </w:rPr>
    </w:pPr>
    <w:r>
      <w:tab/>
    </w:r>
    <w:r w:rsidRPr="00190E8E">
      <w:rPr>
        <w:b/>
        <w:sz w:val="18"/>
      </w:rPr>
      <w:fldChar w:fldCharType="begin"/>
    </w:r>
    <w:r w:rsidRPr="00190E8E">
      <w:rPr>
        <w:b/>
        <w:sz w:val="18"/>
      </w:rPr>
      <w:instrText xml:space="preserve"> PAGE  \* MERGEFORMAT </w:instrText>
    </w:r>
    <w:r w:rsidRPr="00190E8E">
      <w:rPr>
        <w:b/>
        <w:sz w:val="18"/>
      </w:rPr>
      <w:fldChar w:fldCharType="separate"/>
    </w:r>
    <w:r w:rsidR="006A3CBE">
      <w:rPr>
        <w:b/>
        <w:noProof/>
        <w:sz w:val="18"/>
      </w:rPr>
      <w:t>3</w:t>
    </w:r>
    <w:r w:rsidRPr="00190E8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F2" w:rsidRPr="000B175B" w:rsidRDefault="004C53F2" w:rsidP="000B175B">
      <w:pPr>
        <w:tabs>
          <w:tab w:val="right" w:pos="2155"/>
        </w:tabs>
        <w:spacing w:after="80"/>
        <w:ind w:left="680"/>
        <w:rPr>
          <w:u w:val="single"/>
        </w:rPr>
      </w:pPr>
      <w:r>
        <w:rPr>
          <w:u w:val="single"/>
        </w:rPr>
        <w:tab/>
      </w:r>
    </w:p>
  </w:footnote>
  <w:footnote w:type="continuationSeparator" w:id="0">
    <w:p w:rsidR="004C53F2" w:rsidRPr="00FC68B7" w:rsidRDefault="004C53F2" w:rsidP="00FC68B7">
      <w:pPr>
        <w:tabs>
          <w:tab w:val="left" w:pos="2155"/>
        </w:tabs>
        <w:spacing w:after="80"/>
        <w:ind w:left="680"/>
        <w:rPr>
          <w:u w:val="single"/>
        </w:rPr>
      </w:pPr>
      <w:r>
        <w:rPr>
          <w:u w:val="single"/>
        </w:rPr>
        <w:tab/>
      </w:r>
    </w:p>
  </w:footnote>
  <w:footnote w:type="continuationNotice" w:id="1">
    <w:p w:rsidR="004C53F2" w:rsidRDefault="004C5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E" w:rsidRPr="00190E8E" w:rsidRDefault="007F6E82">
    <w:pPr>
      <w:pStyle w:val="Header"/>
    </w:pPr>
    <w:r>
      <w:t>ECE/TRANS/2016/20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E" w:rsidRPr="00190E8E" w:rsidRDefault="001B0FF5" w:rsidP="00190E8E">
    <w:pPr>
      <w:pStyle w:val="Header"/>
      <w:jc w:val="right"/>
    </w:pPr>
    <w:r>
      <w:t>ECE/TRANS/</w:t>
    </w:r>
    <w:r w:rsidR="007F6E82">
      <w:t>2016/20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CB6C9BE"/>
    <w:lvl w:ilvl="0">
      <w:numFmt w:val="bullet"/>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B510F8"/>
    <w:multiLevelType w:val="hybridMultilevel"/>
    <w:tmpl w:val="772EAD6E"/>
    <w:lvl w:ilvl="0" w:tplc="F09655AE">
      <w:start w:val="1"/>
      <w:numFmt w:val="lowerLetter"/>
      <w:lvlText w:val="(%1)"/>
      <w:lvlJc w:val="left"/>
      <w:pPr>
        <w:ind w:left="2049" w:hanging="360"/>
      </w:pPr>
      <w:rPr>
        <w:rFonts w:hint="default"/>
      </w:rPr>
    </w:lvl>
    <w:lvl w:ilvl="1" w:tplc="04190019" w:tentative="1">
      <w:start w:val="1"/>
      <w:numFmt w:val="lowerLetter"/>
      <w:lvlText w:val="%2."/>
      <w:lvlJc w:val="left"/>
      <w:pPr>
        <w:ind w:left="2769" w:hanging="360"/>
      </w:pPr>
    </w:lvl>
    <w:lvl w:ilvl="2" w:tplc="0419001B" w:tentative="1">
      <w:start w:val="1"/>
      <w:numFmt w:val="lowerRoman"/>
      <w:lvlText w:val="%3."/>
      <w:lvlJc w:val="right"/>
      <w:pPr>
        <w:ind w:left="3489" w:hanging="180"/>
      </w:pPr>
    </w:lvl>
    <w:lvl w:ilvl="3" w:tplc="0419000F" w:tentative="1">
      <w:start w:val="1"/>
      <w:numFmt w:val="decimal"/>
      <w:lvlText w:val="%4."/>
      <w:lvlJc w:val="left"/>
      <w:pPr>
        <w:ind w:left="4209" w:hanging="360"/>
      </w:pPr>
    </w:lvl>
    <w:lvl w:ilvl="4" w:tplc="04190019" w:tentative="1">
      <w:start w:val="1"/>
      <w:numFmt w:val="lowerLetter"/>
      <w:lvlText w:val="%5."/>
      <w:lvlJc w:val="left"/>
      <w:pPr>
        <w:ind w:left="4929" w:hanging="360"/>
      </w:pPr>
    </w:lvl>
    <w:lvl w:ilvl="5" w:tplc="0419001B" w:tentative="1">
      <w:start w:val="1"/>
      <w:numFmt w:val="lowerRoman"/>
      <w:lvlText w:val="%6."/>
      <w:lvlJc w:val="right"/>
      <w:pPr>
        <w:ind w:left="5649" w:hanging="180"/>
      </w:pPr>
    </w:lvl>
    <w:lvl w:ilvl="6" w:tplc="0419000F" w:tentative="1">
      <w:start w:val="1"/>
      <w:numFmt w:val="decimal"/>
      <w:lvlText w:val="%7."/>
      <w:lvlJc w:val="left"/>
      <w:pPr>
        <w:ind w:left="6369" w:hanging="360"/>
      </w:pPr>
    </w:lvl>
    <w:lvl w:ilvl="7" w:tplc="04190019" w:tentative="1">
      <w:start w:val="1"/>
      <w:numFmt w:val="lowerLetter"/>
      <w:lvlText w:val="%8."/>
      <w:lvlJc w:val="left"/>
      <w:pPr>
        <w:ind w:left="7089" w:hanging="360"/>
      </w:pPr>
    </w:lvl>
    <w:lvl w:ilvl="8" w:tplc="0419001B" w:tentative="1">
      <w:start w:val="1"/>
      <w:numFmt w:val="lowerRoman"/>
      <w:lvlText w:val="%9."/>
      <w:lvlJc w:val="right"/>
      <w:pPr>
        <w:ind w:left="7809" w:hanging="180"/>
      </w:pPr>
    </w:lvl>
  </w:abstractNum>
  <w:abstractNum w:abstractNumId="18">
    <w:nsid w:val="5A2F06C8"/>
    <w:multiLevelType w:val="hybridMultilevel"/>
    <w:tmpl w:val="CB8AFF76"/>
    <w:lvl w:ilvl="0" w:tplc="AAE6B3C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393C8A"/>
    <w:multiLevelType w:val="hybridMultilevel"/>
    <w:tmpl w:val="FDF43C20"/>
    <w:lvl w:ilvl="0" w:tplc="F820AC6A">
      <w:start w:val="1"/>
      <w:numFmt w:val="lowerLetter"/>
      <w:lvlText w:val="(%1)"/>
      <w:lvlJc w:val="left"/>
      <w:pPr>
        <w:ind w:left="2049" w:hanging="360"/>
      </w:pPr>
      <w:rPr>
        <w:rFonts w:hint="default"/>
      </w:rPr>
    </w:lvl>
    <w:lvl w:ilvl="1" w:tplc="04190019" w:tentative="1">
      <w:start w:val="1"/>
      <w:numFmt w:val="lowerLetter"/>
      <w:lvlText w:val="%2."/>
      <w:lvlJc w:val="left"/>
      <w:pPr>
        <w:ind w:left="2769" w:hanging="360"/>
      </w:pPr>
    </w:lvl>
    <w:lvl w:ilvl="2" w:tplc="0419001B" w:tentative="1">
      <w:start w:val="1"/>
      <w:numFmt w:val="lowerRoman"/>
      <w:lvlText w:val="%3."/>
      <w:lvlJc w:val="right"/>
      <w:pPr>
        <w:ind w:left="3489" w:hanging="180"/>
      </w:pPr>
    </w:lvl>
    <w:lvl w:ilvl="3" w:tplc="0419000F" w:tentative="1">
      <w:start w:val="1"/>
      <w:numFmt w:val="decimal"/>
      <w:lvlText w:val="%4."/>
      <w:lvlJc w:val="left"/>
      <w:pPr>
        <w:ind w:left="4209" w:hanging="360"/>
      </w:pPr>
    </w:lvl>
    <w:lvl w:ilvl="4" w:tplc="04190019" w:tentative="1">
      <w:start w:val="1"/>
      <w:numFmt w:val="lowerLetter"/>
      <w:lvlText w:val="%5."/>
      <w:lvlJc w:val="left"/>
      <w:pPr>
        <w:ind w:left="4929" w:hanging="360"/>
      </w:pPr>
    </w:lvl>
    <w:lvl w:ilvl="5" w:tplc="0419001B" w:tentative="1">
      <w:start w:val="1"/>
      <w:numFmt w:val="lowerRoman"/>
      <w:lvlText w:val="%6."/>
      <w:lvlJc w:val="right"/>
      <w:pPr>
        <w:ind w:left="5649" w:hanging="180"/>
      </w:pPr>
    </w:lvl>
    <w:lvl w:ilvl="6" w:tplc="0419000F" w:tentative="1">
      <w:start w:val="1"/>
      <w:numFmt w:val="decimal"/>
      <w:lvlText w:val="%7."/>
      <w:lvlJc w:val="left"/>
      <w:pPr>
        <w:ind w:left="6369" w:hanging="360"/>
      </w:pPr>
    </w:lvl>
    <w:lvl w:ilvl="7" w:tplc="04190019" w:tentative="1">
      <w:start w:val="1"/>
      <w:numFmt w:val="lowerLetter"/>
      <w:lvlText w:val="%8."/>
      <w:lvlJc w:val="left"/>
      <w:pPr>
        <w:ind w:left="7089" w:hanging="360"/>
      </w:pPr>
    </w:lvl>
    <w:lvl w:ilvl="8" w:tplc="0419001B" w:tentative="1">
      <w:start w:val="1"/>
      <w:numFmt w:val="lowerRoman"/>
      <w:lvlText w:val="%9."/>
      <w:lvlJc w:val="right"/>
      <w:pPr>
        <w:ind w:left="7809" w:hanging="180"/>
      </w:pPr>
    </w:lvl>
  </w:abstractNum>
  <w:abstractNum w:abstractNumId="2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E37DBF"/>
    <w:multiLevelType w:val="hybridMultilevel"/>
    <w:tmpl w:val="56C090FE"/>
    <w:lvl w:ilvl="0" w:tplc="2E7E1044">
      <w:start w:val="3"/>
      <w:numFmt w:val="bullet"/>
      <w:lvlText w:val="-"/>
      <w:lvlJc w:val="left"/>
      <w:pPr>
        <w:ind w:left="2049" w:hanging="360"/>
      </w:pPr>
      <w:rPr>
        <w:rFonts w:ascii="Times New Roman" w:eastAsia="Times New Roman" w:hAnsi="Times New Roman" w:cs="Times New Roman" w:hint="default"/>
      </w:rPr>
    </w:lvl>
    <w:lvl w:ilvl="1" w:tplc="04190003" w:tentative="1">
      <w:start w:val="1"/>
      <w:numFmt w:val="bullet"/>
      <w:lvlText w:val="o"/>
      <w:lvlJc w:val="left"/>
      <w:pPr>
        <w:ind w:left="2769" w:hanging="360"/>
      </w:pPr>
      <w:rPr>
        <w:rFonts w:ascii="Courier New" w:hAnsi="Courier New" w:cs="Courier New" w:hint="default"/>
      </w:rPr>
    </w:lvl>
    <w:lvl w:ilvl="2" w:tplc="04190005" w:tentative="1">
      <w:start w:val="1"/>
      <w:numFmt w:val="bullet"/>
      <w:lvlText w:val=""/>
      <w:lvlJc w:val="left"/>
      <w:pPr>
        <w:ind w:left="3489" w:hanging="360"/>
      </w:pPr>
      <w:rPr>
        <w:rFonts w:ascii="Wingdings" w:hAnsi="Wingdings" w:hint="default"/>
      </w:rPr>
    </w:lvl>
    <w:lvl w:ilvl="3" w:tplc="04190001" w:tentative="1">
      <w:start w:val="1"/>
      <w:numFmt w:val="bullet"/>
      <w:lvlText w:val=""/>
      <w:lvlJc w:val="left"/>
      <w:pPr>
        <w:ind w:left="4209" w:hanging="360"/>
      </w:pPr>
      <w:rPr>
        <w:rFonts w:ascii="Symbol" w:hAnsi="Symbol" w:hint="default"/>
      </w:rPr>
    </w:lvl>
    <w:lvl w:ilvl="4" w:tplc="04190003" w:tentative="1">
      <w:start w:val="1"/>
      <w:numFmt w:val="bullet"/>
      <w:lvlText w:val="o"/>
      <w:lvlJc w:val="left"/>
      <w:pPr>
        <w:ind w:left="4929" w:hanging="360"/>
      </w:pPr>
      <w:rPr>
        <w:rFonts w:ascii="Courier New" w:hAnsi="Courier New" w:cs="Courier New" w:hint="default"/>
      </w:rPr>
    </w:lvl>
    <w:lvl w:ilvl="5" w:tplc="04190005" w:tentative="1">
      <w:start w:val="1"/>
      <w:numFmt w:val="bullet"/>
      <w:lvlText w:val=""/>
      <w:lvlJc w:val="left"/>
      <w:pPr>
        <w:ind w:left="5649" w:hanging="360"/>
      </w:pPr>
      <w:rPr>
        <w:rFonts w:ascii="Wingdings" w:hAnsi="Wingdings" w:hint="default"/>
      </w:rPr>
    </w:lvl>
    <w:lvl w:ilvl="6" w:tplc="04190001" w:tentative="1">
      <w:start w:val="1"/>
      <w:numFmt w:val="bullet"/>
      <w:lvlText w:val=""/>
      <w:lvlJc w:val="left"/>
      <w:pPr>
        <w:ind w:left="6369" w:hanging="360"/>
      </w:pPr>
      <w:rPr>
        <w:rFonts w:ascii="Symbol" w:hAnsi="Symbol" w:hint="default"/>
      </w:rPr>
    </w:lvl>
    <w:lvl w:ilvl="7" w:tplc="04190003" w:tentative="1">
      <w:start w:val="1"/>
      <w:numFmt w:val="bullet"/>
      <w:lvlText w:val="o"/>
      <w:lvlJc w:val="left"/>
      <w:pPr>
        <w:ind w:left="7089" w:hanging="360"/>
      </w:pPr>
      <w:rPr>
        <w:rFonts w:ascii="Courier New" w:hAnsi="Courier New" w:cs="Courier New" w:hint="default"/>
      </w:rPr>
    </w:lvl>
    <w:lvl w:ilvl="8" w:tplc="04190005" w:tentative="1">
      <w:start w:val="1"/>
      <w:numFmt w:val="bullet"/>
      <w:lvlText w:val=""/>
      <w:lvlJc w:val="left"/>
      <w:pPr>
        <w:ind w:left="7809" w:hanging="360"/>
      </w:pPr>
      <w:rPr>
        <w:rFonts w:ascii="Wingdings" w:hAnsi="Wingdings" w:hint="default"/>
      </w:rPr>
    </w:lvl>
  </w:abstractNum>
  <w:abstractNum w:abstractNumId="22">
    <w:nsid w:val="6ABF0167"/>
    <w:multiLevelType w:val="hybridMultilevel"/>
    <w:tmpl w:val="89ECC44C"/>
    <w:lvl w:ilvl="0" w:tplc="2236D156">
      <w:start w:val="201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123DE9"/>
    <w:multiLevelType w:val="hybridMultilevel"/>
    <w:tmpl w:val="B92C5856"/>
    <w:lvl w:ilvl="0" w:tplc="AAE6B3C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20"/>
  </w:num>
  <w:num w:numId="18">
    <w:abstractNumId w:val="23"/>
  </w:num>
  <w:num w:numId="19">
    <w:abstractNumId w:val="24"/>
  </w:num>
  <w:num w:numId="20">
    <w:abstractNumId w:val="18"/>
  </w:num>
  <w:num w:numId="21">
    <w:abstractNumId w:val="22"/>
  </w:num>
  <w:num w:numId="22">
    <w:abstractNumId w:val="10"/>
    <w:lvlOverride w:ilvl="0">
      <w:lvl w:ilvl="0">
        <w:numFmt w:val="bullet"/>
        <w:lvlText w:val=""/>
        <w:legacy w:legacy="1" w:legacySpace="0" w:legacyIndent="0"/>
        <w:lvlJc w:val="left"/>
        <w:rPr>
          <w:rFonts w:ascii="Symbol" w:hAnsi="Symbol" w:hint="default"/>
          <w:sz w:val="22"/>
        </w:rPr>
      </w:lvl>
    </w:lvlOverride>
  </w:num>
  <w:num w:numId="23">
    <w:abstractNumId w:val="17"/>
  </w:num>
  <w:num w:numId="24">
    <w:abstractNumId w:val="19"/>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60"/>
    <w:rsid w:val="000029B3"/>
    <w:rsid w:val="00002A7D"/>
    <w:rsid w:val="000038A8"/>
    <w:rsid w:val="00006790"/>
    <w:rsid w:val="000139EF"/>
    <w:rsid w:val="00027624"/>
    <w:rsid w:val="0003750B"/>
    <w:rsid w:val="00044FC5"/>
    <w:rsid w:val="00050F6B"/>
    <w:rsid w:val="00053AF2"/>
    <w:rsid w:val="000678CD"/>
    <w:rsid w:val="00072C8C"/>
    <w:rsid w:val="0007506D"/>
    <w:rsid w:val="00080DC1"/>
    <w:rsid w:val="00081CE0"/>
    <w:rsid w:val="00084D30"/>
    <w:rsid w:val="00090320"/>
    <w:rsid w:val="000931C0"/>
    <w:rsid w:val="000A2E09"/>
    <w:rsid w:val="000B175B"/>
    <w:rsid w:val="000B3A0F"/>
    <w:rsid w:val="000B47E2"/>
    <w:rsid w:val="000E0415"/>
    <w:rsid w:val="000F7715"/>
    <w:rsid w:val="00101EFC"/>
    <w:rsid w:val="00111701"/>
    <w:rsid w:val="001170DF"/>
    <w:rsid w:val="00143B69"/>
    <w:rsid w:val="00143C0D"/>
    <w:rsid w:val="0015608E"/>
    <w:rsid w:val="00156B99"/>
    <w:rsid w:val="0016585C"/>
    <w:rsid w:val="00166124"/>
    <w:rsid w:val="00166BBF"/>
    <w:rsid w:val="0017481A"/>
    <w:rsid w:val="00176BEC"/>
    <w:rsid w:val="00184DDA"/>
    <w:rsid w:val="001900CD"/>
    <w:rsid w:val="00190E8E"/>
    <w:rsid w:val="001A0452"/>
    <w:rsid w:val="001A3A55"/>
    <w:rsid w:val="001A6BFD"/>
    <w:rsid w:val="001B0FF5"/>
    <w:rsid w:val="001B4B04"/>
    <w:rsid w:val="001B5875"/>
    <w:rsid w:val="001C088D"/>
    <w:rsid w:val="001C4B9C"/>
    <w:rsid w:val="001C6663"/>
    <w:rsid w:val="001C7895"/>
    <w:rsid w:val="001D26DF"/>
    <w:rsid w:val="001E2ED6"/>
    <w:rsid w:val="001F1599"/>
    <w:rsid w:val="001F19C4"/>
    <w:rsid w:val="001F2267"/>
    <w:rsid w:val="00203EF4"/>
    <w:rsid w:val="002043F0"/>
    <w:rsid w:val="00211C9D"/>
    <w:rsid w:val="00211E0B"/>
    <w:rsid w:val="00217892"/>
    <w:rsid w:val="00232575"/>
    <w:rsid w:val="00240CD4"/>
    <w:rsid w:val="00247258"/>
    <w:rsid w:val="00257CAC"/>
    <w:rsid w:val="0026009B"/>
    <w:rsid w:val="002608A9"/>
    <w:rsid w:val="00261F2D"/>
    <w:rsid w:val="0027237A"/>
    <w:rsid w:val="0027459D"/>
    <w:rsid w:val="002974E9"/>
    <w:rsid w:val="002A7F94"/>
    <w:rsid w:val="002B109A"/>
    <w:rsid w:val="002B215E"/>
    <w:rsid w:val="002B5CC9"/>
    <w:rsid w:val="002C6D45"/>
    <w:rsid w:val="002D0914"/>
    <w:rsid w:val="002D0CEB"/>
    <w:rsid w:val="002D0D6F"/>
    <w:rsid w:val="002D6E53"/>
    <w:rsid w:val="002F046D"/>
    <w:rsid w:val="002F0B48"/>
    <w:rsid w:val="002F723D"/>
    <w:rsid w:val="00301764"/>
    <w:rsid w:val="00313961"/>
    <w:rsid w:val="003141B1"/>
    <w:rsid w:val="003229D8"/>
    <w:rsid w:val="00327DF6"/>
    <w:rsid w:val="00336C97"/>
    <w:rsid w:val="00337F88"/>
    <w:rsid w:val="00342432"/>
    <w:rsid w:val="0034314E"/>
    <w:rsid w:val="0035223F"/>
    <w:rsid w:val="00352D4B"/>
    <w:rsid w:val="0035638C"/>
    <w:rsid w:val="003672C4"/>
    <w:rsid w:val="00372050"/>
    <w:rsid w:val="00380F5C"/>
    <w:rsid w:val="00386E3A"/>
    <w:rsid w:val="00394E8D"/>
    <w:rsid w:val="003971F1"/>
    <w:rsid w:val="003A46BB"/>
    <w:rsid w:val="003A4EC7"/>
    <w:rsid w:val="003A7295"/>
    <w:rsid w:val="003B1F60"/>
    <w:rsid w:val="003B4F34"/>
    <w:rsid w:val="003C2CC4"/>
    <w:rsid w:val="003C4C4A"/>
    <w:rsid w:val="003D2D87"/>
    <w:rsid w:val="003D4B23"/>
    <w:rsid w:val="003D795B"/>
    <w:rsid w:val="003E278A"/>
    <w:rsid w:val="003E546F"/>
    <w:rsid w:val="00413520"/>
    <w:rsid w:val="004325CB"/>
    <w:rsid w:val="00440A07"/>
    <w:rsid w:val="00441982"/>
    <w:rsid w:val="00445DD8"/>
    <w:rsid w:val="00452E45"/>
    <w:rsid w:val="00457E7E"/>
    <w:rsid w:val="00462880"/>
    <w:rsid w:val="0046749C"/>
    <w:rsid w:val="00476F24"/>
    <w:rsid w:val="004836F8"/>
    <w:rsid w:val="004A322D"/>
    <w:rsid w:val="004C11F5"/>
    <w:rsid w:val="004C53F2"/>
    <w:rsid w:val="004C55B0"/>
    <w:rsid w:val="004F4DEC"/>
    <w:rsid w:val="004F6BA0"/>
    <w:rsid w:val="00503BEA"/>
    <w:rsid w:val="00504B51"/>
    <w:rsid w:val="00507A85"/>
    <w:rsid w:val="00510778"/>
    <w:rsid w:val="00511975"/>
    <w:rsid w:val="00520D46"/>
    <w:rsid w:val="00523F4A"/>
    <w:rsid w:val="0053151F"/>
    <w:rsid w:val="00533616"/>
    <w:rsid w:val="005357AE"/>
    <w:rsid w:val="00535ABA"/>
    <w:rsid w:val="0053768B"/>
    <w:rsid w:val="005420F2"/>
    <w:rsid w:val="0054285C"/>
    <w:rsid w:val="00543D85"/>
    <w:rsid w:val="00556765"/>
    <w:rsid w:val="00584173"/>
    <w:rsid w:val="00595520"/>
    <w:rsid w:val="005A0F1B"/>
    <w:rsid w:val="005A44B9"/>
    <w:rsid w:val="005B1BA0"/>
    <w:rsid w:val="005B3DB3"/>
    <w:rsid w:val="005B6A5E"/>
    <w:rsid w:val="005C2CB2"/>
    <w:rsid w:val="005C4130"/>
    <w:rsid w:val="005D15CA"/>
    <w:rsid w:val="005D5442"/>
    <w:rsid w:val="005E203B"/>
    <w:rsid w:val="005F3066"/>
    <w:rsid w:val="005F3E61"/>
    <w:rsid w:val="005F4C46"/>
    <w:rsid w:val="00601FAC"/>
    <w:rsid w:val="00602D03"/>
    <w:rsid w:val="00604DDD"/>
    <w:rsid w:val="006115CC"/>
    <w:rsid w:val="00611FC4"/>
    <w:rsid w:val="00612614"/>
    <w:rsid w:val="00617494"/>
    <w:rsid w:val="006176FB"/>
    <w:rsid w:val="00630FCB"/>
    <w:rsid w:val="00640B26"/>
    <w:rsid w:val="00650C24"/>
    <w:rsid w:val="00654ECE"/>
    <w:rsid w:val="00670FDE"/>
    <w:rsid w:val="00673C5B"/>
    <w:rsid w:val="006770B2"/>
    <w:rsid w:val="006832CC"/>
    <w:rsid w:val="0069009B"/>
    <w:rsid w:val="006940E1"/>
    <w:rsid w:val="006A32C9"/>
    <w:rsid w:val="006A3C72"/>
    <w:rsid w:val="006A3CBE"/>
    <w:rsid w:val="006A415F"/>
    <w:rsid w:val="006A7392"/>
    <w:rsid w:val="006B03A1"/>
    <w:rsid w:val="006B4E30"/>
    <w:rsid w:val="006B67D9"/>
    <w:rsid w:val="006B7D21"/>
    <w:rsid w:val="006C5535"/>
    <w:rsid w:val="006C583E"/>
    <w:rsid w:val="006D0589"/>
    <w:rsid w:val="006D5C30"/>
    <w:rsid w:val="006D7263"/>
    <w:rsid w:val="006D7DC1"/>
    <w:rsid w:val="006E4851"/>
    <w:rsid w:val="006E564B"/>
    <w:rsid w:val="006E7154"/>
    <w:rsid w:val="007003CD"/>
    <w:rsid w:val="0070701E"/>
    <w:rsid w:val="00723992"/>
    <w:rsid w:val="00723F02"/>
    <w:rsid w:val="0072632A"/>
    <w:rsid w:val="007358E8"/>
    <w:rsid w:val="00736ECE"/>
    <w:rsid w:val="0074533B"/>
    <w:rsid w:val="007533ED"/>
    <w:rsid w:val="007643BC"/>
    <w:rsid w:val="007674CD"/>
    <w:rsid w:val="00777985"/>
    <w:rsid w:val="00786128"/>
    <w:rsid w:val="007869AB"/>
    <w:rsid w:val="007959FE"/>
    <w:rsid w:val="00796420"/>
    <w:rsid w:val="007A0CF1"/>
    <w:rsid w:val="007A7291"/>
    <w:rsid w:val="007A7BFC"/>
    <w:rsid w:val="007B6BA5"/>
    <w:rsid w:val="007C2DDE"/>
    <w:rsid w:val="007C3390"/>
    <w:rsid w:val="007C42D8"/>
    <w:rsid w:val="007C49D6"/>
    <w:rsid w:val="007C4F4B"/>
    <w:rsid w:val="007D7362"/>
    <w:rsid w:val="007E4528"/>
    <w:rsid w:val="007E65D5"/>
    <w:rsid w:val="007F31D3"/>
    <w:rsid w:val="007F5CE2"/>
    <w:rsid w:val="007F6611"/>
    <w:rsid w:val="007F6E82"/>
    <w:rsid w:val="00810BAC"/>
    <w:rsid w:val="008175E9"/>
    <w:rsid w:val="00823F04"/>
    <w:rsid w:val="008242D7"/>
    <w:rsid w:val="0082577B"/>
    <w:rsid w:val="00825D0F"/>
    <w:rsid w:val="008360C7"/>
    <w:rsid w:val="00866893"/>
    <w:rsid w:val="00866F02"/>
    <w:rsid w:val="00867D18"/>
    <w:rsid w:val="00871F9A"/>
    <w:rsid w:val="00871FD5"/>
    <w:rsid w:val="00874DE2"/>
    <w:rsid w:val="0088172E"/>
    <w:rsid w:val="00881D4F"/>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535B"/>
    <w:rsid w:val="009173A6"/>
    <w:rsid w:val="00923969"/>
    <w:rsid w:val="00926E47"/>
    <w:rsid w:val="0093034A"/>
    <w:rsid w:val="00946F7D"/>
    <w:rsid w:val="00947162"/>
    <w:rsid w:val="00950B1E"/>
    <w:rsid w:val="009610D0"/>
    <w:rsid w:val="0096375C"/>
    <w:rsid w:val="009662E6"/>
    <w:rsid w:val="0097095E"/>
    <w:rsid w:val="0098592B"/>
    <w:rsid w:val="00985FC4"/>
    <w:rsid w:val="00990766"/>
    <w:rsid w:val="00991261"/>
    <w:rsid w:val="009964C4"/>
    <w:rsid w:val="009A372F"/>
    <w:rsid w:val="009A4BDB"/>
    <w:rsid w:val="009A7B81"/>
    <w:rsid w:val="009D01C0"/>
    <w:rsid w:val="009D081E"/>
    <w:rsid w:val="009D6A08"/>
    <w:rsid w:val="009E0A16"/>
    <w:rsid w:val="009E4D0B"/>
    <w:rsid w:val="009E6CB7"/>
    <w:rsid w:val="009E7970"/>
    <w:rsid w:val="009F2EAC"/>
    <w:rsid w:val="009F57E3"/>
    <w:rsid w:val="009F7B95"/>
    <w:rsid w:val="00A10F4F"/>
    <w:rsid w:val="00A11067"/>
    <w:rsid w:val="00A1704A"/>
    <w:rsid w:val="00A1741B"/>
    <w:rsid w:val="00A23D0E"/>
    <w:rsid w:val="00A27DA6"/>
    <w:rsid w:val="00A40FA4"/>
    <w:rsid w:val="00A425EB"/>
    <w:rsid w:val="00A42D5D"/>
    <w:rsid w:val="00A44BCB"/>
    <w:rsid w:val="00A52EF0"/>
    <w:rsid w:val="00A553CA"/>
    <w:rsid w:val="00A56148"/>
    <w:rsid w:val="00A61551"/>
    <w:rsid w:val="00A678B3"/>
    <w:rsid w:val="00A72F22"/>
    <w:rsid w:val="00A733BC"/>
    <w:rsid w:val="00A748A6"/>
    <w:rsid w:val="00A76A69"/>
    <w:rsid w:val="00A8131B"/>
    <w:rsid w:val="00A82A63"/>
    <w:rsid w:val="00A879A4"/>
    <w:rsid w:val="00A93B8A"/>
    <w:rsid w:val="00AA0691"/>
    <w:rsid w:val="00AA0FF8"/>
    <w:rsid w:val="00AA1112"/>
    <w:rsid w:val="00AA12CC"/>
    <w:rsid w:val="00AA54CE"/>
    <w:rsid w:val="00AB505E"/>
    <w:rsid w:val="00AC0F2C"/>
    <w:rsid w:val="00AC502A"/>
    <w:rsid w:val="00AD364D"/>
    <w:rsid w:val="00AE550A"/>
    <w:rsid w:val="00AF4098"/>
    <w:rsid w:val="00AF58C1"/>
    <w:rsid w:val="00B04A3F"/>
    <w:rsid w:val="00B06643"/>
    <w:rsid w:val="00B15055"/>
    <w:rsid w:val="00B152F4"/>
    <w:rsid w:val="00B16A24"/>
    <w:rsid w:val="00B21794"/>
    <w:rsid w:val="00B30179"/>
    <w:rsid w:val="00B30644"/>
    <w:rsid w:val="00B37B15"/>
    <w:rsid w:val="00B45C02"/>
    <w:rsid w:val="00B52180"/>
    <w:rsid w:val="00B63D62"/>
    <w:rsid w:val="00B678CC"/>
    <w:rsid w:val="00B72A1E"/>
    <w:rsid w:val="00B81E12"/>
    <w:rsid w:val="00B827B4"/>
    <w:rsid w:val="00B83F28"/>
    <w:rsid w:val="00B97A8F"/>
    <w:rsid w:val="00BA339B"/>
    <w:rsid w:val="00BA6738"/>
    <w:rsid w:val="00BC0F09"/>
    <w:rsid w:val="00BC1E7E"/>
    <w:rsid w:val="00BC53C3"/>
    <w:rsid w:val="00BC74E9"/>
    <w:rsid w:val="00BC7F91"/>
    <w:rsid w:val="00BE36A9"/>
    <w:rsid w:val="00BE618E"/>
    <w:rsid w:val="00BE6F7C"/>
    <w:rsid w:val="00BE7BEC"/>
    <w:rsid w:val="00BF0A5A"/>
    <w:rsid w:val="00BF0E63"/>
    <w:rsid w:val="00BF12A3"/>
    <w:rsid w:val="00BF16D7"/>
    <w:rsid w:val="00BF2373"/>
    <w:rsid w:val="00C0356B"/>
    <w:rsid w:val="00C044E2"/>
    <w:rsid w:val="00C048CB"/>
    <w:rsid w:val="00C066F3"/>
    <w:rsid w:val="00C06A93"/>
    <w:rsid w:val="00C17B4C"/>
    <w:rsid w:val="00C27F4F"/>
    <w:rsid w:val="00C31FDE"/>
    <w:rsid w:val="00C3791C"/>
    <w:rsid w:val="00C40888"/>
    <w:rsid w:val="00C43109"/>
    <w:rsid w:val="00C463DD"/>
    <w:rsid w:val="00C745C3"/>
    <w:rsid w:val="00C76446"/>
    <w:rsid w:val="00C93987"/>
    <w:rsid w:val="00CA24A4"/>
    <w:rsid w:val="00CB2A18"/>
    <w:rsid w:val="00CB348D"/>
    <w:rsid w:val="00CB4213"/>
    <w:rsid w:val="00CB575A"/>
    <w:rsid w:val="00CC0240"/>
    <w:rsid w:val="00CD0479"/>
    <w:rsid w:val="00CD46F5"/>
    <w:rsid w:val="00CE4A8F"/>
    <w:rsid w:val="00CE6F45"/>
    <w:rsid w:val="00CF071D"/>
    <w:rsid w:val="00D003CD"/>
    <w:rsid w:val="00D00D06"/>
    <w:rsid w:val="00D06711"/>
    <w:rsid w:val="00D06D9A"/>
    <w:rsid w:val="00D15B04"/>
    <w:rsid w:val="00D17ACE"/>
    <w:rsid w:val="00D2031B"/>
    <w:rsid w:val="00D230D6"/>
    <w:rsid w:val="00D25FE2"/>
    <w:rsid w:val="00D31C65"/>
    <w:rsid w:val="00D32158"/>
    <w:rsid w:val="00D371CB"/>
    <w:rsid w:val="00D37DA9"/>
    <w:rsid w:val="00D406A7"/>
    <w:rsid w:val="00D43252"/>
    <w:rsid w:val="00D44D86"/>
    <w:rsid w:val="00D44F9B"/>
    <w:rsid w:val="00D50B7D"/>
    <w:rsid w:val="00D52012"/>
    <w:rsid w:val="00D704E5"/>
    <w:rsid w:val="00D72727"/>
    <w:rsid w:val="00D75ED3"/>
    <w:rsid w:val="00D80B2C"/>
    <w:rsid w:val="00D85E60"/>
    <w:rsid w:val="00D8767E"/>
    <w:rsid w:val="00D94C84"/>
    <w:rsid w:val="00D956CC"/>
    <w:rsid w:val="00D978C6"/>
    <w:rsid w:val="00DA0956"/>
    <w:rsid w:val="00DA1F01"/>
    <w:rsid w:val="00DA357F"/>
    <w:rsid w:val="00DA3E12"/>
    <w:rsid w:val="00DA72BA"/>
    <w:rsid w:val="00DB168C"/>
    <w:rsid w:val="00DB65A9"/>
    <w:rsid w:val="00DC18AD"/>
    <w:rsid w:val="00DD0DE5"/>
    <w:rsid w:val="00DD1A10"/>
    <w:rsid w:val="00DD31BC"/>
    <w:rsid w:val="00DD3B76"/>
    <w:rsid w:val="00DE4DCD"/>
    <w:rsid w:val="00DF7CAE"/>
    <w:rsid w:val="00E16B2E"/>
    <w:rsid w:val="00E37315"/>
    <w:rsid w:val="00E41A4D"/>
    <w:rsid w:val="00E423C0"/>
    <w:rsid w:val="00E52318"/>
    <w:rsid w:val="00E6414C"/>
    <w:rsid w:val="00E641DF"/>
    <w:rsid w:val="00E70CB7"/>
    <w:rsid w:val="00E7120B"/>
    <w:rsid w:val="00E7260F"/>
    <w:rsid w:val="00E8702D"/>
    <w:rsid w:val="00E916A9"/>
    <w:rsid w:val="00E916DE"/>
    <w:rsid w:val="00E925AD"/>
    <w:rsid w:val="00E96630"/>
    <w:rsid w:val="00E96EB4"/>
    <w:rsid w:val="00E976E4"/>
    <w:rsid w:val="00E97949"/>
    <w:rsid w:val="00ED18DC"/>
    <w:rsid w:val="00ED41A9"/>
    <w:rsid w:val="00ED6201"/>
    <w:rsid w:val="00ED7A2A"/>
    <w:rsid w:val="00EE4D13"/>
    <w:rsid w:val="00EE5522"/>
    <w:rsid w:val="00EE5813"/>
    <w:rsid w:val="00EF118C"/>
    <w:rsid w:val="00EF1D7F"/>
    <w:rsid w:val="00EF7CBA"/>
    <w:rsid w:val="00F0137E"/>
    <w:rsid w:val="00F06282"/>
    <w:rsid w:val="00F10749"/>
    <w:rsid w:val="00F14777"/>
    <w:rsid w:val="00F209DB"/>
    <w:rsid w:val="00F21786"/>
    <w:rsid w:val="00F25E32"/>
    <w:rsid w:val="00F25F1E"/>
    <w:rsid w:val="00F3742B"/>
    <w:rsid w:val="00F41FDB"/>
    <w:rsid w:val="00F42F92"/>
    <w:rsid w:val="00F507EC"/>
    <w:rsid w:val="00F53AB6"/>
    <w:rsid w:val="00F56675"/>
    <w:rsid w:val="00F56D63"/>
    <w:rsid w:val="00F609A9"/>
    <w:rsid w:val="00F80C99"/>
    <w:rsid w:val="00F82A39"/>
    <w:rsid w:val="00F867EC"/>
    <w:rsid w:val="00F91B2B"/>
    <w:rsid w:val="00FA2D60"/>
    <w:rsid w:val="00FB395D"/>
    <w:rsid w:val="00FC03CD"/>
    <w:rsid w:val="00FC0646"/>
    <w:rsid w:val="00FC10E9"/>
    <w:rsid w:val="00FC43E4"/>
    <w:rsid w:val="00FC68B7"/>
    <w:rsid w:val="00FE3423"/>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tabs>
        <w:tab w:val="clear" w:pos="1871"/>
        <w:tab w:val="num" w:pos="1701"/>
      </w:tabs>
      <w:spacing w:after="120"/>
      <w:ind w:left="1701"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locked/>
    <w:rsid w:val="007F31D3"/>
    <w:rPr>
      <w:lang w:eastAsia="en-US"/>
    </w:rPr>
  </w:style>
  <w:style w:type="paragraph" w:styleId="ListParagraph">
    <w:name w:val="List Paragraph"/>
    <w:basedOn w:val="Normal"/>
    <w:uiPriority w:val="34"/>
    <w:qFormat/>
    <w:rsid w:val="007F31D3"/>
    <w:pPr>
      <w:ind w:left="720"/>
      <w:contextualSpacing/>
    </w:pPr>
    <w:rPr>
      <w:lang w:eastAsia="en-GB"/>
    </w:rPr>
  </w:style>
  <w:style w:type="paragraph" w:customStyle="1" w:styleId="Default">
    <w:name w:val="Default"/>
    <w:rsid w:val="007F31D3"/>
    <w:pPr>
      <w:autoSpaceDE w:val="0"/>
      <w:autoSpaceDN w:val="0"/>
      <w:adjustRightInd w:val="0"/>
    </w:pPr>
    <w:rPr>
      <w:color w:val="000000"/>
      <w:sz w:val="24"/>
      <w:szCs w:val="24"/>
    </w:rPr>
  </w:style>
  <w:style w:type="character" w:customStyle="1" w:styleId="H1GChar">
    <w:name w:val="_ H_1_G Char"/>
    <w:basedOn w:val="DefaultParagraphFont"/>
    <w:link w:val="H1G"/>
    <w:locked/>
    <w:rsid w:val="001E2ED6"/>
    <w:rPr>
      <w:b/>
      <w:sz w:val="24"/>
      <w:lang w:eastAsia="en-US"/>
    </w:rPr>
  </w:style>
  <w:style w:type="paragraph" w:customStyle="1" w:styleId="bodytext">
    <w:name w:val="bodytext"/>
    <w:basedOn w:val="Normal"/>
    <w:rsid w:val="00E37315"/>
    <w:pPr>
      <w:suppressAutoHyphens w:val="0"/>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rsid w:val="00E37315"/>
  </w:style>
  <w:style w:type="paragraph" w:styleId="NormalWeb">
    <w:name w:val="Normal (Web)"/>
    <w:basedOn w:val="Normal"/>
    <w:uiPriority w:val="99"/>
    <w:semiHidden/>
    <w:unhideWhenUsed/>
    <w:rsid w:val="00D06711"/>
    <w:pPr>
      <w:suppressAutoHyphens w:val="0"/>
      <w:spacing w:before="100" w:beforeAutospacing="1" w:after="100" w:afterAutospacing="1" w:line="240" w:lineRule="auto"/>
    </w:pPr>
    <w:rPr>
      <w:sz w:val="24"/>
      <w:szCs w:val="24"/>
      <w:lang w:eastAsia="en-GB"/>
    </w:rPr>
  </w:style>
  <w:style w:type="paragraph" w:customStyle="1" w:styleId="tbl-txt2">
    <w:name w:val="tbl-txt2"/>
    <w:basedOn w:val="Normal"/>
    <w:rsid w:val="0093034A"/>
    <w:pPr>
      <w:suppressAutoHyphens w:val="0"/>
      <w:spacing w:before="60" w:after="60" w:line="312" w:lineRule="atLeast"/>
    </w:pPr>
    <w:rPr>
      <w:sz w:val="22"/>
      <w:szCs w:val="22"/>
      <w:lang w:eastAsia="en-GB"/>
    </w:rPr>
  </w:style>
  <w:style w:type="paragraph" w:customStyle="1" w:styleId="doc-ti2">
    <w:name w:val="doc-ti2"/>
    <w:basedOn w:val="Normal"/>
    <w:rsid w:val="0093034A"/>
    <w:pPr>
      <w:suppressAutoHyphens w:val="0"/>
      <w:spacing w:before="240" w:after="120" w:line="312" w:lineRule="atLeast"/>
      <w:jc w:val="center"/>
    </w:pPr>
    <w:rPr>
      <w:b/>
      <w:bCs/>
      <w:sz w:val="24"/>
      <w:szCs w:val="24"/>
      <w:lang w:eastAsia="en-GB"/>
    </w:rPr>
  </w:style>
  <w:style w:type="paragraph" w:customStyle="1" w:styleId="ti-art2">
    <w:name w:val="ti-art2"/>
    <w:basedOn w:val="Normal"/>
    <w:rsid w:val="0093034A"/>
    <w:pPr>
      <w:suppressAutoHyphens w:val="0"/>
      <w:spacing w:before="360" w:after="120" w:line="312" w:lineRule="atLeast"/>
      <w:jc w:val="center"/>
    </w:pPr>
    <w:rPr>
      <w:i/>
      <w:iCs/>
      <w:sz w:val="24"/>
      <w:szCs w:val="24"/>
      <w:lang w:eastAsia="en-GB"/>
    </w:rPr>
  </w:style>
  <w:style w:type="paragraph" w:customStyle="1" w:styleId="sti-art2">
    <w:name w:val="sti-art2"/>
    <w:basedOn w:val="Normal"/>
    <w:rsid w:val="0093034A"/>
    <w:pPr>
      <w:suppressAutoHyphens w:val="0"/>
      <w:spacing w:before="60" w:after="120" w:line="312" w:lineRule="atLeast"/>
      <w:jc w:val="center"/>
    </w:pPr>
    <w:rPr>
      <w:b/>
      <w:bCs/>
      <w:sz w:val="24"/>
      <w:szCs w:val="24"/>
      <w:lang w:eastAsia="en-GB"/>
    </w:rPr>
  </w:style>
  <w:style w:type="paragraph" w:customStyle="1" w:styleId="normal2">
    <w:name w:val="normal2"/>
    <w:basedOn w:val="Normal"/>
    <w:rsid w:val="0093034A"/>
    <w:pPr>
      <w:suppressAutoHyphens w:val="0"/>
      <w:spacing w:before="120" w:line="312" w:lineRule="atLeast"/>
      <w:jc w:val="both"/>
    </w:pPr>
    <w:rPr>
      <w:sz w:val="24"/>
      <w:szCs w:val="24"/>
      <w:lang w:eastAsia="en-GB"/>
    </w:rPr>
  </w:style>
  <w:style w:type="character" w:customStyle="1" w:styleId="super">
    <w:name w:val="super"/>
    <w:basedOn w:val="DefaultParagraphFont"/>
    <w:rsid w:val="0093034A"/>
    <w:rPr>
      <w:sz w:val="17"/>
      <w:szCs w:val="17"/>
      <w:vertAlign w:val="superscript"/>
    </w:rPr>
  </w:style>
  <w:style w:type="character" w:styleId="CommentReference">
    <w:name w:val="annotation reference"/>
    <w:basedOn w:val="DefaultParagraphFont"/>
    <w:semiHidden/>
    <w:unhideWhenUsed/>
    <w:rsid w:val="00B97A8F"/>
    <w:rPr>
      <w:sz w:val="16"/>
      <w:szCs w:val="16"/>
    </w:rPr>
  </w:style>
  <w:style w:type="paragraph" w:styleId="CommentText">
    <w:name w:val="annotation text"/>
    <w:basedOn w:val="Normal"/>
    <w:link w:val="CommentTextChar"/>
    <w:semiHidden/>
    <w:unhideWhenUsed/>
    <w:rsid w:val="00B97A8F"/>
    <w:pPr>
      <w:spacing w:line="240" w:lineRule="auto"/>
    </w:pPr>
  </w:style>
  <w:style w:type="character" w:customStyle="1" w:styleId="CommentTextChar">
    <w:name w:val="Comment Text Char"/>
    <w:basedOn w:val="DefaultParagraphFont"/>
    <w:link w:val="CommentText"/>
    <w:semiHidden/>
    <w:rsid w:val="00B97A8F"/>
    <w:rPr>
      <w:lang w:eastAsia="en-US"/>
    </w:rPr>
  </w:style>
  <w:style w:type="paragraph" w:styleId="CommentSubject">
    <w:name w:val="annotation subject"/>
    <w:basedOn w:val="CommentText"/>
    <w:next w:val="CommentText"/>
    <w:link w:val="CommentSubjectChar"/>
    <w:semiHidden/>
    <w:unhideWhenUsed/>
    <w:rsid w:val="00B97A8F"/>
    <w:rPr>
      <w:b/>
      <w:bCs/>
    </w:rPr>
  </w:style>
  <w:style w:type="character" w:customStyle="1" w:styleId="CommentSubjectChar">
    <w:name w:val="Comment Subject Char"/>
    <w:basedOn w:val="CommentTextChar"/>
    <w:link w:val="CommentSubject"/>
    <w:semiHidden/>
    <w:rsid w:val="00B97A8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tabs>
        <w:tab w:val="clear" w:pos="1871"/>
        <w:tab w:val="num" w:pos="1701"/>
      </w:tabs>
      <w:spacing w:after="120"/>
      <w:ind w:left="1701"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locked/>
    <w:rsid w:val="007F31D3"/>
    <w:rPr>
      <w:lang w:eastAsia="en-US"/>
    </w:rPr>
  </w:style>
  <w:style w:type="paragraph" w:styleId="ListParagraph">
    <w:name w:val="List Paragraph"/>
    <w:basedOn w:val="Normal"/>
    <w:uiPriority w:val="34"/>
    <w:qFormat/>
    <w:rsid w:val="007F31D3"/>
    <w:pPr>
      <w:ind w:left="720"/>
      <w:contextualSpacing/>
    </w:pPr>
    <w:rPr>
      <w:lang w:eastAsia="en-GB"/>
    </w:rPr>
  </w:style>
  <w:style w:type="paragraph" w:customStyle="1" w:styleId="Default">
    <w:name w:val="Default"/>
    <w:rsid w:val="007F31D3"/>
    <w:pPr>
      <w:autoSpaceDE w:val="0"/>
      <w:autoSpaceDN w:val="0"/>
      <w:adjustRightInd w:val="0"/>
    </w:pPr>
    <w:rPr>
      <w:color w:val="000000"/>
      <w:sz w:val="24"/>
      <w:szCs w:val="24"/>
    </w:rPr>
  </w:style>
  <w:style w:type="character" w:customStyle="1" w:styleId="H1GChar">
    <w:name w:val="_ H_1_G Char"/>
    <w:basedOn w:val="DefaultParagraphFont"/>
    <w:link w:val="H1G"/>
    <w:locked/>
    <w:rsid w:val="001E2ED6"/>
    <w:rPr>
      <w:b/>
      <w:sz w:val="24"/>
      <w:lang w:eastAsia="en-US"/>
    </w:rPr>
  </w:style>
  <w:style w:type="paragraph" w:customStyle="1" w:styleId="bodytext">
    <w:name w:val="bodytext"/>
    <w:basedOn w:val="Normal"/>
    <w:rsid w:val="00E37315"/>
    <w:pPr>
      <w:suppressAutoHyphens w:val="0"/>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rsid w:val="00E37315"/>
  </w:style>
  <w:style w:type="paragraph" w:styleId="NormalWeb">
    <w:name w:val="Normal (Web)"/>
    <w:basedOn w:val="Normal"/>
    <w:uiPriority w:val="99"/>
    <w:semiHidden/>
    <w:unhideWhenUsed/>
    <w:rsid w:val="00D06711"/>
    <w:pPr>
      <w:suppressAutoHyphens w:val="0"/>
      <w:spacing w:before="100" w:beforeAutospacing="1" w:after="100" w:afterAutospacing="1" w:line="240" w:lineRule="auto"/>
    </w:pPr>
    <w:rPr>
      <w:sz w:val="24"/>
      <w:szCs w:val="24"/>
      <w:lang w:eastAsia="en-GB"/>
    </w:rPr>
  </w:style>
  <w:style w:type="paragraph" w:customStyle="1" w:styleId="tbl-txt2">
    <w:name w:val="tbl-txt2"/>
    <w:basedOn w:val="Normal"/>
    <w:rsid w:val="0093034A"/>
    <w:pPr>
      <w:suppressAutoHyphens w:val="0"/>
      <w:spacing w:before="60" w:after="60" w:line="312" w:lineRule="atLeast"/>
    </w:pPr>
    <w:rPr>
      <w:sz w:val="22"/>
      <w:szCs w:val="22"/>
      <w:lang w:eastAsia="en-GB"/>
    </w:rPr>
  </w:style>
  <w:style w:type="paragraph" w:customStyle="1" w:styleId="doc-ti2">
    <w:name w:val="doc-ti2"/>
    <w:basedOn w:val="Normal"/>
    <w:rsid w:val="0093034A"/>
    <w:pPr>
      <w:suppressAutoHyphens w:val="0"/>
      <w:spacing w:before="240" w:after="120" w:line="312" w:lineRule="atLeast"/>
      <w:jc w:val="center"/>
    </w:pPr>
    <w:rPr>
      <w:b/>
      <w:bCs/>
      <w:sz w:val="24"/>
      <w:szCs w:val="24"/>
      <w:lang w:eastAsia="en-GB"/>
    </w:rPr>
  </w:style>
  <w:style w:type="paragraph" w:customStyle="1" w:styleId="ti-art2">
    <w:name w:val="ti-art2"/>
    <w:basedOn w:val="Normal"/>
    <w:rsid w:val="0093034A"/>
    <w:pPr>
      <w:suppressAutoHyphens w:val="0"/>
      <w:spacing w:before="360" w:after="120" w:line="312" w:lineRule="atLeast"/>
      <w:jc w:val="center"/>
    </w:pPr>
    <w:rPr>
      <w:i/>
      <w:iCs/>
      <w:sz w:val="24"/>
      <w:szCs w:val="24"/>
      <w:lang w:eastAsia="en-GB"/>
    </w:rPr>
  </w:style>
  <w:style w:type="paragraph" w:customStyle="1" w:styleId="sti-art2">
    <w:name w:val="sti-art2"/>
    <w:basedOn w:val="Normal"/>
    <w:rsid w:val="0093034A"/>
    <w:pPr>
      <w:suppressAutoHyphens w:val="0"/>
      <w:spacing w:before="60" w:after="120" w:line="312" w:lineRule="atLeast"/>
      <w:jc w:val="center"/>
    </w:pPr>
    <w:rPr>
      <w:b/>
      <w:bCs/>
      <w:sz w:val="24"/>
      <w:szCs w:val="24"/>
      <w:lang w:eastAsia="en-GB"/>
    </w:rPr>
  </w:style>
  <w:style w:type="paragraph" w:customStyle="1" w:styleId="normal2">
    <w:name w:val="normal2"/>
    <w:basedOn w:val="Normal"/>
    <w:rsid w:val="0093034A"/>
    <w:pPr>
      <w:suppressAutoHyphens w:val="0"/>
      <w:spacing w:before="120" w:line="312" w:lineRule="atLeast"/>
      <w:jc w:val="both"/>
    </w:pPr>
    <w:rPr>
      <w:sz w:val="24"/>
      <w:szCs w:val="24"/>
      <w:lang w:eastAsia="en-GB"/>
    </w:rPr>
  </w:style>
  <w:style w:type="character" w:customStyle="1" w:styleId="super">
    <w:name w:val="super"/>
    <w:basedOn w:val="DefaultParagraphFont"/>
    <w:rsid w:val="0093034A"/>
    <w:rPr>
      <w:sz w:val="17"/>
      <w:szCs w:val="17"/>
      <w:vertAlign w:val="superscript"/>
    </w:rPr>
  </w:style>
  <w:style w:type="character" w:styleId="CommentReference">
    <w:name w:val="annotation reference"/>
    <w:basedOn w:val="DefaultParagraphFont"/>
    <w:semiHidden/>
    <w:unhideWhenUsed/>
    <w:rsid w:val="00B97A8F"/>
    <w:rPr>
      <w:sz w:val="16"/>
      <w:szCs w:val="16"/>
    </w:rPr>
  </w:style>
  <w:style w:type="paragraph" w:styleId="CommentText">
    <w:name w:val="annotation text"/>
    <w:basedOn w:val="Normal"/>
    <w:link w:val="CommentTextChar"/>
    <w:semiHidden/>
    <w:unhideWhenUsed/>
    <w:rsid w:val="00B97A8F"/>
    <w:pPr>
      <w:spacing w:line="240" w:lineRule="auto"/>
    </w:pPr>
  </w:style>
  <w:style w:type="character" w:customStyle="1" w:styleId="CommentTextChar">
    <w:name w:val="Comment Text Char"/>
    <w:basedOn w:val="DefaultParagraphFont"/>
    <w:link w:val="CommentText"/>
    <w:semiHidden/>
    <w:rsid w:val="00B97A8F"/>
    <w:rPr>
      <w:lang w:eastAsia="en-US"/>
    </w:rPr>
  </w:style>
  <w:style w:type="paragraph" w:styleId="CommentSubject">
    <w:name w:val="annotation subject"/>
    <w:basedOn w:val="CommentText"/>
    <w:next w:val="CommentText"/>
    <w:link w:val="CommentSubjectChar"/>
    <w:semiHidden/>
    <w:unhideWhenUsed/>
    <w:rsid w:val="00B97A8F"/>
    <w:rPr>
      <w:b/>
      <w:bCs/>
    </w:rPr>
  </w:style>
  <w:style w:type="character" w:customStyle="1" w:styleId="CommentSubjectChar">
    <w:name w:val="Comment Subject Char"/>
    <w:basedOn w:val="CommentTextChar"/>
    <w:link w:val="CommentSubject"/>
    <w:semiHidden/>
    <w:rsid w:val="00B97A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10">
      <w:bodyDiv w:val="1"/>
      <w:marLeft w:val="0"/>
      <w:marRight w:val="0"/>
      <w:marTop w:val="0"/>
      <w:marBottom w:val="0"/>
      <w:divBdr>
        <w:top w:val="none" w:sz="0" w:space="0" w:color="auto"/>
        <w:left w:val="none" w:sz="0" w:space="0" w:color="auto"/>
        <w:bottom w:val="none" w:sz="0" w:space="0" w:color="auto"/>
        <w:right w:val="none" w:sz="0" w:space="0" w:color="auto"/>
      </w:divBdr>
      <w:divsChild>
        <w:div w:id="1847935988">
          <w:marLeft w:val="0"/>
          <w:marRight w:val="0"/>
          <w:marTop w:val="0"/>
          <w:marBottom w:val="0"/>
          <w:divBdr>
            <w:top w:val="none" w:sz="0" w:space="0" w:color="auto"/>
            <w:left w:val="none" w:sz="0" w:space="0" w:color="auto"/>
            <w:bottom w:val="none" w:sz="0" w:space="0" w:color="auto"/>
            <w:right w:val="none" w:sz="0" w:space="0" w:color="auto"/>
          </w:divBdr>
          <w:divsChild>
            <w:div w:id="1332098154">
              <w:marLeft w:val="0"/>
              <w:marRight w:val="0"/>
              <w:marTop w:val="0"/>
              <w:marBottom w:val="0"/>
              <w:divBdr>
                <w:top w:val="none" w:sz="0" w:space="0" w:color="auto"/>
                <w:left w:val="none" w:sz="0" w:space="0" w:color="auto"/>
                <w:bottom w:val="none" w:sz="0" w:space="0" w:color="auto"/>
                <w:right w:val="none" w:sz="0" w:space="0" w:color="auto"/>
              </w:divBdr>
              <w:divsChild>
                <w:div w:id="1215702407">
                  <w:marLeft w:val="0"/>
                  <w:marRight w:val="0"/>
                  <w:marTop w:val="0"/>
                  <w:marBottom w:val="0"/>
                  <w:divBdr>
                    <w:top w:val="none" w:sz="0" w:space="0" w:color="auto"/>
                    <w:left w:val="none" w:sz="0" w:space="0" w:color="auto"/>
                    <w:bottom w:val="none" w:sz="0" w:space="0" w:color="auto"/>
                    <w:right w:val="none" w:sz="0" w:space="0" w:color="auto"/>
                  </w:divBdr>
                  <w:divsChild>
                    <w:div w:id="681397539">
                      <w:marLeft w:val="1"/>
                      <w:marRight w:val="1"/>
                      <w:marTop w:val="0"/>
                      <w:marBottom w:val="0"/>
                      <w:divBdr>
                        <w:top w:val="none" w:sz="0" w:space="0" w:color="auto"/>
                        <w:left w:val="none" w:sz="0" w:space="0" w:color="auto"/>
                        <w:bottom w:val="none" w:sz="0" w:space="0" w:color="auto"/>
                        <w:right w:val="none" w:sz="0" w:space="0" w:color="auto"/>
                      </w:divBdr>
                      <w:divsChild>
                        <w:div w:id="2029865336">
                          <w:marLeft w:val="0"/>
                          <w:marRight w:val="0"/>
                          <w:marTop w:val="0"/>
                          <w:marBottom w:val="0"/>
                          <w:divBdr>
                            <w:top w:val="none" w:sz="0" w:space="0" w:color="auto"/>
                            <w:left w:val="none" w:sz="0" w:space="0" w:color="auto"/>
                            <w:bottom w:val="none" w:sz="0" w:space="0" w:color="auto"/>
                            <w:right w:val="none" w:sz="0" w:space="0" w:color="auto"/>
                          </w:divBdr>
                          <w:divsChild>
                            <w:div w:id="1704474351">
                              <w:marLeft w:val="0"/>
                              <w:marRight w:val="0"/>
                              <w:marTop w:val="0"/>
                              <w:marBottom w:val="360"/>
                              <w:divBdr>
                                <w:top w:val="none" w:sz="0" w:space="0" w:color="auto"/>
                                <w:left w:val="none" w:sz="0" w:space="0" w:color="auto"/>
                                <w:bottom w:val="none" w:sz="0" w:space="0" w:color="auto"/>
                                <w:right w:val="none" w:sz="0" w:space="0" w:color="auto"/>
                              </w:divBdr>
                              <w:divsChild>
                                <w:div w:id="2038849912">
                                  <w:marLeft w:val="0"/>
                                  <w:marRight w:val="0"/>
                                  <w:marTop w:val="0"/>
                                  <w:marBottom w:val="360"/>
                                  <w:divBdr>
                                    <w:top w:val="none" w:sz="0" w:space="0" w:color="auto"/>
                                    <w:left w:val="none" w:sz="0" w:space="0" w:color="auto"/>
                                    <w:bottom w:val="none" w:sz="0" w:space="0" w:color="auto"/>
                                    <w:right w:val="none" w:sz="0" w:space="0" w:color="auto"/>
                                  </w:divBdr>
                                  <w:divsChild>
                                    <w:div w:id="987517227">
                                      <w:marLeft w:val="0"/>
                                      <w:marRight w:val="0"/>
                                      <w:marTop w:val="0"/>
                                      <w:marBottom w:val="0"/>
                                      <w:divBdr>
                                        <w:top w:val="none" w:sz="0" w:space="0" w:color="auto"/>
                                        <w:left w:val="none" w:sz="0" w:space="0" w:color="auto"/>
                                        <w:bottom w:val="none" w:sz="0" w:space="0" w:color="auto"/>
                                        <w:right w:val="none" w:sz="0" w:space="0" w:color="auto"/>
                                      </w:divBdr>
                                      <w:divsChild>
                                        <w:div w:id="2140297460">
                                          <w:marLeft w:val="0"/>
                                          <w:marRight w:val="0"/>
                                          <w:marTop w:val="0"/>
                                          <w:marBottom w:val="0"/>
                                          <w:divBdr>
                                            <w:top w:val="none" w:sz="0" w:space="0" w:color="auto"/>
                                            <w:left w:val="none" w:sz="0" w:space="0" w:color="auto"/>
                                            <w:bottom w:val="none" w:sz="0" w:space="0" w:color="auto"/>
                                            <w:right w:val="none" w:sz="0" w:space="0" w:color="auto"/>
                                          </w:divBdr>
                                          <w:divsChild>
                                            <w:div w:id="354843713">
                                              <w:marLeft w:val="0"/>
                                              <w:marRight w:val="0"/>
                                              <w:marTop w:val="0"/>
                                              <w:marBottom w:val="0"/>
                                              <w:divBdr>
                                                <w:top w:val="none" w:sz="0" w:space="0" w:color="auto"/>
                                                <w:left w:val="none" w:sz="0" w:space="0" w:color="auto"/>
                                                <w:bottom w:val="none" w:sz="0" w:space="0" w:color="auto"/>
                                                <w:right w:val="none" w:sz="0" w:space="0" w:color="auto"/>
                                              </w:divBdr>
                                              <w:divsChild>
                                                <w:div w:id="2079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69777">
      <w:bodyDiv w:val="1"/>
      <w:marLeft w:val="0"/>
      <w:marRight w:val="0"/>
      <w:marTop w:val="0"/>
      <w:marBottom w:val="0"/>
      <w:divBdr>
        <w:top w:val="none" w:sz="0" w:space="0" w:color="auto"/>
        <w:left w:val="none" w:sz="0" w:space="0" w:color="auto"/>
        <w:bottom w:val="none" w:sz="0" w:space="0" w:color="auto"/>
        <w:right w:val="none" w:sz="0" w:space="0" w:color="auto"/>
      </w:divBdr>
    </w:div>
    <w:div w:id="140466574">
      <w:bodyDiv w:val="1"/>
      <w:marLeft w:val="0"/>
      <w:marRight w:val="0"/>
      <w:marTop w:val="0"/>
      <w:marBottom w:val="0"/>
      <w:divBdr>
        <w:top w:val="none" w:sz="0" w:space="0" w:color="auto"/>
        <w:left w:val="none" w:sz="0" w:space="0" w:color="auto"/>
        <w:bottom w:val="none" w:sz="0" w:space="0" w:color="auto"/>
        <w:right w:val="none" w:sz="0" w:space="0" w:color="auto"/>
      </w:divBdr>
    </w:div>
    <w:div w:id="261688297">
      <w:bodyDiv w:val="1"/>
      <w:marLeft w:val="0"/>
      <w:marRight w:val="0"/>
      <w:marTop w:val="0"/>
      <w:marBottom w:val="0"/>
      <w:divBdr>
        <w:top w:val="none" w:sz="0" w:space="0" w:color="auto"/>
        <w:left w:val="none" w:sz="0" w:space="0" w:color="auto"/>
        <w:bottom w:val="none" w:sz="0" w:space="0" w:color="auto"/>
        <w:right w:val="none" w:sz="0" w:space="0" w:color="auto"/>
      </w:divBdr>
    </w:div>
    <w:div w:id="335887930">
      <w:bodyDiv w:val="1"/>
      <w:marLeft w:val="0"/>
      <w:marRight w:val="0"/>
      <w:marTop w:val="0"/>
      <w:marBottom w:val="0"/>
      <w:divBdr>
        <w:top w:val="none" w:sz="0" w:space="0" w:color="auto"/>
        <w:left w:val="none" w:sz="0" w:space="0" w:color="auto"/>
        <w:bottom w:val="none" w:sz="0" w:space="0" w:color="auto"/>
        <w:right w:val="none" w:sz="0" w:space="0" w:color="auto"/>
      </w:divBdr>
    </w:div>
    <w:div w:id="360862913">
      <w:bodyDiv w:val="1"/>
      <w:marLeft w:val="0"/>
      <w:marRight w:val="0"/>
      <w:marTop w:val="0"/>
      <w:marBottom w:val="0"/>
      <w:divBdr>
        <w:top w:val="none" w:sz="0" w:space="0" w:color="auto"/>
        <w:left w:val="none" w:sz="0" w:space="0" w:color="auto"/>
        <w:bottom w:val="none" w:sz="0" w:space="0" w:color="auto"/>
        <w:right w:val="none" w:sz="0" w:space="0" w:color="auto"/>
      </w:divBdr>
    </w:div>
    <w:div w:id="496968947">
      <w:bodyDiv w:val="1"/>
      <w:marLeft w:val="0"/>
      <w:marRight w:val="0"/>
      <w:marTop w:val="0"/>
      <w:marBottom w:val="0"/>
      <w:divBdr>
        <w:top w:val="none" w:sz="0" w:space="0" w:color="auto"/>
        <w:left w:val="none" w:sz="0" w:space="0" w:color="auto"/>
        <w:bottom w:val="none" w:sz="0" w:space="0" w:color="auto"/>
        <w:right w:val="none" w:sz="0" w:space="0" w:color="auto"/>
      </w:divBdr>
    </w:div>
    <w:div w:id="525558310">
      <w:bodyDiv w:val="1"/>
      <w:marLeft w:val="0"/>
      <w:marRight w:val="0"/>
      <w:marTop w:val="0"/>
      <w:marBottom w:val="0"/>
      <w:divBdr>
        <w:top w:val="none" w:sz="0" w:space="0" w:color="auto"/>
        <w:left w:val="none" w:sz="0" w:space="0" w:color="auto"/>
        <w:bottom w:val="none" w:sz="0" w:space="0" w:color="auto"/>
        <w:right w:val="none" w:sz="0" w:space="0" w:color="auto"/>
      </w:divBdr>
    </w:div>
    <w:div w:id="542594256">
      <w:bodyDiv w:val="1"/>
      <w:marLeft w:val="0"/>
      <w:marRight w:val="0"/>
      <w:marTop w:val="0"/>
      <w:marBottom w:val="0"/>
      <w:divBdr>
        <w:top w:val="none" w:sz="0" w:space="0" w:color="auto"/>
        <w:left w:val="none" w:sz="0" w:space="0" w:color="auto"/>
        <w:bottom w:val="none" w:sz="0" w:space="0" w:color="auto"/>
        <w:right w:val="none" w:sz="0" w:space="0" w:color="auto"/>
      </w:divBdr>
    </w:div>
    <w:div w:id="623853001">
      <w:bodyDiv w:val="1"/>
      <w:marLeft w:val="0"/>
      <w:marRight w:val="0"/>
      <w:marTop w:val="0"/>
      <w:marBottom w:val="0"/>
      <w:divBdr>
        <w:top w:val="none" w:sz="0" w:space="0" w:color="auto"/>
        <w:left w:val="none" w:sz="0" w:space="0" w:color="auto"/>
        <w:bottom w:val="none" w:sz="0" w:space="0" w:color="auto"/>
        <w:right w:val="none" w:sz="0" w:space="0" w:color="auto"/>
      </w:divBdr>
      <w:divsChild>
        <w:div w:id="1528761286">
          <w:marLeft w:val="0"/>
          <w:marRight w:val="0"/>
          <w:marTop w:val="0"/>
          <w:marBottom w:val="0"/>
          <w:divBdr>
            <w:top w:val="none" w:sz="0" w:space="0" w:color="auto"/>
            <w:left w:val="none" w:sz="0" w:space="0" w:color="auto"/>
            <w:bottom w:val="none" w:sz="0" w:space="0" w:color="auto"/>
            <w:right w:val="none" w:sz="0" w:space="0" w:color="auto"/>
          </w:divBdr>
          <w:divsChild>
            <w:div w:id="2050374883">
              <w:marLeft w:val="0"/>
              <w:marRight w:val="0"/>
              <w:marTop w:val="0"/>
              <w:marBottom w:val="0"/>
              <w:divBdr>
                <w:top w:val="none" w:sz="0" w:space="0" w:color="auto"/>
                <w:left w:val="none" w:sz="0" w:space="0" w:color="auto"/>
                <w:bottom w:val="none" w:sz="0" w:space="0" w:color="auto"/>
                <w:right w:val="none" w:sz="0" w:space="0" w:color="auto"/>
              </w:divBdr>
              <w:divsChild>
                <w:div w:id="1043948077">
                  <w:marLeft w:val="0"/>
                  <w:marRight w:val="0"/>
                  <w:marTop w:val="0"/>
                  <w:marBottom w:val="0"/>
                  <w:divBdr>
                    <w:top w:val="none" w:sz="0" w:space="0" w:color="auto"/>
                    <w:left w:val="none" w:sz="0" w:space="0" w:color="auto"/>
                    <w:bottom w:val="none" w:sz="0" w:space="0" w:color="auto"/>
                    <w:right w:val="none" w:sz="0" w:space="0" w:color="auto"/>
                  </w:divBdr>
                  <w:divsChild>
                    <w:div w:id="14118211">
                      <w:marLeft w:val="1"/>
                      <w:marRight w:val="1"/>
                      <w:marTop w:val="0"/>
                      <w:marBottom w:val="0"/>
                      <w:divBdr>
                        <w:top w:val="none" w:sz="0" w:space="0" w:color="auto"/>
                        <w:left w:val="none" w:sz="0" w:space="0" w:color="auto"/>
                        <w:bottom w:val="none" w:sz="0" w:space="0" w:color="auto"/>
                        <w:right w:val="none" w:sz="0" w:space="0" w:color="auto"/>
                      </w:divBdr>
                      <w:divsChild>
                        <w:div w:id="769008172">
                          <w:marLeft w:val="0"/>
                          <w:marRight w:val="0"/>
                          <w:marTop w:val="0"/>
                          <w:marBottom w:val="0"/>
                          <w:divBdr>
                            <w:top w:val="none" w:sz="0" w:space="0" w:color="auto"/>
                            <w:left w:val="none" w:sz="0" w:space="0" w:color="auto"/>
                            <w:bottom w:val="none" w:sz="0" w:space="0" w:color="auto"/>
                            <w:right w:val="none" w:sz="0" w:space="0" w:color="auto"/>
                          </w:divBdr>
                          <w:divsChild>
                            <w:div w:id="821968915">
                              <w:marLeft w:val="0"/>
                              <w:marRight w:val="0"/>
                              <w:marTop w:val="0"/>
                              <w:marBottom w:val="360"/>
                              <w:divBdr>
                                <w:top w:val="none" w:sz="0" w:space="0" w:color="auto"/>
                                <w:left w:val="none" w:sz="0" w:space="0" w:color="auto"/>
                                <w:bottom w:val="none" w:sz="0" w:space="0" w:color="auto"/>
                                <w:right w:val="none" w:sz="0" w:space="0" w:color="auto"/>
                              </w:divBdr>
                              <w:divsChild>
                                <w:div w:id="35128979">
                                  <w:marLeft w:val="0"/>
                                  <w:marRight w:val="0"/>
                                  <w:marTop w:val="0"/>
                                  <w:marBottom w:val="360"/>
                                  <w:divBdr>
                                    <w:top w:val="none" w:sz="0" w:space="0" w:color="auto"/>
                                    <w:left w:val="none" w:sz="0" w:space="0" w:color="auto"/>
                                    <w:bottom w:val="none" w:sz="0" w:space="0" w:color="auto"/>
                                    <w:right w:val="none" w:sz="0" w:space="0" w:color="auto"/>
                                  </w:divBdr>
                                  <w:divsChild>
                                    <w:div w:id="946306434">
                                      <w:marLeft w:val="0"/>
                                      <w:marRight w:val="0"/>
                                      <w:marTop w:val="0"/>
                                      <w:marBottom w:val="0"/>
                                      <w:divBdr>
                                        <w:top w:val="none" w:sz="0" w:space="0" w:color="auto"/>
                                        <w:left w:val="none" w:sz="0" w:space="0" w:color="auto"/>
                                        <w:bottom w:val="none" w:sz="0" w:space="0" w:color="auto"/>
                                        <w:right w:val="none" w:sz="0" w:space="0" w:color="auto"/>
                                      </w:divBdr>
                                      <w:divsChild>
                                        <w:div w:id="414400988">
                                          <w:marLeft w:val="0"/>
                                          <w:marRight w:val="0"/>
                                          <w:marTop w:val="0"/>
                                          <w:marBottom w:val="0"/>
                                          <w:divBdr>
                                            <w:top w:val="none" w:sz="0" w:space="0" w:color="auto"/>
                                            <w:left w:val="none" w:sz="0" w:space="0" w:color="auto"/>
                                            <w:bottom w:val="none" w:sz="0" w:space="0" w:color="auto"/>
                                            <w:right w:val="none" w:sz="0" w:space="0" w:color="auto"/>
                                          </w:divBdr>
                                          <w:divsChild>
                                            <w:div w:id="407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394092">
      <w:bodyDiv w:val="1"/>
      <w:marLeft w:val="0"/>
      <w:marRight w:val="0"/>
      <w:marTop w:val="0"/>
      <w:marBottom w:val="0"/>
      <w:divBdr>
        <w:top w:val="none" w:sz="0" w:space="0" w:color="auto"/>
        <w:left w:val="none" w:sz="0" w:space="0" w:color="auto"/>
        <w:bottom w:val="none" w:sz="0" w:space="0" w:color="auto"/>
        <w:right w:val="none" w:sz="0" w:space="0" w:color="auto"/>
      </w:divBdr>
    </w:div>
    <w:div w:id="664864514">
      <w:bodyDiv w:val="1"/>
      <w:marLeft w:val="0"/>
      <w:marRight w:val="0"/>
      <w:marTop w:val="0"/>
      <w:marBottom w:val="0"/>
      <w:divBdr>
        <w:top w:val="none" w:sz="0" w:space="0" w:color="auto"/>
        <w:left w:val="none" w:sz="0" w:space="0" w:color="auto"/>
        <w:bottom w:val="none" w:sz="0" w:space="0" w:color="auto"/>
        <w:right w:val="none" w:sz="0" w:space="0" w:color="auto"/>
      </w:divBdr>
    </w:div>
    <w:div w:id="780538745">
      <w:bodyDiv w:val="1"/>
      <w:marLeft w:val="0"/>
      <w:marRight w:val="0"/>
      <w:marTop w:val="0"/>
      <w:marBottom w:val="0"/>
      <w:divBdr>
        <w:top w:val="none" w:sz="0" w:space="0" w:color="auto"/>
        <w:left w:val="none" w:sz="0" w:space="0" w:color="auto"/>
        <w:bottom w:val="none" w:sz="0" w:space="0" w:color="auto"/>
        <w:right w:val="none" w:sz="0" w:space="0" w:color="auto"/>
      </w:divBdr>
    </w:div>
    <w:div w:id="787237684">
      <w:bodyDiv w:val="1"/>
      <w:marLeft w:val="0"/>
      <w:marRight w:val="0"/>
      <w:marTop w:val="0"/>
      <w:marBottom w:val="0"/>
      <w:divBdr>
        <w:top w:val="none" w:sz="0" w:space="0" w:color="auto"/>
        <w:left w:val="none" w:sz="0" w:space="0" w:color="auto"/>
        <w:bottom w:val="none" w:sz="0" w:space="0" w:color="auto"/>
        <w:right w:val="none" w:sz="0" w:space="0" w:color="auto"/>
      </w:divBdr>
    </w:div>
    <w:div w:id="804082864">
      <w:bodyDiv w:val="1"/>
      <w:marLeft w:val="0"/>
      <w:marRight w:val="0"/>
      <w:marTop w:val="0"/>
      <w:marBottom w:val="0"/>
      <w:divBdr>
        <w:top w:val="none" w:sz="0" w:space="0" w:color="auto"/>
        <w:left w:val="none" w:sz="0" w:space="0" w:color="auto"/>
        <w:bottom w:val="none" w:sz="0" w:space="0" w:color="auto"/>
        <w:right w:val="none" w:sz="0" w:space="0" w:color="auto"/>
      </w:divBdr>
      <w:divsChild>
        <w:div w:id="525559112">
          <w:marLeft w:val="0"/>
          <w:marRight w:val="0"/>
          <w:marTop w:val="0"/>
          <w:marBottom w:val="0"/>
          <w:divBdr>
            <w:top w:val="none" w:sz="0" w:space="0" w:color="auto"/>
            <w:left w:val="none" w:sz="0" w:space="0" w:color="auto"/>
            <w:bottom w:val="none" w:sz="0" w:space="0" w:color="auto"/>
            <w:right w:val="none" w:sz="0" w:space="0" w:color="auto"/>
          </w:divBdr>
          <w:divsChild>
            <w:div w:id="1749032412">
              <w:marLeft w:val="0"/>
              <w:marRight w:val="0"/>
              <w:marTop w:val="0"/>
              <w:marBottom w:val="0"/>
              <w:divBdr>
                <w:top w:val="none" w:sz="0" w:space="0" w:color="auto"/>
                <w:left w:val="none" w:sz="0" w:space="0" w:color="auto"/>
                <w:bottom w:val="none" w:sz="0" w:space="0" w:color="auto"/>
                <w:right w:val="none" w:sz="0" w:space="0" w:color="auto"/>
              </w:divBdr>
              <w:divsChild>
                <w:div w:id="752707647">
                  <w:marLeft w:val="0"/>
                  <w:marRight w:val="0"/>
                  <w:marTop w:val="0"/>
                  <w:marBottom w:val="0"/>
                  <w:divBdr>
                    <w:top w:val="none" w:sz="0" w:space="0" w:color="auto"/>
                    <w:left w:val="none" w:sz="0" w:space="0" w:color="auto"/>
                    <w:bottom w:val="none" w:sz="0" w:space="0" w:color="auto"/>
                    <w:right w:val="none" w:sz="0" w:space="0" w:color="auto"/>
                  </w:divBdr>
                  <w:divsChild>
                    <w:div w:id="519047316">
                      <w:marLeft w:val="1"/>
                      <w:marRight w:val="1"/>
                      <w:marTop w:val="0"/>
                      <w:marBottom w:val="0"/>
                      <w:divBdr>
                        <w:top w:val="none" w:sz="0" w:space="0" w:color="auto"/>
                        <w:left w:val="none" w:sz="0" w:space="0" w:color="auto"/>
                        <w:bottom w:val="none" w:sz="0" w:space="0" w:color="auto"/>
                        <w:right w:val="none" w:sz="0" w:space="0" w:color="auto"/>
                      </w:divBdr>
                      <w:divsChild>
                        <w:div w:id="618533770">
                          <w:marLeft w:val="0"/>
                          <w:marRight w:val="0"/>
                          <w:marTop w:val="0"/>
                          <w:marBottom w:val="0"/>
                          <w:divBdr>
                            <w:top w:val="none" w:sz="0" w:space="0" w:color="auto"/>
                            <w:left w:val="none" w:sz="0" w:space="0" w:color="auto"/>
                            <w:bottom w:val="none" w:sz="0" w:space="0" w:color="auto"/>
                            <w:right w:val="none" w:sz="0" w:space="0" w:color="auto"/>
                          </w:divBdr>
                          <w:divsChild>
                            <w:div w:id="1116102760">
                              <w:marLeft w:val="0"/>
                              <w:marRight w:val="0"/>
                              <w:marTop w:val="0"/>
                              <w:marBottom w:val="360"/>
                              <w:divBdr>
                                <w:top w:val="none" w:sz="0" w:space="0" w:color="auto"/>
                                <w:left w:val="none" w:sz="0" w:space="0" w:color="auto"/>
                                <w:bottom w:val="none" w:sz="0" w:space="0" w:color="auto"/>
                                <w:right w:val="none" w:sz="0" w:space="0" w:color="auto"/>
                              </w:divBdr>
                              <w:divsChild>
                                <w:div w:id="897470918">
                                  <w:marLeft w:val="0"/>
                                  <w:marRight w:val="0"/>
                                  <w:marTop w:val="0"/>
                                  <w:marBottom w:val="360"/>
                                  <w:divBdr>
                                    <w:top w:val="none" w:sz="0" w:space="0" w:color="auto"/>
                                    <w:left w:val="none" w:sz="0" w:space="0" w:color="auto"/>
                                    <w:bottom w:val="none" w:sz="0" w:space="0" w:color="auto"/>
                                    <w:right w:val="none" w:sz="0" w:space="0" w:color="auto"/>
                                  </w:divBdr>
                                  <w:divsChild>
                                    <w:div w:id="1845630158">
                                      <w:marLeft w:val="0"/>
                                      <w:marRight w:val="0"/>
                                      <w:marTop w:val="0"/>
                                      <w:marBottom w:val="0"/>
                                      <w:divBdr>
                                        <w:top w:val="none" w:sz="0" w:space="0" w:color="auto"/>
                                        <w:left w:val="none" w:sz="0" w:space="0" w:color="auto"/>
                                        <w:bottom w:val="none" w:sz="0" w:space="0" w:color="auto"/>
                                        <w:right w:val="none" w:sz="0" w:space="0" w:color="auto"/>
                                      </w:divBdr>
                                      <w:divsChild>
                                        <w:div w:id="65416234">
                                          <w:marLeft w:val="0"/>
                                          <w:marRight w:val="0"/>
                                          <w:marTop w:val="0"/>
                                          <w:marBottom w:val="0"/>
                                          <w:divBdr>
                                            <w:top w:val="none" w:sz="0" w:space="0" w:color="auto"/>
                                            <w:left w:val="none" w:sz="0" w:space="0" w:color="auto"/>
                                            <w:bottom w:val="none" w:sz="0" w:space="0" w:color="auto"/>
                                            <w:right w:val="none" w:sz="0" w:space="0" w:color="auto"/>
                                          </w:divBdr>
                                          <w:divsChild>
                                            <w:div w:id="392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281298">
      <w:bodyDiv w:val="1"/>
      <w:marLeft w:val="0"/>
      <w:marRight w:val="0"/>
      <w:marTop w:val="0"/>
      <w:marBottom w:val="0"/>
      <w:divBdr>
        <w:top w:val="none" w:sz="0" w:space="0" w:color="auto"/>
        <w:left w:val="none" w:sz="0" w:space="0" w:color="auto"/>
        <w:bottom w:val="none" w:sz="0" w:space="0" w:color="auto"/>
        <w:right w:val="none" w:sz="0" w:space="0" w:color="auto"/>
      </w:divBdr>
    </w:div>
    <w:div w:id="851450693">
      <w:bodyDiv w:val="1"/>
      <w:marLeft w:val="0"/>
      <w:marRight w:val="0"/>
      <w:marTop w:val="0"/>
      <w:marBottom w:val="0"/>
      <w:divBdr>
        <w:top w:val="none" w:sz="0" w:space="0" w:color="auto"/>
        <w:left w:val="none" w:sz="0" w:space="0" w:color="auto"/>
        <w:bottom w:val="none" w:sz="0" w:space="0" w:color="auto"/>
        <w:right w:val="none" w:sz="0" w:space="0" w:color="auto"/>
      </w:divBdr>
      <w:divsChild>
        <w:div w:id="379328775">
          <w:marLeft w:val="0"/>
          <w:marRight w:val="0"/>
          <w:marTop w:val="0"/>
          <w:marBottom w:val="0"/>
          <w:divBdr>
            <w:top w:val="none" w:sz="0" w:space="0" w:color="auto"/>
            <w:left w:val="none" w:sz="0" w:space="0" w:color="auto"/>
            <w:bottom w:val="none" w:sz="0" w:space="0" w:color="auto"/>
            <w:right w:val="none" w:sz="0" w:space="0" w:color="auto"/>
          </w:divBdr>
          <w:divsChild>
            <w:div w:id="1299870745">
              <w:marLeft w:val="0"/>
              <w:marRight w:val="0"/>
              <w:marTop w:val="0"/>
              <w:marBottom w:val="0"/>
              <w:divBdr>
                <w:top w:val="none" w:sz="0" w:space="0" w:color="auto"/>
                <w:left w:val="none" w:sz="0" w:space="0" w:color="auto"/>
                <w:bottom w:val="none" w:sz="0" w:space="0" w:color="auto"/>
                <w:right w:val="none" w:sz="0" w:space="0" w:color="auto"/>
              </w:divBdr>
              <w:divsChild>
                <w:div w:id="60491685">
                  <w:marLeft w:val="0"/>
                  <w:marRight w:val="0"/>
                  <w:marTop w:val="0"/>
                  <w:marBottom w:val="0"/>
                  <w:divBdr>
                    <w:top w:val="none" w:sz="0" w:space="0" w:color="auto"/>
                    <w:left w:val="none" w:sz="0" w:space="0" w:color="auto"/>
                    <w:bottom w:val="none" w:sz="0" w:space="0" w:color="auto"/>
                    <w:right w:val="none" w:sz="0" w:space="0" w:color="auto"/>
                  </w:divBdr>
                  <w:divsChild>
                    <w:div w:id="1504710056">
                      <w:marLeft w:val="1"/>
                      <w:marRight w:val="1"/>
                      <w:marTop w:val="0"/>
                      <w:marBottom w:val="0"/>
                      <w:divBdr>
                        <w:top w:val="none" w:sz="0" w:space="0" w:color="auto"/>
                        <w:left w:val="none" w:sz="0" w:space="0" w:color="auto"/>
                        <w:bottom w:val="none" w:sz="0" w:space="0" w:color="auto"/>
                        <w:right w:val="none" w:sz="0" w:space="0" w:color="auto"/>
                      </w:divBdr>
                      <w:divsChild>
                        <w:div w:id="542786023">
                          <w:marLeft w:val="0"/>
                          <w:marRight w:val="0"/>
                          <w:marTop w:val="0"/>
                          <w:marBottom w:val="0"/>
                          <w:divBdr>
                            <w:top w:val="none" w:sz="0" w:space="0" w:color="auto"/>
                            <w:left w:val="none" w:sz="0" w:space="0" w:color="auto"/>
                            <w:bottom w:val="none" w:sz="0" w:space="0" w:color="auto"/>
                            <w:right w:val="none" w:sz="0" w:space="0" w:color="auto"/>
                          </w:divBdr>
                          <w:divsChild>
                            <w:div w:id="1543905753">
                              <w:marLeft w:val="0"/>
                              <w:marRight w:val="0"/>
                              <w:marTop w:val="0"/>
                              <w:marBottom w:val="360"/>
                              <w:divBdr>
                                <w:top w:val="none" w:sz="0" w:space="0" w:color="auto"/>
                                <w:left w:val="none" w:sz="0" w:space="0" w:color="auto"/>
                                <w:bottom w:val="none" w:sz="0" w:space="0" w:color="auto"/>
                                <w:right w:val="none" w:sz="0" w:space="0" w:color="auto"/>
                              </w:divBdr>
                              <w:divsChild>
                                <w:div w:id="617218814">
                                  <w:marLeft w:val="0"/>
                                  <w:marRight w:val="0"/>
                                  <w:marTop w:val="0"/>
                                  <w:marBottom w:val="360"/>
                                  <w:divBdr>
                                    <w:top w:val="none" w:sz="0" w:space="0" w:color="auto"/>
                                    <w:left w:val="none" w:sz="0" w:space="0" w:color="auto"/>
                                    <w:bottom w:val="none" w:sz="0" w:space="0" w:color="auto"/>
                                    <w:right w:val="none" w:sz="0" w:space="0" w:color="auto"/>
                                  </w:divBdr>
                                  <w:divsChild>
                                    <w:div w:id="1850947816">
                                      <w:marLeft w:val="0"/>
                                      <w:marRight w:val="0"/>
                                      <w:marTop w:val="0"/>
                                      <w:marBottom w:val="0"/>
                                      <w:divBdr>
                                        <w:top w:val="none" w:sz="0" w:space="0" w:color="auto"/>
                                        <w:left w:val="none" w:sz="0" w:space="0" w:color="auto"/>
                                        <w:bottom w:val="none" w:sz="0" w:space="0" w:color="auto"/>
                                        <w:right w:val="none" w:sz="0" w:space="0" w:color="auto"/>
                                      </w:divBdr>
                                      <w:divsChild>
                                        <w:div w:id="354230130">
                                          <w:marLeft w:val="0"/>
                                          <w:marRight w:val="0"/>
                                          <w:marTop w:val="0"/>
                                          <w:marBottom w:val="0"/>
                                          <w:divBdr>
                                            <w:top w:val="none" w:sz="0" w:space="0" w:color="auto"/>
                                            <w:left w:val="none" w:sz="0" w:space="0" w:color="auto"/>
                                            <w:bottom w:val="none" w:sz="0" w:space="0" w:color="auto"/>
                                            <w:right w:val="none" w:sz="0" w:space="0" w:color="auto"/>
                                          </w:divBdr>
                                          <w:divsChild>
                                            <w:div w:id="5961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05227">
      <w:bodyDiv w:val="1"/>
      <w:marLeft w:val="0"/>
      <w:marRight w:val="0"/>
      <w:marTop w:val="0"/>
      <w:marBottom w:val="0"/>
      <w:divBdr>
        <w:top w:val="none" w:sz="0" w:space="0" w:color="auto"/>
        <w:left w:val="none" w:sz="0" w:space="0" w:color="auto"/>
        <w:bottom w:val="none" w:sz="0" w:space="0" w:color="auto"/>
        <w:right w:val="none" w:sz="0" w:space="0" w:color="auto"/>
      </w:divBdr>
    </w:div>
    <w:div w:id="1383753673">
      <w:bodyDiv w:val="1"/>
      <w:marLeft w:val="0"/>
      <w:marRight w:val="0"/>
      <w:marTop w:val="0"/>
      <w:marBottom w:val="0"/>
      <w:divBdr>
        <w:top w:val="none" w:sz="0" w:space="0" w:color="auto"/>
        <w:left w:val="none" w:sz="0" w:space="0" w:color="auto"/>
        <w:bottom w:val="none" w:sz="0" w:space="0" w:color="auto"/>
        <w:right w:val="none" w:sz="0" w:space="0" w:color="auto"/>
      </w:divBdr>
      <w:divsChild>
        <w:div w:id="2111312035">
          <w:marLeft w:val="0"/>
          <w:marRight w:val="0"/>
          <w:marTop w:val="0"/>
          <w:marBottom w:val="0"/>
          <w:divBdr>
            <w:top w:val="none" w:sz="0" w:space="0" w:color="auto"/>
            <w:left w:val="none" w:sz="0" w:space="0" w:color="auto"/>
            <w:bottom w:val="none" w:sz="0" w:space="0" w:color="auto"/>
            <w:right w:val="none" w:sz="0" w:space="0" w:color="auto"/>
          </w:divBdr>
          <w:divsChild>
            <w:div w:id="1787037206">
              <w:marLeft w:val="0"/>
              <w:marRight w:val="0"/>
              <w:marTop w:val="0"/>
              <w:marBottom w:val="0"/>
              <w:divBdr>
                <w:top w:val="none" w:sz="0" w:space="0" w:color="auto"/>
                <w:left w:val="none" w:sz="0" w:space="0" w:color="auto"/>
                <w:bottom w:val="none" w:sz="0" w:space="0" w:color="auto"/>
                <w:right w:val="none" w:sz="0" w:space="0" w:color="auto"/>
              </w:divBdr>
              <w:divsChild>
                <w:div w:id="182675232">
                  <w:marLeft w:val="0"/>
                  <w:marRight w:val="0"/>
                  <w:marTop w:val="0"/>
                  <w:marBottom w:val="0"/>
                  <w:divBdr>
                    <w:top w:val="none" w:sz="0" w:space="0" w:color="auto"/>
                    <w:left w:val="none" w:sz="0" w:space="0" w:color="auto"/>
                    <w:bottom w:val="none" w:sz="0" w:space="0" w:color="auto"/>
                    <w:right w:val="none" w:sz="0" w:space="0" w:color="auto"/>
                  </w:divBdr>
                  <w:divsChild>
                    <w:div w:id="792597202">
                      <w:marLeft w:val="1"/>
                      <w:marRight w:val="1"/>
                      <w:marTop w:val="0"/>
                      <w:marBottom w:val="0"/>
                      <w:divBdr>
                        <w:top w:val="none" w:sz="0" w:space="0" w:color="auto"/>
                        <w:left w:val="none" w:sz="0" w:space="0" w:color="auto"/>
                        <w:bottom w:val="none" w:sz="0" w:space="0" w:color="auto"/>
                        <w:right w:val="none" w:sz="0" w:space="0" w:color="auto"/>
                      </w:divBdr>
                      <w:divsChild>
                        <w:div w:id="1177160946">
                          <w:marLeft w:val="0"/>
                          <w:marRight w:val="0"/>
                          <w:marTop w:val="0"/>
                          <w:marBottom w:val="0"/>
                          <w:divBdr>
                            <w:top w:val="none" w:sz="0" w:space="0" w:color="auto"/>
                            <w:left w:val="none" w:sz="0" w:space="0" w:color="auto"/>
                            <w:bottom w:val="none" w:sz="0" w:space="0" w:color="auto"/>
                            <w:right w:val="none" w:sz="0" w:space="0" w:color="auto"/>
                          </w:divBdr>
                          <w:divsChild>
                            <w:div w:id="1250387997">
                              <w:marLeft w:val="0"/>
                              <w:marRight w:val="0"/>
                              <w:marTop w:val="0"/>
                              <w:marBottom w:val="360"/>
                              <w:divBdr>
                                <w:top w:val="none" w:sz="0" w:space="0" w:color="auto"/>
                                <w:left w:val="none" w:sz="0" w:space="0" w:color="auto"/>
                                <w:bottom w:val="none" w:sz="0" w:space="0" w:color="auto"/>
                                <w:right w:val="none" w:sz="0" w:space="0" w:color="auto"/>
                              </w:divBdr>
                              <w:divsChild>
                                <w:div w:id="1512142221">
                                  <w:marLeft w:val="0"/>
                                  <w:marRight w:val="0"/>
                                  <w:marTop w:val="0"/>
                                  <w:marBottom w:val="360"/>
                                  <w:divBdr>
                                    <w:top w:val="none" w:sz="0" w:space="0" w:color="auto"/>
                                    <w:left w:val="none" w:sz="0" w:space="0" w:color="auto"/>
                                    <w:bottom w:val="none" w:sz="0" w:space="0" w:color="auto"/>
                                    <w:right w:val="none" w:sz="0" w:space="0" w:color="auto"/>
                                  </w:divBdr>
                                  <w:divsChild>
                                    <w:div w:id="1680158892">
                                      <w:marLeft w:val="0"/>
                                      <w:marRight w:val="0"/>
                                      <w:marTop w:val="0"/>
                                      <w:marBottom w:val="0"/>
                                      <w:divBdr>
                                        <w:top w:val="none" w:sz="0" w:space="0" w:color="auto"/>
                                        <w:left w:val="none" w:sz="0" w:space="0" w:color="auto"/>
                                        <w:bottom w:val="none" w:sz="0" w:space="0" w:color="auto"/>
                                        <w:right w:val="none" w:sz="0" w:space="0" w:color="auto"/>
                                      </w:divBdr>
                                      <w:divsChild>
                                        <w:div w:id="409615800">
                                          <w:marLeft w:val="0"/>
                                          <w:marRight w:val="0"/>
                                          <w:marTop w:val="0"/>
                                          <w:marBottom w:val="0"/>
                                          <w:divBdr>
                                            <w:top w:val="none" w:sz="0" w:space="0" w:color="auto"/>
                                            <w:left w:val="none" w:sz="0" w:space="0" w:color="auto"/>
                                            <w:bottom w:val="none" w:sz="0" w:space="0" w:color="auto"/>
                                            <w:right w:val="none" w:sz="0" w:space="0" w:color="auto"/>
                                          </w:divBdr>
                                          <w:divsChild>
                                            <w:div w:id="436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922238">
      <w:bodyDiv w:val="1"/>
      <w:marLeft w:val="0"/>
      <w:marRight w:val="0"/>
      <w:marTop w:val="0"/>
      <w:marBottom w:val="0"/>
      <w:divBdr>
        <w:top w:val="none" w:sz="0" w:space="0" w:color="auto"/>
        <w:left w:val="none" w:sz="0" w:space="0" w:color="auto"/>
        <w:bottom w:val="none" w:sz="0" w:space="0" w:color="auto"/>
        <w:right w:val="none" w:sz="0" w:space="0" w:color="auto"/>
      </w:divBdr>
    </w:div>
    <w:div w:id="1881163890">
      <w:bodyDiv w:val="1"/>
      <w:marLeft w:val="0"/>
      <w:marRight w:val="0"/>
      <w:marTop w:val="0"/>
      <w:marBottom w:val="0"/>
      <w:divBdr>
        <w:top w:val="none" w:sz="0" w:space="0" w:color="auto"/>
        <w:left w:val="none" w:sz="0" w:space="0" w:color="auto"/>
        <w:bottom w:val="none" w:sz="0" w:space="0" w:color="auto"/>
        <w:right w:val="none" w:sz="0" w:space="0" w:color="auto"/>
      </w:divBdr>
    </w:div>
    <w:div w:id="1909921152">
      <w:bodyDiv w:val="1"/>
      <w:marLeft w:val="0"/>
      <w:marRight w:val="0"/>
      <w:marTop w:val="0"/>
      <w:marBottom w:val="0"/>
      <w:divBdr>
        <w:top w:val="none" w:sz="0" w:space="0" w:color="auto"/>
        <w:left w:val="none" w:sz="0" w:space="0" w:color="auto"/>
        <w:bottom w:val="none" w:sz="0" w:space="0" w:color="auto"/>
        <w:right w:val="none" w:sz="0" w:space="0" w:color="auto"/>
      </w:divBdr>
    </w:div>
    <w:div w:id="20371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sc3/bluebook_databas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ova\AppData\Roaming\Microsoft\Templates\ECE+PlainPage\ECE_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cap="none" spc="20" baseline="0">
                <a:solidFill>
                  <a:schemeClr val="tx1">
                    <a:lumMod val="50000"/>
                    <a:lumOff val="50000"/>
                  </a:schemeClr>
                </a:solidFill>
                <a:latin typeface="+mn-lt"/>
                <a:ea typeface="+mn-ea"/>
                <a:cs typeface="+mn-cs"/>
              </a:defRPr>
            </a:pPr>
            <a:r>
              <a:rPr lang="en-US" sz="1400">
                <a:solidFill>
                  <a:sysClr val="windowText" lastClr="000000"/>
                </a:solidFill>
              </a:rPr>
              <a:t>AGN</a:t>
            </a:r>
            <a:endParaRPr lang="ru-RU" sz="1400">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Ratification</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Лист1!$B$2:$B$21</c:f>
              <c:numCache>
                <c:formatCode>General</c:formatCode>
                <c:ptCount val="20"/>
                <c:pt idx="1">
                  <c:v>3</c:v>
                </c:pt>
                <c:pt idx="2">
                  <c:v>6</c:v>
                </c:pt>
                <c:pt idx="3">
                  <c:v>10</c:v>
                </c:pt>
                <c:pt idx="4">
                  <c:v>12</c:v>
                </c:pt>
                <c:pt idx="5">
                  <c:v>12</c:v>
                </c:pt>
                <c:pt idx="6">
                  <c:v>13</c:v>
                </c:pt>
                <c:pt idx="7">
                  <c:v>13</c:v>
                </c:pt>
                <c:pt idx="8">
                  <c:v>13</c:v>
                </c:pt>
                <c:pt idx="9">
                  <c:v>13</c:v>
                </c:pt>
                <c:pt idx="10">
                  <c:v>13</c:v>
                </c:pt>
                <c:pt idx="11">
                  <c:v>13</c:v>
                </c:pt>
                <c:pt idx="12">
                  <c:v>15</c:v>
                </c:pt>
                <c:pt idx="13">
                  <c:v>15</c:v>
                </c:pt>
                <c:pt idx="14">
                  <c:v>17</c:v>
                </c:pt>
                <c:pt idx="15">
                  <c:v>17</c:v>
                </c:pt>
                <c:pt idx="16">
                  <c:v>17</c:v>
                </c:pt>
                <c:pt idx="17">
                  <c:v>17</c:v>
                </c:pt>
                <c:pt idx="18">
                  <c:v>18</c:v>
                </c:pt>
                <c:pt idx="19">
                  <c:v>18</c:v>
                </c:pt>
              </c:numCache>
            </c:numRef>
          </c:val>
        </c:ser>
        <c:ser>
          <c:idx val="1"/>
          <c:order val="1"/>
          <c:tx>
            <c:strRef>
              <c:f>Лист1!$C$1</c:f>
              <c:strCache>
                <c:ptCount val="1"/>
                <c:pt idx="0">
                  <c:v>Signature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Лист1!$C$2:$C$21</c:f>
              <c:numCache>
                <c:formatCode>General</c:formatCode>
                <c:ptCount val="20"/>
                <c:pt idx="1">
                  <c:v>17</c:v>
                </c:pt>
              </c:numCache>
            </c:numRef>
          </c:val>
        </c:ser>
        <c:ser>
          <c:idx val="2"/>
          <c:order val="2"/>
          <c:tx>
            <c:strRef>
              <c:f>Лист1!$D$1</c:f>
              <c:strCache>
                <c:ptCount val="1"/>
                <c:pt idx="0">
                  <c:v>Столбец1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numRef>
              <c:f>Лист1!$A$2:$A$21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Лист1!$D$2:$D$21</c:f>
              <c:numCache>
                <c:formatCode>General</c:formatCode>
                <c:ptCount val="20"/>
              </c:numCache>
            </c:numRef>
          </c:val>
        </c:ser>
        <c:dLbls>
          <c:showLegendKey val="0"/>
          <c:showVal val="0"/>
          <c:showCatName val="0"/>
          <c:showSerName val="0"/>
          <c:showPercent val="0"/>
          <c:showBubbleSize val="0"/>
        </c:dLbls>
        <c:gapWidth val="150"/>
        <c:axId val="47514112"/>
        <c:axId val="43847040"/>
      </c:barChart>
      <c:catAx>
        <c:axId val="475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50000"/>
                    <a:lumOff val="50000"/>
                  </a:schemeClr>
                </a:solidFill>
                <a:latin typeface="+mn-lt"/>
                <a:ea typeface="+mn-ea"/>
                <a:cs typeface="+mn-cs"/>
              </a:defRPr>
            </a:pPr>
            <a:endParaRPr lang="en-US"/>
          </a:p>
        </c:txPr>
        <c:crossAx val="43847040"/>
        <c:crosses val="autoZero"/>
        <c:auto val="1"/>
        <c:lblAlgn val="ctr"/>
        <c:lblOffset val="100"/>
        <c:noMultiLvlLbl val="0"/>
      </c:catAx>
      <c:valAx>
        <c:axId val="4384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Contracting Parties</a:t>
                </a:r>
                <a:endParaRPr lang="ru-RU"/>
              </a:p>
            </c:rich>
          </c:tx>
          <c:layout/>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600" b="0" i="0" u="none" strike="noStrike" kern="1200" baseline="0">
                <a:solidFill>
                  <a:schemeClr val="tx1">
                    <a:lumMod val="50000"/>
                    <a:lumOff val="50000"/>
                  </a:schemeClr>
                </a:solidFill>
                <a:latin typeface="+mn-lt"/>
                <a:ea typeface="+mn-ea"/>
                <a:cs typeface="+mn-cs"/>
              </a:defRPr>
            </a:pPr>
            <a:endParaRPr lang="en-US"/>
          </a:p>
        </c:txPr>
        <c:crossAx val="47514112"/>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Conventions</c:v>
                </c:pt>
              </c:strCache>
            </c:strRef>
          </c:tx>
          <c:spPr>
            <a:solidFill>
              <a:schemeClr val="accent1"/>
            </a:solidFill>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11</c:v>
                </c:pt>
                <c:pt idx="1">
                  <c:v>11</c:v>
                </c:pt>
                <c:pt idx="2">
                  <c:v>11</c:v>
                </c:pt>
                <c:pt idx="3">
                  <c:v>11</c:v>
                </c:pt>
                <c:pt idx="4">
                  <c:v>11</c:v>
                </c:pt>
                <c:pt idx="5">
                  <c:v>11</c:v>
                </c:pt>
              </c:numCache>
            </c:numRef>
          </c:val>
        </c:ser>
        <c:ser>
          <c:idx val="1"/>
          <c:order val="1"/>
          <c:tx>
            <c:strRef>
              <c:f>Лист1!$C$1</c:f>
              <c:strCache>
                <c:ptCount val="1"/>
                <c:pt idx="0">
                  <c:v>Conventions in force</c:v>
                </c:pt>
              </c:strCache>
            </c:strRef>
          </c:tx>
          <c:spPr>
            <a:solidFill>
              <a:schemeClr val="accent2"/>
            </a:solidFill>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7</c:v>
                </c:pt>
                <c:pt idx="1">
                  <c:v>7</c:v>
                </c:pt>
                <c:pt idx="2">
                  <c:v>7</c:v>
                </c:pt>
                <c:pt idx="3">
                  <c:v>7</c:v>
                </c:pt>
                <c:pt idx="4">
                  <c:v>7</c:v>
                </c:pt>
                <c:pt idx="5">
                  <c:v>7</c:v>
                </c:pt>
              </c:numCache>
            </c:numRef>
          </c:val>
        </c:ser>
        <c:ser>
          <c:idx val="2"/>
          <c:order val="2"/>
          <c:tx>
            <c:strRef>
              <c:f>Лист1!$D$1</c:f>
              <c:strCache>
                <c:ptCount val="1"/>
                <c:pt idx="0">
                  <c:v>Parties to Conventions</c:v>
                </c:pt>
              </c:strCache>
            </c:strRef>
          </c:tx>
          <c:spPr>
            <a:ln w="38100" cap="rnd">
              <a:solidFill>
                <a:schemeClr val="accent3"/>
              </a:solidFill>
              <a:round/>
            </a:ln>
            <a:effectLst/>
          </c:spPr>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84</c:v>
                </c:pt>
                <c:pt idx="1">
                  <c:v>87</c:v>
                </c:pt>
                <c:pt idx="2">
                  <c:v>87</c:v>
                </c:pt>
                <c:pt idx="3">
                  <c:v>87</c:v>
                </c:pt>
                <c:pt idx="4">
                  <c:v>89</c:v>
                </c:pt>
                <c:pt idx="5">
                  <c:v>89</c:v>
                </c:pt>
              </c:numCache>
            </c:numRef>
          </c:val>
        </c:ser>
        <c:dLbls>
          <c:showLegendKey val="0"/>
          <c:showVal val="0"/>
          <c:showCatName val="0"/>
          <c:showSerName val="0"/>
          <c:showPercent val="0"/>
          <c:showBubbleSize val="0"/>
        </c:dLbls>
        <c:gapWidth val="150"/>
        <c:axId val="42750464"/>
        <c:axId val="43847616"/>
      </c:barChart>
      <c:catAx>
        <c:axId val="42750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847616"/>
        <c:crosses val="autoZero"/>
        <c:auto val="1"/>
        <c:lblAlgn val="ctr"/>
        <c:lblOffset val="100"/>
        <c:noMultiLvlLbl val="0"/>
      </c:catAx>
      <c:valAx>
        <c:axId val="43847616"/>
        <c:scaling>
          <c:orientation val="minMax"/>
        </c:scaling>
        <c:delete val="0"/>
        <c:axPos val="l"/>
        <c:majorGridlines/>
        <c:numFmt formatCode="General" sourceLinked="1"/>
        <c:majorTickMark val="out"/>
        <c:minorTickMark val="none"/>
        <c:tickLblPos val="nextTo"/>
        <c:crossAx val="42750464"/>
        <c:crosses val="autoZero"/>
        <c:crossBetween val="between"/>
      </c:valAx>
      <c:spPr>
        <a:effectLst/>
      </c:spPr>
    </c:plotArea>
    <c:legend>
      <c:legendPos val="r"/>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2C72-8A81-48A0-8114-0165F141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6</TotalTime>
  <Pages>10</Pages>
  <Words>4148</Words>
  <Characters>24041</Characters>
  <Application>Microsoft Office Word</Application>
  <DocSecurity>0</DocSecurity>
  <Lines>400</Lines>
  <Paragraphs>110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Ivanova</dc:creator>
  <cp:lastModifiedBy>Anastasia Barinova</cp:lastModifiedBy>
  <cp:revision>4</cp:revision>
  <cp:lastPrinted>2015-08-31T10:29:00Z</cp:lastPrinted>
  <dcterms:created xsi:type="dcterms:W3CDTF">2015-12-14T17:25:00Z</dcterms:created>
  <dcterms:modified xsi:type="dcterms:W3CDTF">2015-12-14T17:42:00Z</dcterms:modified>
</cp:coreProperties>
</file>