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D3667" w:rsidRPr="005D3667" w:rsidTr="00B154BC">
        <w:trPr>
          <w:cantSplit/>
          <w:trHeight w:hRule="exact" w:val="851"/>
        </w:trPr>
        <w:tc>
          <w:tcPr>
            <w:tcW w:w="1276" w:type="dxa"/>
            <w:tcBorders>
              <w:bottom w:val="single" w:sz="4" w:space="0" w:color="auto"/>
            </w:tcBorders>
            <w:vAlign w:val="bottom"/>
          </w:tcPr>
          <w:p w:rsidR="005D3667" w:rsidRPr="005D3667" w:rsidRDefault="005D3667" w:rsidP="005D3667"/>
        </w:tc>
        <w:tc>
          <w:tcPr>
            <w:tcW w:w="8363" w:type="dxa"/>
            <w:gridSpan w:val="2"/>
            <w:tcBorders>
              <w:bottom w:val="single" w:sz="4" w:space="0" w:color="auto"/>
            </w:tcBorders>
            <w:vAlign w:val="bottom"/>
          </w:tcPr>
          <w:p w:rsidR="005D3667" w:rsidRPr="005D3667" w:rsidRDefault="005D3667" w:rsidP="00C772C1">
            <w:pPr>
              <w:ind w:left="6095"/>
            </w:pPr>
            <w:r w:rsidRPr="005D3667">
              <w:rPr>
                <w:b/>
                <w:sz w:val="40"/>
                <w:szCs w:val="40"/>
              </w:rPr>
              <w:t xml:space="preserve"> INF.</w:t>
            </w:r>
            <w:r w:rsidR="00C772C1">
              <w:rPr>
                <w:b/>
                <w:sz w:val="40"/>
                <w:szCs w:val="40"/>
              </w:rPr>
              <w:t>27</w:t>
            </w:r>
          </w:p>
        </w:tc>
      </w:tr>
      <w:tr w:rsidR="005D3667" w:rsidRPr="005D3667" w:rsidTr="00B154BC">
        <w:trPr>
          <w:cantSplit/>
          <w:trHeight w:hRule="exact" w:val="3688"/>
        </w:trPr>
        <w:tc>
          <w:tcPr>
            <w:tcW w:w="6804" w:type="dxa"/>
            <w:gridSpan w:val="2"/>
            <w:tcBorders>
              <w:top w:val="single" w:sz="4" w:space="0" w:color="auto"/>
              <w:bottom w:val="single" w:sz="12" w:space="0" w:color="auto"/>
            </w:tcBorders>
          </w:tcPr>
          <w:p w:rsidR="005D3667" w:rsidRPr="005D3667" w:rsidRDefault="005D3667" w:rsidP="005D3667">
            <w:pPr>
              <w:spacing w:before="120" w:after="120"/>
              <w:rPr>
                <w:b/>
                <w:sz w:val="28"/>
                <w:szCs w:val="28"/>
              </w:rPr>
            </w:pPr>
            <w:r w:rsidRPr="005D3667">
              <w:rPr>
                <w:b/>
                <w:sz w:val="28"/>
                <w:szCs w:val="28"/>
              </w:rPr>
              <w:t>Economic Commission for Europe</w:t>
            </w:r>
          </w:p>
          <w:p w:rsidR="005D3667" w:rsidRPr="005D3667" w:rsidRDefault="005D3667" w:rsidP="005D3667">
            <w:pPr>
              <w:spacing w:before="120"/>
              <w:rPr>
                <w:sz w:val="28"/>
                <w:szCs w:val="28"/>
              </w:rPr>
            </w:pPr>
            <w:r w:rsidRPr="005D3667">
              <w:rPr>
                <w:sz w:val="28"/>
                <w:szCs w:val="28"/>
              </w:rPr>
              <w:t>Inland Transport Committee</w:t>
            </w:r>
          </w:p>
          <w:p w:rsidR="005D3667" w:rsidRPr="005D3667" w:rsidRDefault="005D3667" w:rsidP="005D3667">
            <w:pPr>
              <w:spacing w:before="120"/>
              <w:rPr>
                <w:b/>
              </w:rPr>
            </w:pPr>
            <w:r w:rsidRPr="005D3667">
              <w:rPr>
                <w:b/>
              </w:rPr>
              <w:t>Working Party on the Transport of Dangerous Goods</w:t>
            </w:r>
          </w:p>
          <w:p w:rsidR="005D3667" w:rsidRPr="005D3667" w:rsidRDefault="005D3667" w:rsidP="005D3667">
            <w:pPr>
              <w:spacing w:before="120"/>
              <w:rPr>
                <w:b/>
              </w:rPr>
            </w:pPr>
            <w:r w:rsidRPr="005D3667">
              <w:rPr>
                <w:b/>
              </w:rPr>
              <w:t>Joint Meeting of Experts on the Regulations annexed to the</w:t>
            </w:r>
            <w:r w:rsidRPr="005D3667">
              <w:rPr>
                <w:b/>
              </w:rPr>
              <w:br/>
              <w:t>European Agreement concerning the International Carriage</w:t>
            </w:r>
            <w:r w:rsidRPr="005D3667">
              <w:rPr>
                <w:b/>
              </w:rPr>
              <w:br/>
              <w:t>of Dangerous Goods by Inland Waterways (ADN)</w:t>
            </w:r>
            <w:r w:rsidRPr="005D3667">
              <w:rPr>
                <w:b/>
              </w:rPr>
              <w:br/>
              <w:t>(ADN Safety Committee)</w:t>
            </w:r>
          </w:p>
          <w:p w:rsidR="005D3667" w:rsidRPr="005D3667" w:rsidRDefault="005D3667" w:rsidP="005D3667">
            <w:pPr>
              <w:spacing w:before="120"/>
              <w:rPr>
                <w:b/>
              </w:rPr>
            </w:pPr>
            <w:r w:rsidRPr="005D3667">
              <w:rPr>
                <w:b/>
              </w:rPr>
              <w:t>Twenty-eighth session</w:t>
            </w:r>
          </w:p>
          <w:p w:rsidR="005D3667" w:rsidRPr="005D3667" w:rsidRDefault="005D3667" w:rsidP="005D3667">
            <w:pPr>
              <w:tabs>
                <w:tab w:val="left" w:pos="567"/>
                <w:tab w:val="left" w:pos="992"/>
                <w:tab w:val="left" w:pos="1418"/>
                <w:tab w:val="left" w:pos="1985"/>
                <w:tab w:val="right" w:pos="9639"/>
              </w:tabs>
            </w:pPr>
            <w:r w:rsidRPr="005D3667">
              <w:t>Geneva, 25 - 29 January 2016</w:t>
            </w:r>
            <w:r w:rsidRPr="005D3667">
              <w:br/>
              <w:t xml:space="preserve"> Item 5 (b) of the provisional agenda</w:t>
            </w:r>
          </w:p>
          <w:p w:rsidR="005D3667" w:rsidRPr="005D3667" w:rsidRDefault="005D3667" w:rsidP="005D3667">
            <w:pPr>
              <w:rPr>
                <w:b/>
              </w:rPr>
            </w:pPr>
            <w:r w:rsidRPr="005D3667">
              <w:rPr>
                <w:b/>
              </w:rPr>
              <w:t>Proposals for amendments to the Regulations annexed to ADN</w:t>
            </w:r>
          </w:p>
          <w:p w:rsidR="005D3667" w:rsidRPr="005D3667" w:rsidRDefault="005D3667" w:rsidP="005D3667">
            <w:pPr>
              <w:rPr>
                <w:b/>
              </w:rPr>
            </w:pPr>
            <w:r w:rsidRPr="005D3667">
              <w:rPr>
                <w:b/>
              </w:rPr>
              <w:t>Other proposals</w:t>
            </w:r>
          </w:p>
        </w:tc>
        <w:tc>
          <w:tcPr>
            <w:tcW w:w="2835" w:type="dxa"/>
            <w:tcBorders>
              <w:top w:val="single" w:sz="4" w:space="0" w:color="auto"/>
              <w:bottom w:val="single" w:sz="12" w:space="0" w:color="auto"/>
            </w:tcBorders>
          </w:tcPr>
          <w:p w:rsidR="005D3667" w:rsidRPr="005D3667" w:rsidRDefault="005D3667" w:rsidP="005D3667">
            <w:pPr>
              <w:spacing w:before="120"/>
            </w:pPr>
          </w:p>
          <w:p w:rsidR="005D3667" w:rsidRPr="005D3667" w:rsidRDefault="005D3667" w:rsidP="00B154BC">
            <w:pPr>
              <w:spacing w:before="120"/>
              <w:rPr>
                <w:b/>
              </w:rPr>
            </w:pPr>
            <w:r>
              <w:rPr>
                <w:b/>
              </w:rPr>
              <w:t>2</w:t>
            </w:r>
            <w:r w:rsidR="00B154BC">
              <w:rPr>
                <w:b/>
              </w:rPr>
              <w:t>2</w:t>
            </w:r>
            <w:r w:rsidRPr="005D3667">
              <w:rPr>
                <w:b/>
              </w:rPr>
              <w:t xml:space="preserve"> January 2016</w:t>
            </w:r>
          </w:p>
        </w:tc>
      </w:tr>
    </w:tbl>
    <w:p w:rsidR="00F846E1" w:rsidRPr="00F846E1" w:rsidRDefault="00226043" w:rsidP="00C772C1">
      <w:pPr>
        <w:pStyle w:val="HChG"/>
      </w:pPr>
      <w:r w:rsidRPr="00226043">
        <w:rPr>
          <w:lang w:val="en-US" w:eastAsia="fr-FR"/>
        </w:rPr>
        <w:tab/>
      </w:r>
      <w:r w:rsidRPr="00226043">
        <w:rPr>
          <w:lang w:val="en-US" w:eastAsia="fr-FR"/>
        </w:rPr>
        <w:tab/>
      </w:r>
      <w:r w:rsidR="00F846E1" w:rsidRPr="00F846E1">
        <w:t xml:space="preserve">Comments about the document </w:t>
      </w:r>
      <w:bookmarkStart w:id="0" w:name="_GoBack"/>
      <w:bookmarkEnd w:id="0"/>
      <w:r w:rsidR="00F846E1" w:rsidRPr="00F846E1">
        <w:t>ECE/TRANS/WP.15/AC.2/2016/</w:t>
      </w:r>
      <w:r w:rsidR="00B154BC">
        <w:t>4</w:t>
      </w:r>
    </w:p>
    <w:p w:rsidR="00056F4F" w:rsidRDefault="00C772C1" w:rsidP="00C772C1">
      <w:pPr>
        <w:pStyle w:val="H1G"/>
      </w:pPr>
      <w:r>
        <w:tab/>
      </w:r>
      <w:r>
        <w:tab/>
      </w:r>
      <w:r w:rsidR="002A62D1">
        <w:t>Transmitted by EBU, ESO and ERSTU</w:t>
      </w:r>
    </w:p>
    <w:p w:rsidR="00866DFE" w:rsidRPr="00866DFE" w:rsidRDefault="00866DFE" w:rsidP="00C772C1">
      <w:pPr>
        <w:pStyle w:val="SingleTxtG"/>
        <w:tabs>
          <w:tab w:val="left" w:pos="1701"/>
        </w:tabs>
      </w:pPr>
      <w:r w:rsidRPr="00866DFE">
        <w:t>1.</w:t>
      </w:r>
      <w:r w:rsidRPr="00866DFE">
        <w:tab/>
        <w:t>The effect of flame arresters and other equipment according to the current findings decisively depend on the gap widths for the passage of flames and sparks (standard gap widths). It is therefore correct in principle to define the standard gap widths as a function of the charging goods. This is done in ADN in Table C, Column 16.</w:t>
      </w:r>
    </w:p>
    <w:p w:rsidR="00866DFE" w:rsidRPr="00866DFE" w:rsidRDefault="00866DFE" w:rsidP="00C772C1">
      <w:pPr>
        <w:pStyle w:val="SingleTxtG"/>
        <w:tabs>
          <w:tab w:val="left" w:pos="1701"/>
        </w:tabs>
      </w:pPr>
      <w:r w:rsidRPr="00866DFE">
        <w:t>2.</w:t>
      </w:r>
      <w:r>
        <w:tab/>
      </w:r>
      <w:r w:rsidRPr="00866DFE">
        <w:t>The standard gap width for flame arresters are subdivided as follows:</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2009"/>
        <w:gridCol w:w="3260"/>
      </w:tblGrid>
      <w:tr w:rsidR="00866DFE" w:rsidRPr="00C772C1" w:rsidTr="00C772C1">
        <w:tc>
          <w:tcPr>
            <w:tcW w:w="2385" w:type="dxa"/>
            <w:shd w:val="clear" w:color="auto" w:fill="auto"/>
          </w:tcPr>
          <w:p w:rsidR="00866DFE" w:rsidRPr="00C772C1" w:rsidRDefault="00866DFE" w:rsidP="00866DFE">
            <w:pPr>
              <w:spacing w:line="240" w:lineRule="auto"/>
            </w:pPr>
            <w:r w:rsidRPr="00C772C1">
              <w:t>Highest safety level</w:t>
            </w:r>
          </w:p>
        </w:tc>
        <w:tc>
          <w:tcPr>
            <w:tcW w:w="2009" w:type="dxa"/>
            <w:shd w:val="clear" w:color="auto" w:fill="auto"/>
          </w:tcPr>
          <w:p w:rsidR="00866DFE" w:rsidRPr="00C772C1" w:rsidRDefault="00866DFE" w:rsidP="00DF1E95">
            <w:pPr>
              <w:spacing w:line="240" w:lineRule="auto"/>
              <w:ind w:left="1134"/>
            </w:pPr>
            <w:r w:rsidRPr="00C772C1">
              <w:t>II C</w:t>
            </w:r>
          </w:p>
        </w:tc>
        <w:tc>
          <w:tcPr>
            <w:tcW w:w="3260" w:type="dxa"/>
            <w:shd w:val="clear" w:color="auto" w:fill="auto"/>
          </w:tcPr>
          <w:p w:rsidR="00866DFE" w:rsidRPr="00C772C1" w:rsidRDefault="00866DFE" w:rsidP="00DF1E95">
            <w:pPr>
              <w:spacing w:line="240" w:lineRule="auto"/>
              <w:ind w:left="964"/>
            </w:pPr>
            <w:r w:rsidRPr="00C772C1">
              <w:t>&lt; 0.5</w:t>
            </w:r>
          </w:p>
        </w:tc>
      </w:tr>
      <w:tr w:rsidR="00866DFE" w:rsidRPr="00C772C1" w:rsidTr="00C772C1">
        <w:tc>
          <w:tcPr>
            <w:tcW w:w="2385" w:type="dxa"/>
            <w:shd w:val="clear" w:color="auto" w:fill="auto"/>
          </w:tcPr>
          <w:p w:rsidR="00866DFE" w:rsidRPr="00C772C1" w:rsidRDefault="00866DFE" w:rsidP="00866DFE">
            <w:pPr>
              <w:spacing w:line="240" w:lineRule="auto"/>
            </w:pPr>
          </w:p>
        </w:tc>
        <w:tc>
          <w:tcPr>
            <w:tcW w:w="2009" w:type="dxa"/>
            <w:shd w:val="clear" w:color="auto" w:fill="auto"/>
          </w:tcPr>
          <w:p w:rsidR="00866DFE" w:rsidRPr="00C772C1" w:rsidRDefault="00866DFE" w:rsidP="00DF1E95">
            <w:pPr>
              <w:spacing w:line="240" w:lineRule="auto"/>
              <w:ind w:left="1134"/>
            </w:pPr>
            <w:r w:rsidRPr="00C772C1">
              <w:t>II B</w:t>
            </w:r>
          </w:p>
        </w:tc>
        <w:tc>
          <w:tcPr>
            <w:tcW w:w="3260" w:type="dxa"/>
            <w:shd w:val="clear" w:color="auto" w:fill="auto"/>
          </w:tcPr>
          <w:p w:rsidR="00866DFE" w:rsidRPr="00C772C1" w:rsidRDefault="00866DFE" w:rsidP="00DF1E95">
            <w:pPr>
              <w:spacing w:line="240" w:lineRule="auto"/>
              <w:ind w:left="964"/>
            </w:pPr>
            <w:r w:rsidRPr="00C772C1">
              <w:t xml:space="preserve">0.5 </w:t>
            </w:r>
            <w:r w:rsidRPr="00C772C1">
              <w:rPr>
                <w:cs/>
              </w:rPr>
              <w:t xml:space="preserve">– </w:t>
            </w:r>
            <w:r w:rsidRPr="00C772C1">
              <w:t>0.9 mm</w:t>
            </w:r>
          </w:p>
        </w:tc>
      </w:tr>
      <w:tr w:rsidR="00866DFE" w:rsidRPr="00C772C1" w:rsidTr="00C772C1">
        <w:tc>
          <w:tcPr>
            <w:tcW w:w="2385" w:type="dxa"/>
            <w:shd w:val="clear" w:color="auto" w:fill="auto"/>
          </w:tcPr>
          <w:p w:rsidR="00866DFE" w:rsidRPr="00C772C1" w:rsidRDefault="00866DFE" w:rsidP="00866DFE">
            <w:pPr>
              <w:spacing w:line="240" w:lineRule="auto"/>
            </w:pPr>
          </w:p>
        </w:tc>
        <w:tc>
          <w:tcPr>
            <w:tcW w:w="2009" w:type="dxa"/>
            <w:shd w:val="clear" w:color="auto" w:fill="auto"/>
          </w:tcPr>
          <w:p w:rsidR="00866DFE" w:rsidRPr="00C772C1" w:rsidRDefault="00866DFE" w:rsidP="00DF1E95">
            <w:pPr>
              <w:spacing w:line="240" w:lineRule="auto"/>
              <w:ind w:left="1134"/>
            </w:pPr>
            <w:r w:rsidRPr="00C772C1">
              <w:t>II B3</w:t>
            </w:r>
          </w:p>
        </w:tc>
        <w:tc>
          <w:tcPr>
            <w:tcW w:w="3260" w:type="dxa"/>
            <w:shd w:val="clear" w:color="auto" w:fill="auto"/>
          </w:tcPr>
          <w:p w:rsidR="00866DFE" w:rsidRPr="00C772C1" w:rsidRDefault="00866DFE" w:rsidP="00DF1E95">
            <w:pPr>
              <w:spacing w:line="240" w:lineRule="auto"/>
              <w:ind w:left="964"/>
            </w:pPr>
            <w:r w:rsidRPr="00C772C1">
              <w:t xml:space="preserve">0.65 </w:t>
            </w:r>
            <w:r w:rsidRPr="00C772C1">
              <w:rPr>
                <w:cs/>
              </w:rPr>
              <w:t xml:space="preserve">– </w:t>
            </w:r>
            <w:r w:rsidRPr="00C772C1">
              <w:t>0.9 mm</w:t>
            </w:r>
          </w:p>
        </w:tc>
      </w:tr>
      <w:tr w:rsidR="00866DFE" w:rsidRPr="00C772C1" w:rsidTr="00C772C1">
        <w:tc>
          <w:tcPr>
            <w:tcW w:w="2385" w:type="dxa"/>
            <w:shd w:val="clear" w:color="auto" w:fill="auto"/>
          </w:tcPr>
          <w:p w:rsidR="00866DFE" w:rsidRPr="00C772C1" w:rsidRDefault="00866DFE" w:rsidP="00866DFE">
            <w:pPr>
              <w:spacing w:line="240" w:lineRule="auto"/>
            </w:pPr>
          </w:p>
        </w:tc>
        <w:tc>
          <w:tcPr>
            <w:tcW w:w="2009" w:type="dxa"/>
            <w:shd w:val="clear" w:color="auto" w:fill="auto"/>
          </w:tcPr>
          <w:p w:rsidR="00866DFE" w:rsidRPr="00C772C1" w:rsidRDefault="00866DFE" w:rsidP="00DF1E95">
            <w:pPr>
              <w:spacing w:line="240" w:lineRule="auto"/>
              <w:ind w:left="1134"/>
            </w:pPr>
            <w:r w:rsidRPr="00C772C1">
              <w:t>II B2</w:t>
            </w:r>
          </w:p>
        </w:tc>
        <w:tc>
          <w:tcPr>
            <w:tcW w:w="3260" w:type="dxa"/>
            <w:shd w:val="clear" w:color="auto" w:fill="auto"/>
          </w:tcPr>
          <w:p w:rsidR="00866DFE" w:rsidRPr="00C772C1" w:rsidRDefault="00866DFE" w:rsidP="00DF1E95">
            <w:pPr>
              <w:spacing w:line="240" w:lineRule="auto"/>
              <w:ind w:left="964"/>
            </w:pPr>
            <w:r w:rsidRPr="00C772C1">
              <w:t xml:space="preserve">0.75 </w:t>
            </w:r>
            <w:r w:rsidRPr="00C772C1">
              <w:rPr>
                <w:cs/>
              </w:rPr>
              <w:t xml:space="preserve">– </w:t>
            </w:r>
            <w:r w:rsidRPr="00C772C1">
              <w:t>0.9 mm</w:t>
            </w:r>
          </w:p>
        </w:tc>
      </w:tr>
      <w:tr w:rsidR="00866DFE" w:rsidRPr="00C772C1" w:rsidTr="00C772C1">
        <w:tc>
          <w:tcPr>
            <w:tcW w:w="2385" w:type="dxa"/>
            <w:shd w:val="clear" w:color="auto" w:fill="auto"/>
          </w:tcPr>
          <w:p w:rsidR="00866DFE" w:rsidRPr="00C772C1" w:rsidRDefault="00866DFE" w:rsidP="00866DFE">
            <w:pPr>
              <w:spacing w:line="240" w:lineRule="auto"/>
            </w:pPr>
          </w:p>
        </w:tc>
        <w:tc>
          <w:tcPr>
            <w:tcW w:w="2009" w:type="dxa"/>
            <w:shd w:val="clear" w:color="auto" w:fill="auto"/>
          </w:tcPr>
          <w:p w:rsidR="00866DFE" w:rsidRPr="00C772C1" w:rsidRDefault="00866DFE" w:rsidP="00DF1E95">
            <w:pPr>
              <w:spacing w:line="240" w:lineRule="auto"/>
              <w:ind w:left="1134"/>
            </w:pPr>
            <w:r w:rsidRPr="00C772C1">
              <w:t>II B1</w:t>
            </w:r>
          </w:p>
        </w:tc>
        <w:tc>
          <w:tcPr>
            <w:tcW w:w="3260" w:type="dxa"/>
            <w:shd w:val="clear" w:color="auto" w:fill="auto"/>
          </w:tcPr>
          <w:p w:rsidR="00866DFE" w:rsidRPr="00C772C1" w:rsidRDefault="00866DFE" w:rsidP="00DF1E95">
            <w:pPr>
              <w:spacing w:line="240" w:lineRule="auto"/>
              <w:ind w:left="964"/>
            </w:pPr>
            <w:r w:rsidRPr="00C772C1">
              <w:t xml:space="preserve">0.85 </w:t>
            </w:r>
            <w:r w:rsidRPr="00C772C1">
              <w:rPr>
                <w:cs/>
              </w:rPr>
              <w:t xml:space="preserve">– </w:t>
            </w:r>
            <w:r w:rsidRPr="00C772C1">
              <w:t>0.9 mm</w:t>
            </w:r>
          </w:p>
        </w:tc>
      </w:tr>
      <w:tr w:rsidR="00866DFE" w:rsidRPr="00C772C1" w:rsidTr="00C772C1">
        <w:tc>
          <w:tcPr>
            <w:tcW w:w="2385" w:type="dxa"/>
            <w:shd w:val="clear" w:color="auto" w:fill="auto"/>
          </w:tcPr>
          <w:p w:rsidR="00866DFE" w:rsidRPr="00C772C1" w:rsidRDefault="00866DFE" w:rsidP="00866DFE">
            <w:pPr>
              <w:spacing w:line="240" w:lineRule="auto"/>
            </w:pPr>
            <w:r w:rsidRPr="00C772C1">
              <w:t>Lowest safety level</w:t>
            </w:r>
          </w:p>
        </w:tc>
        <w:tc>
          <w:tcPr>
            <w:tcW w:w="2009" w:type="dxa"/>
            <w:shd w:val="clear" w:color="auto" w:fill="auto"/>
          </w:tcPr>
          <w:p w:rsidR="00866DFE" w:rsidRPr="00C772C1" w:rsidRDefault="00866DFE" w:rsidP="00DF1E95">
            <w:pPr>
              <w:spacing w:line="240" w:lineRule="auto"/>
              <w:ind w:left="1134"/>
            </w:pPr>
            <w:r w:rsidRPr="00C772C1">
              <w:t>II A</w:t>
            </w:r>
          </w:p>
        </w:tc>
        <w:tc>
          <w:tcPr>
            <w:tcW w:w="3260" w:type="dxa"/>
            <w:shd w:val="clear" w:color="auto" w:fill="auto"/>
          </w:tcPr>
          <w:p w:rsidR="00866DFE" w:rsidRPr="00C772C1" w:rsidRDefault="00866DFE" w:rsidP="00DF1E95">
            <w:pPr>
              <w:spacing w:line="240" w:lineRule="auto"/>
              <w:ind w:left="964"/>
            </w:pPr>
            <w:r w:rsidRPr="00C772C1">
              <w:t xml:space="preserve">0.9 </w:t>
            </w:r>
            <w:r w:rsidRPr="00C772C1">
              <w:rPr>
                <w:cs/>
              </w:rPr>
              <w:t xml:space="preserve">– </w:t>
            </w:r>
            <w:r w:rsidRPr="00C772C1">
              <w:t>1.1 mm</w:t>
            </w:r>
          </w:p>
        </w:tc>
      </w:tr>
    </w:tbl>
    <w:p w:rsidR="00DF1E95" w:rsidRDefault="00866DFE" w:rsidP="00C772C1">
      <w:pPr>
        <w:pStyle w:val="SingleTxtG"/>
        <w:spacing w:before="120"/>
      </w:pPr>
      <w:r w:rsidRPr="00866DFE">
        <w:t xml:space="preserve">The respectively smaller value is decisive for higher level of safety. </w:t>
      </w:r>
    </w:p>
    <w:p w:rsidR="00866DFE" w:rsidRPr="00866DFE" w:rsidRDefault="00DF1E95" w:rsidP="00C772C1">
      <w:pPr>
        <w:pStyle w:val="SingleTxtG"/>
        <w:tabs>
          <w:tab w:val="left" w:pos="1701"/>
        </w:tabs>
      </w:pPr>
      <w:r>
        <w:t>3.</w:t>
      </w:r>
      <w:r>
        <w:tab/>
      </w:r>
      <w:r w:rsidR="00866DFE" w:rsidRPr="00866DFE">
        <w:t xml:space="preserve">To date, in the ADN, the subgroups II B3, II B 2 and II B 1 are not shown. This shall be accomplished with the amendment </w:t>
      </w:r>
      <w:r w:rsidR="00197D3C">
        <w:t>ECE/TRANS/</w:t>
      </w:r>
      <w:r w:rsidR="00866DFE" w:rsidRPr="00866DFE">
        <w:t>WP 15/AC.2/2016/4</w:t>
      </w:r>
      <w:r w:rsidR="00866DFE">
        <w:t xml:space="preserve">. </w:t>
      </w:r>
    </w:p>
    <w:p w:rsidR="00866DFE" w:rsidRDefault="00866DFE" w:rsidP="00C772C1">
      <w:pPr>
        <w:pStyle w:val="SingleTxtG"/>
        <w:tabs>
          <w:tab w:val="left" w:pos="1701"/>
        </w:tabs>
      </w:pPr>
      <w:r>
        <w:t>4.</w:t>
      </w:r>
      <w:r>
        <w:tab/>
      </w:r>
      <w:r w:rsidRPr="00866DFE">
        <w:t>Ships that have been allocated the explosion group II B, but are equipped only according to IIB 3, do not cover the gap range from 0.5 to 0.65.</w:t>
      </w:r>
    </w:p>
    <w:p w:rsidR="00866DFE" w:rsidRDefault="00866DFE" w:rsidP="00C772C1">
      <w:pPr>
        <w:pStyle w:val="SingleTxtG"/>
        <w:tabs>
          <w:tab w:val="left" w:pos="1701"/>
        </w:tabs>
      </w:pPr>
      <w:r>
        <w:t>5.</w:t>
      </w:r>
      <w:r>
        <w:tab/>
      </w:r>
      <w:r w:rsidRPr="00866DFE">
        <w:t xml:space="preserve">The informal working group - list of materials - with its Protocol on the 7th and 8th working group meeting (WP.15/AC.2/27/INF.12) has found that the majority of ships equipped for explosion group II B3 feature the explosions group II B according to a list of materials. </w:t>
      </w:r>
    </w:p>
    <w:p w:rsidR="00866DFE" w:rsidRDefault="00866DFE" w:rsidP="00C772C1">
      <w:pPr>
        <w:pStyle w:val="SingleTxtG"/>
        <w:tabs>
          <w:tab w:val="left" w:pos="1701"/>
        </w:tabs>
      </w:pPr>
      <w:r>
        <w:t>6.</w:t>
      </w:r>
      <w:r>
        <w:tab/>
      </w:r>
      <w:r w:rsidRPr="00866DFE">
        <w:t>The reasons why this situation has occurred are unclear at the moment. It is questionable at the moment whether type II B flame arresters are available at all on the market, for use on inland waterways.</w:t>
      </w:r>
    </w:p>
    <w:p w:rsidR="00866DFE" w:rsidRPr="00866DFE" w:rsidRDefault="00866DFE" w:rsidP="00C772C1">
      <w:pPr>
        <w:pStyle w:val="SingleTxtG"/>
        <w:tabs>
          <w:tab w:val="left" w:pos="1701"/>
        </w:tabs>
      </w:pPr>
      <w:r>
        <w:t>7.</w:t>
      </w:r>
      <w:r>
        <w:tab/>
      </w:r>
      <w:r w:rsidRPr="00866DFE">
        <w:t xml:space="preserve">According to the industry, when the classification societies created the list of materials for ships, the subdivision of group II B into the three sub-groups has not been observed to date. The </w:t>
      </w:r>
      <w:proofErr w:type="gramStart"/>
      <w:r w:rsidRPr="00866DFE">
        <w:t>list of materials of numerous ships with II B 3 equipment contain</w:t>
      </w:r>
      <w:proofErr w:type="gramEnd"/>
      <w:r w:rsidRPr="00866DFE">
        <w:t xml:space="preserve"> materials for which actually a II B equipment would be required. </w:t>
      </w:r>
    </w:p>
    <w:p w:rsidR="00866DFE" w:rsidRDefault="00866DFE" w:rsidP="00C772C1">
      <w:pPr>
        <w:pStyle w:val="SingleTxtG"/>
        <w:tabs>
          <w:tab w:val="left" w:pos="1701"/>
        </w:tabs>
      </w:pPr>
      <w:r>
        <w:lastRenderedPageBreak/>
        <w:t xml:space="preserve">8. </w:t>
      </w:r>
      <w:r>
        <w:tab/>
      </w:r>
      <w:r w:rsidRPr="00866DFE">
        <w:t xml:space="preserve">For the first time in the last weeks and months, a classification society considered this issue when preparing the list of materials for 2 ships. Consequently, this means that with today's conventional equipment, for group II B3 for existing ships, significantly less products may be added to the list of materials, as it would be the case under previous interpretation. </w:t>
      </w:r>
    </w:p>
    <w:p w:rsidR="00866DFE" w:rsidRPr="00866DFE" w:rsidRDefault="00866DFE" w:rsidP="00C772C1">
      <w:pPr>
        <w:pStyle w:val="SingleTxtG"/>
        <w:tabs>
          <w:tab w:val="left" w:pos="1701"/>
        </w:tabs>
      </w:pPr>
      <w:r>
        <w:t>9.</w:t>
      </w:r>
      <w:r>
        <w:tab/>
      </w:r>
      <w:r w:rsidRPr="00866DFE">
        <w:t>The industry is not aware about the approach of other classification societies in this regard.</w:t>
      </w:r>
    </w:p>
    <w:p w:rsidR="00866DFE" w:rsidRPr="00866DFE" w:rsidRDefault="00866DFE" w:rsidP="00C772C1">
      <w:pPr>
        <w:pStyle w:val="SingleTxtG"/>
        <w:tabs>
          <w:tab w:val="left" w:pos="1701"/>
        </w:tabs>
      </w:pPr>
      <w:r>
        <w:t>10.</w:t>
      </w:r>
      <w:r>
        <w:tab/>
      </w:r>
      <w:r w:rsidRPr="00866DFE">
        <w:t>Nevertheless, now knowing that this is a previously unrecognized safety gap, the impact of immediate remedy of the problem would be synonymous with the following:</w:t>
      </w:r>
    </w:p>
    <w:p w:rsidR="00866DFE" w:rsidRPr="00C772C1" w:rsidRDefault="00866DFE" w:rsidP="00C772C1">
      <w:pPr>
        <w:pStyle w:val="Bullet1G"/>
      </w:pPr>
      <w:r w:rsidRPr="00C772C1">
        <w:rPr>
          <w:rStyle w:val="Heading1Char"/>
        </w:rPr>
        <w:t>Reduction of the products previously approved for freight in the list of materials for ships</w:t>
      </w:r>
      <w:r w:rsidR="009E4DC9" w:rsidRPr="00C772C1">
        <w:rPr>
          <w:rStyle w:val="Heading1Char"/>
        </w:rPr>
        <w:t>.</w:t>
      </w:r>
      <w:r w:rsidRPr="00C772C1">
        <w:rPr>
          <w:rStyle w:val="Heading1Char"/>
        </w:rPr>
        <w:t xml:space="preserve"> </w:t>
      </w:r>
    </w:p>
    <w:p w:rsidR="00866DFE" w:rsidRPr="00C772C1" w:rsidRDefault="00866DFE" w:rsidP="00C772C1">
      <w:pPr>
        <w:pStyle w:val="Bullet1G"/>
      </w:pPr>
      <w:r w:rsidRPr="00C772C1">
        <w:rPr>
          <w:rStyle w:val="Heading1Char"/>
        </w:rPr>
        <w:t>When retrofitting flame arresters with smaller standard gap widths, there can be significant impact on the charging and discharging rate and this can in turn affect the installation systems.</w:t>
      </w:r>
    </w:p>
    <w:p w:rsidR="00866DFE" w:rsidRPr="00C772C1" w:rsidRDefault="00866DFE" w:rsidP="00C772C1">
      <w:pPr>
        <w:pStyle w:val="Bullet1G"/>
      </w:pPr>
      <w:r w:rsidRPr="00C772C1">
        <w:rPr>
          <w:rStyle w:val="Heading1Char"/>
        </w:rPr>
        <w:t>Test and if necessary adjustment of predetermined charging / discharging rates</w:t>
      </w:r>
    </w:p>
    <w:p w:rsidR="00866DFE" w:rsidRPr="00866DFE" w:rsidRDefault="00866DFE" w:rsidP="00C772C1">
      <w:pPr>
        <w:pStyle w:val="Bullet1G"/>
      </w:pPr>
      <w:r w:rsidRPr="00C772C1">
        <w:rPr>
          <w:rStyle w:val="Heading1Char"/>
        </w:rPr>
        <w:t>Extension of the time needed for handling.</w:t>
      </w:r>
    </w:p>
    <w:p w:rsidR="00866DFE" w:rsidRPr="00866DFE" w:rsidRDefault="00866DFE" w:rsidP="00C772C1">
      <w:pPr>
        <w:pStyle w:val="SingleTxtG"/>
        <w:tabs>
          <w:tab w:val="left" w:pos="1701"/>
        </w:tabs>
      </w:pPr>
      <w:r>
        <w:t>11.</w:t>
      </w:r>
      <w:r>
        <w:tab/>
      </w:r>
      <w:r w:rsidRPr="00866DFE">
        <w:t>According to one of the leading manufacturers of safety valves, flame arrester screens etc. (</w:t>
      </w:r>
      <w:proofErr w:type="spellStart"/>
      <w:r w:rsidRPr="00866DFE">
        <w:t>Protego</w:t>
      </w:r>
      <w:proofErr w:type="spellEnd"/>
      <w:r w:rsidRPr="00866DFE">
        <w:t xml:space="preserve"> Co.) such fittings are currently neither in the explosion group II B, nor in the explosion group II C in the delivery program.</w:t>
      </w:r>
    </w:p>
    <w:p w:rsidR="00866DFE" w:rsidRPr="00866DFE" w:rsidRDefault="00866DFE" w:rsidP="00C772C1">
      <w:pPr>
        <w:pStyle w:val="SingleTxtG"/>
        <w:tabs>
          <w:tab w:val="left" w:pos="1701"/>
        </w:tabs>
      </w:pPr>
      <w:r>
        <w:t>12.</w:t>
      </w:r>
      <w:r>
        <w:tab/>
      </w:r>
      <w:r w:rsidRPr="00866DFE">
        <w:t>With respect to flame screens, this company could provide information that during the change from explosion group II B 3 to the explosion group II B, the dimensions of these screens would significantly increase, which is structurally very difficult to implement on existing ships.</w:t>
      </w:r>
    </w:p>
    <w:p w:rsidR="00866DFE" w:rsidRPr="00866DFE" w:rsidRDefault="00866DFE" w:rsidP="00C772C1">
      <w:pPr>
        <w:pStyle w:val="SingleTxtG"/>
        <w:tabs>
          <w:tab w:val="left" w:pos="1701"/>
        </w:tabs>
      </w:pPr>
      <w:r>
        <w:t>13.</w:t>
      </w:r>
      <w:r>
        <w:tab/>
      </w:r>
      <w:r w:rsidRPr="00866DFE">
        <w:t xml:space="preserve">Attention must also be drawn to the fact that for approx. 156 products that would be eliminated between the explosion group II B and II B 3 equipment, 90% - 95% bear the footnote 4, and 7 (estimated classification), which in turn means that they are solely classified in the explosion group II B because they have not been examined specifically, and the explosion group II B is considered to be a safe group. </w:t>
      </w:r>
    </w:p>
    <w:p w:rsidR="00866DFE" w:rsidRPr="00866DFE" w:rsidRDefault="00B1171F" w:rsidP="00C772C1">
      <w:pPr>
        <w:pStyle w:val="SingleTxtG"/>
        <w:tabs>
          <w:tab w:val="left" w:pos="1701"/>
        </w:tabs>
      </w:pPr>
      <w:r>
        <w:t>14.</w:t>
      </w:r>
      <w:r>
        <w:tab/>
      </w:r>
      <w:r w:rsidR="00866DFE" w:rsidRPr="00866DFE">
        <w:t>Alternatively, these materials would have to be examined to make reliable classification, or the explosion group II B 3 would also have to be considered safe.</w:t>
      </w:r>
    </w:p>
    <w:p w:rsidR="00866DFE" w:rsidRDefault="00866DFE" w:rsidP="00C772C1">
      <w:pPr>
        <w:pStyle w:val="SingleTxtG"/>
        <w:tabs>
          <w:tab w:val="left" w:pos="1701"/>
        </w:tabs>
      </w:pPr>
      <w:r>
        <w:t>1</w:t>
      </w:r>
      <w:r w:rsidR="00B1171F">
        <w:t>5</w:t>
      </w:r>
      <w:r>
        <w:t>.</w:t>
      </w:r>
      <w:r>
        <w:tab/>
      </w:r>
      <w:r w:rsidRPr="00866DFE">
        <w:t xml:space="preserve">These relationships are likely to be unknown at present, in the entire shipping and transportation trade, and even the authorities </w:t>
      </w:r>
      <w:r>
        <w:t>were until now</w:t>
      </w:r>
      <w:r w:rsidRPr="00866DFE">
        <w:t xml:space="preserve"> aware of the above-cited cases. It is therefore necessary to carefully examine the stated problems and to afford the parties enough time to adapt to the changed situation. </w:t>
      </w:r>
    </w:p>
    <w:p w:rsidR="00866DFE" w:rsidRDefault="00866DFE" w:rsidP="00C772C1">
      <w:pPr>
        <w:pStyle w:val="SingleTxtG"/>
        <w:tabs>
          <w:tab w:val="left" w:pos="1701"/>
        </w:tabs>
      </w:pPr>
      <w:r>
        <w:t>1</w:t>
      </w:r>
      <w:r w:rsidR="00B1171F">
        <w:t>6</w:t>
      </w:r>
      <w:r>
        <w:t>.</w:t>
      </w:r>
      <w:r>
        <w:tab/>
      </w:r>
      <w:r w:rsidRPr="00866DFE">
        <w:t xml:space="preserve">Such problems do not exist in road and rail transport sectors since such a list of materials does not exist as in the inland waterways. To the trade, it is not clear whether considerations exist today, that the system of dividing the group B II into the three sub-groups shall be abolished again - as it has already been discussed once. </w:t>
      </w:r>
    </w:p>
    <w:p w:rsidR="004C24AA" w:rsidRDefault="00866DFE" w:rsidP="00C772C1">
      <w:pPr>
        <w:pStyle w:val="SingleTxtG"/>
        <w:tabs>
          <w:tab w:val="left" w:pos="1701"/>
        </w:tabs>
      </w:pPr>
      <w:r>
        <w:t>1</w:t>
      </w:r>
      <w:r w:rsidR="00B1171F">
        <w:t>7</w:t>
      </w:r>
      <w:r>
        <w:t>.</w:t>
      </w:r>
      <w:r>
        <w:tab/>
      </w:r>
      <w:r w:rsidRPr="00866DFE">
        <w:t>Business has requested for the safety committee to let the facts to be investigated thoroughly and to give the parties sufficient opportunity to familiarise with the situation and to ensure uniform application of the rules.</w:t>
      </w:r>
    </w:p>
    <w:p w:rsidR="00C772C1" w:rsidRPr="00C772C1" w:rsidRDefault="00C772C1" w:rsidP="00C772C1">
      <w:pPr>
        <w:pStyle w:val="SingleTxtG"/>
        <w:tabs>
          <w:tab w:val="left" w:pos="1701"/>
        </w:tabs>
        <w:spacing w:before="240" w:after="0"/>
        <w:jc w:val="center"/>
        <w:rPr>
          <w:u w:val="single"/>
        </w:rPr>
      </w:pPr>
      <w:r>
        <w:rPr>
          <w:u w:val="single"/>
        </w:rPr>
        <w:tab/>
      </w:r>
      <w:r>
        <w:rPr>
          <w:u w:val="single"/>
        </w:rPr>
        <w:tab/>
      </w:r>
      <w:r>
        <w:rPr>
          <w:u w:val="single"/>
        </w:rPr>
        <w:tab/>
      </w:r>
    </w:p>
    <w:sectPr w:rsidR="00C772C1" w:rsidRPr="00C772C1" w:rsidSect="00C772C1">
      <w:headerReference w:type="even" r:id="rId9"/>
      <w:headerReference w:type="default" r:id="rId10"/>
      <w:footerReference w:type="even" r:id="rId11"/>
      <w:footerReference w:type="default" r:id="rId12"/>
      <w:footerReference w:type="first" r:id="rId13"/>
      <w:pgSz w:w="11907" w:h="16839" w:code="9"/>
      <w:pgMar w:top="1701" w:right="1134" w:bottom="2268" w:left="1134" w:header="1134"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DFE" w:rsidRDefault="00866DFE" w:rsidP="00226043">
      <w:pPr>
        <w:spacing w:line="240" w:lineRule="auto"/>
      </w:pPr>
      <w:r>
        <w:separator/>
      </w:r>
    </w:p>
  </w:endnote>
  <w:endnote w:type="continuationSeparator" w:id="0">
    <w:p w:rsidR="00866DFE" w:rsidRDefault="00866DFE" w:rsidP="00226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FE" w:rsidRPr="00F8267A" w:rsidRDefault="00F94412" w:rsidP="00F8267A">
    <w:pPr>
      <w:spacing w:line="240" w:lineRule="auto"/>
      <w:rPr>
        <w:b/>
        <w:sz w:val="18"/>
        <w:szCs w:val="18"/>
      </w:rPr>
    </w:pPr>
    <w:r w:rsidRPr="00F8267A">
      <w:rPr>
        <w:b/>
        <w:sz w:val="18"/>
        <w:szCs w:val="18"/>
      </w:rPr>
      <w:fldChar w:fldCharType="begin"/>
    </w:r>
    <w:r w:rsidR="00866DFE" w:rsidRPr="00F8267A">
      <w:rPr>
        <w:b/>
        <w:sz w:val="18"/>
        <w:szCs w:val="18"/>
      </w:rPr>
      <w:instrText xml:space="preserve"> PAGE   \* MERGEFORMAT </w:instrText>
    </w:r>
    <w:r w:rsidRPr="00F8267A">
      <w:rPr>
        <w:b/>
        <w:sz w:val="18"/>
        <w:szCs w:val="18"/>
      </w:rPr>
      <w:fldChar w:fldCharType="separate"/>
    </w:r>
    <w:r w:rsidR="00453E45">
      <w:rPr>
        <w:b/>
        <w:noProof/>
        <w:sz w:val="18"/>
        <w:szCs w:val="18"/>
      </w:rPr>
      <w:t>2</w:t>
    </w:r>
    <w:r w:rsidRPr="00F8267A">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FE" w:rsidRPr="00F8267A" w:rsidRDefault="00F94412" w:rsidP="00F8267A">
    <w:pPr>
      <w:jc w:val="right"/>
      <w:rPr>
        <w:b/>
        <w:sz w:val="18"/>
        <w:szCs w:val="18"/>
      </w:rPr>
    </w:pPr>
    <w:r w:rsidRPr="00F8267A">
      <w:rPr>
        <w:b/>
        <w:sz w:val="18"/>
        <w:szCs w:val="18"/>
      </w:rPr>
      <w:fldChar w:fldCharType="begin"/>
    </w:r>
    <w:r w:rsidR="00866DFE" w:rsidRPr="00F8267A">
      <w:rPr>
        <w:b/>
        <w:sz w:val="18"/>
        <w:szCs w:val="18"/>
      </w:rPr>
      <w:instrText xml:space="preserve"> PAGE   \* MERGEFORMAT </w:instrText>
    </w:r>
    <w:r w:rsidRPr="00F8267A">
      <w:rPr>
        <w:b/>
        <w:sz w:val="18"/>
        <w:szCs w:val="18"/>
      </w:rPr>
      <w:fldChar w:fldCharType="separate"/>
    </w:r>
    <w:r w:rsidR="00C772C1">
      <w:rPr>
        <w:b/>
        <w:noProof/>
        <w:sz w:val="18"/>
        <w:szCs w:val="18"/>
      </w:rPr>
      <w:t>3</w:t>
    </w:r>
    <w:r w:rsidRPr="00F8267A">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FE" w:rsidRPr="00F8267A" w:rsidRDefault="00F94412" w:rsidP="00F8267A">
    <w:pPr>
      <w:jc w:val="right"/>
      <w:rPr>
        <w:b/>
        <w:sz w:val="18"/>
        <w:szCs w:val="18"/>
      </w:rPr>
    </w:pPr>
    <w:r w:rsidRPr="00F8267A">
      <w:rPr>
        <w:b/>
        <w:sz w:val="18"/>
        <w:szCs w:val="18"/>
      </w:rPr>
      <w:fldChar w:fldCharType="begin"/>
    </w:r>
    <w:r w:rsidR="00866DFE" w:rsidRPr="00F8267A">
      <w:rPr>
        <w:b/>
        <w:sz w:val="18"/>
        <w:szCs w:val="18"/>
      </w:rPr>
      <w:instrText xml:space="preserve"> PAGE   \* MERGEFORMAT </w:instrText>
    </w:r>
    <w:r w:rsidRPr="00F8267A">
      <w:rPr>
        <w:b/>
        <w:sz w:val="18"/>
        <w:szCs w:val="18"/>
      </w:rPr>
      <w:fldChar w:fldCharType="separate"/>
    </w:r>
    <w:r w:rsidR="00453E45">
      <w:rPr>
        <w:b/>
        <w:noProof/>
        <w:sz w:val="18"/>
        <w:szCs w:val="18"/>
      </w:rPr>
      <w:t>1</w:t>
    </w:r>
    <w:r w:rsidRPr="00F8267A">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DFE" w:rsidRDefault="00866DFE" w:rsidP="00226043">
      <w:pPr>
        <w:spacing w:line="240" w:lineRule="auto"/>
      </w:pPr>
      <w:r>
        <w:separator/>
      </w:r>
    </w:p>
  </w:footnote>
  <w:footnote w:type="continuationSeparator" w:id="0">
    <w:p w:rsidR="00866DFE" w:rsidRDefault="00866DFE" w:rsidP="002260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FE" w:rsidRPr="00F8267A" w:rsidRDefault="00866DFE" w:rsidP="00F8267A">
    <w:pPr>
      <w:pBdr>
        <w:bottom w:val="single" w:sz="4" w:space="4" w:color="auto"/>
      </w:pBdr>
      <w:spacing w:line="240" w:lineRule="auto"/>
      <w:rPr>
        <w:b/>
        <w:sz w:val="18"/>
      </w:rPr>
    </w:pPr>
    <w:r w:rsidRPr="00F8267A">
      <w:rPr>
        <w:b/>
        <w:sz w:val="18"/>
      </w:rPr>
      <w:t>W</w:t>
    </w:r>
    <w:r>
      <w:rPr>
        <w:b/>
        <w:sz w:val="18"/>
      </w:rPr>
      <w:t>P.15/AC.2/28/INF.</w:t>
    </w:r>
    <w:r w:rsidR="00C772C1">
      <w:rPr>
        <w:b/>
        <w:sz w:val="18"/>
      </w:rPr>
      <w:t>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FE" w:rsidRPr="00F8267A" w:rsidRDefault="00866DFE" w:rsidP="00F8267A">
    <w:pPr>
      <w:pBdr>
        <w:bottom w:val="single" w:sz="4" w:space="4" w:color="auto"/>
      </w:pBdr>
      <w:spacing w:line="240" w:lineRule="auto"/>
      <w:jc w:val="right"/>
      <w:rPr>
        <w:b/>
        <w:sz w:val="18"/>
      </w:rPr>
    </w:pPr>
    <w:r w:rsidRPr="00F8267A">
      <w:rPr>
        <w:b/>
        <w:sz w:val="18"/>
      </w:rPr>
      <w:t>W</w:t>
    </w:r>
    <w:r>
      <w:rPr>
        <w:b/>
        <w:sz w:val="18"/>
      </w:rPr>
      <w:t>P.15/AC.2/28/INF.</w:t>
    </w:r>
    <w:r w:rsidR="00C772C1">
      <w:rPr>
        <w:b/>
        <w:sz w:val="18"/>
      </w:rPr>
      <w:t>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E03DE2"/>
    <w:lvl w:ilvl="0">
      <w:start w:val="1"/>
      <w:numFmt w:val="decimal"/>
      <w:lvlText w:val="%1."/>
      <w:lvlJc w:val="left"/>
      <w:pPr>
        <w:tabs>
          <w:tab w:val="num" w:pos="1492"/>
        </w:tabs>
        <w:ind w:left="1492" w:hanging="360"/>
      </w:pPr>
    </w:lvl>
  </w:abstractNum>
  <w:abstractNum w:abstractNumId="1">
    <w:nsid w:val="FFFFFF7D"/>
    <w:multiLevelType w:val="singleLevel"/>
    <w:tmpl w:val="C8201C8E"/>
    <w:lvl w:ilvl="0">
      <w:start w:val="1"/>
      <w:numFmt w:val="decimal"/>
      <w:lvlText w:val="%1."/>
      <w:lvlJc w:val="left"/>
      <w:pPr>
        <w:tabs>
          <w:tab w:val="num" w:pos="1209"/>
        </w:tabs>
        <w:ind w:left="1209" w:hanging="360"/>
      </w:pPr>
    </w:lvl>
  </w:abstractNum>
  <w:abstractNum w:abstractNumId="2">
    <w:nsid w:val="FFFFFF7E"/>
    <w:multiLevelType w:val="singleLevel"/>
    <w:tmpl w:val="B1F46532"/>
    <w:lvl w:ilvl="0">
      <w:start w:val="1"/>
      <w:numFmt w:val="decimal"/>
      <w:lvlText w:val="%1."/>
      <w:lvlJc w:val="left"/>
      <w:pPr>
        <w:tabs>
          <w:tab w:val="num" w:pos="926"/>
        </w:tabs>
        <w:ind w:left="926" w:hanging="360"/>
      </w:pPr>
    </w:lvl>
  </w:abstractNum>
  <w:abstractNum w:abstractNumId="3">
    <w:nsid w:val="FFFFFF7F"/>
    <w:multiLevelType w:val="singleLevel"/>
    <w:tmpl w:val="B03A2C3A"/>
    <w:lvl w:ilvl="0">
      <w:start w:val="1"/>
      <w:numFmt w:val="decimal"/>
      <w:lvlText w:val="%1."/>
      <w:lvlJc w:val="left"/>
      <w:pPr>
        <w:tabs>
          <w:tab w:val="num" w:pos="643"/>
        </w:tabs>
        <w:ind w:left="643" w:hanging="360"/>
      </w:pPr>
    </w:lvl>
  </w:abstractNum>
  <w:abstractNum w:abstractNumId="4">
    <w:nsid w:val="FFFFFF80"/>
    <w:multiLevelType w:val="singleLevel"/>
    <w:tmpl w:val="A4ACFF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2079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0CA5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2EB4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BC8EE6"/>
    <w:lvl w:ilvl="0">
      <w:start w:val="1"/>
      <w:numFmt w:val="decimal"/>
      <w:lvlText w:val="%1."/>
      <w:lvlJc w:val="left"/>
      <w:pPr>
        <w:tabs>
          <w:tab w:val="num" w:pos="360"/>
        </w:tabs>
        <w:ind w:left="360" w:hanging="360"/>
      </w:pPr>
    </w:lvl>
  </w:abstractNum>
  <w:abstractNum w:abstractNumId="9">
    <w:nsid w:val="FFFFFF89"/>
    <w:multiLevelType w:val="singleLevel"/>
    <w:tmpl w:val="900A38CA"/>
    <w:lvl w:ilvl="0">
      <w:start w:val="1"/>
      <w:numFmt w:val="bullet"/>
      <w:lvlText w:val=""/>
      <w:lvlJc w:val="left"/>
      <w:pPr>
        <w:tabs>
          <w:tab w:val="num" w:pos="360"/>
        </w:tabs>
        <w:ind w:left="360" w:hanging="360"/>
      </w:pPr>
      <w:rPr>
        <w:rFonts w:ascii="Symbol" w:hAnsi="Symbol" w:hint="default"/>
      </w:rPr>
    </w:lvl>
  </w:abstractNum>
  <w:abstractNum w:abstractNumId="10">
    <w:nsid w:val="06935578"/>
    <w:multiLevelType w:val="hybridMultilevel"/>
    <w:tmpl w:val="0AEA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6044E5"/>
    <w:multiLevelType w:val="hybridMultilevel"/>
    <w:tmpl w:val="A5B23562"/>
    <w:lvl w:ilvl="0" w:tplc="44DE6BA2">
      <w:start w:val="3"/>
      <w:numFmt w:val="bullet"/>
      <w:lvlText w:val="-"/>
      <w:lvlJc w:val="left"/>
      <w:pPr>
        <w:ind w:left="1080" w:hanging="360"/>
      </w:pPr>
      <w:rPr>
        <w:rFonts w:ascii="Comic Sans MS" w:eastAsia="Calibri" w:hAnsi="Comic Sans M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2D7275"/>
    <w:multiLevelType w:val="hybridMultilevel"/>
    <w:tmpl w:val="849E4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6E5CF4"/>
    <w:multiLevelType w:val="hybridMultilevel"/>
    <w:tmpl w:val="0936BE7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463023B"/>
    <w:multiLevelType w:val="hybridMultilevel"/>
    <w:tmpl w:val="D8B2DD38"/>
    <w:lvl w:ilvl="0" w:tplc="3E7C6E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9C218A7"/>
    <w:multiLevelType w:val="hybridMultilevel"/>
    <w:tmpl w:val="7204705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E63E4B"/>
    <w:multiLevelType w:val="hybridMultilevel"/>
    <w:tmpl w:val="C69E4C70"/>
    <w:lvl w:ilvl="0" w:tplc="FFFFFFFF">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46A37"/>
    <w:multiLevelType w:val="hybridMultilevel"/>
    <w:tmpl w:val="78E6935E"/>
    <w:lvl w:ilvl="0" w:tplc="5CFA5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 w:numId="16">
    <w:abstractNumId w:val="15"/>
  </w:num>
  <w:num w:numId="17">
    <w:abstractNumId w:val="14"/>
  </w:num>
  <w:num w:numId="18">
    <w:abstractNumId w:val="13"/>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43"/>
    <w:rsid w:val="000152D3"/>
    <w:rsid w:val="00050A8D"/>
    <w:rsid w:val="00055EF7"/>
    <w:rsid w:val="00056F4F"/>
    <w:rsid w:val="00080D7A"/>
    <w:rsid w:val="000A71D8"/>
    <w:rsid w:val="00100FF0"/>
    <w:rsid w:val="00123E35"/>
    <w:rsid w:val="00197D3C"/>
    <w:rsid w:val="001B7E97"/>
    <w:rsid w:val="00226043"/>
    <w:rsid w:val="00241F8A"/>
    <w:rsid w:val="00254C17"/>
    <w:rsid w:val="00281140"/>
    <w:rsid w:val="002A62D1"/>
    <w:rsid w:val="00393B3A"/>
    <w:rsid w:val="00395234"/>
    <w:rsid w:val="003979E5"/>
    <w:rsid w:val="003C0D82"/>
    <w:rsid w:val="003C10B9"/>
    <w:rsid w:val="003D3E7C"/>
    <w:rsid w:val="004207E1"/>
    <w:rsid w:val="004244BA"/>
    <w:rsid w:val="00453E45"/>
    <w:rsid w:val="00470BCA"/>
    <w:rsid w:val="00481439"/>
    <w:rsid w:val="004A5E98"/>
    <w:rsid w:val="004B3AFA"/>
    <w:rsid w:val="004B5A77"/>
    <w:rsid w:val="004C24AA"/>
    <w:rsid w:val="00517F5F"/>
    <w:rsid w:val="00597DB6"/>
    <w:rsid w:val="005A230D"/>
    <w:rsid w:val="005B3FAB"/>
    <w:rsid w:val="005C1E05"/>
    <w:rsid w:val="005D3667"/>
    <w:rsid w:val="005D7ADF"/>
    <w:rsid w:val="005E6771"/>
    <w:rsid w:val="006F1024"/>
    <w:rsid w:val="00763642"/>
    <w:rsid w:val="007C5AE6"/>
    <w:rsid w:val="007D2107"/>
    <w:rsid w:val="007F3119"/>
    <w:rsid w:val="00816ECE"/>
    <w:rsid w:val="0085326F"/>
    <w:rsid w:val="00866DFE"/>
    <w:rsid w:val="008A63C7"/>
    <w:rsid w:val="00930F93"/>
    <w:rsid w:val="00943204"/>
    <w:rsid w:val="009440BA"/>
    <w:rsid w:val="009E4DC9"/>
    <w:rsid w:val="009F2EEF"/>
    <w:rsid w:val="009F58D5"/>
    <w:rsid w:val="00A249BB"/>
    <w:rsid w:val="00A413A9"/>
    <w:rsid w:val="00AD5A9D"/>
    <w:rsid w:val="00B1171F"/>
    <w:rsid w:val="00B154BC"/>
    <w:rsid w:val="00C2013E"/>
    <w:rsid w:val="00C65283"/>
    <w:rsid w:val="00C73B46"/>
    <w:rsid w:val="00C772C1"/>
    <w:rsid w:val="00D45197"/>
    <w:rsid w:val="00D46C11"/>
    <w:rsid w:val="00D55292"/>
    <w:rsid w:val="00D57EF5"/>
    <w:rsid w:val="00D63261"/>
    <w:rsid w:val="00D83F87"/>
    <w:rsid w:val="00DA2B2F"/>
    <w:rsid w:val="00DD396E"/>
    <w:rsid w:val="00DF1E95"/>
    <w:rsid w:val="00EE6C0C"/>
    <w:rsid w:val="00F16E6D"/>
    <w:rsid w:val="00F24796"/>
    <w:rsid w:val="00F2482F"/>
    <w:rsid w:val="00F81F01"/>
    <w:rsid w:val="00F8267A"/>
    <w:rsid w:val="00F846E1"/>
    <w:rsid w:val="00F93C37"/>
    <w:rsid w:val="00F94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0" w:qFormat="1"/>
    <w:lsdException w:name="footnote reference" w:uiPriority="0"/>
    <w:lsdException w:name="page number" w:uiPriority="0" w:qFormat="1"/>
    <w:lsdException w:name="endnote reference" w:uiPriority="0" w:qFormat="1"/>
    <w:lsdException w:name="endnote text" w:uiPriority="0" w:qFormat="1"/>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83"/>
    <w:pPr>
      <w:suppressAutoHyphens/>
      <w:spacing w:line="240" w:lineRule="atLeast"/>
    </w:pPr>
    <w:rPr>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qFormat/>
    <w:rsid w:val="00930F93"/>
    <w:rPr>
      <w:rFonts w:ascii="Times New Roman" w:hAnsi="Times New Roman"/>
      <w:sz w:val="18"/>
      <w:vertAlign w:val="superscript"/>
    </w:rPr>
  </w:style>
  <w:style w:type="character" w:styleId="FootnoteReference">
    <w:name w:val="footnote reference"/>
    <w:aliases w:val="4_G"/>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qFormat/>
    <w:rsid w:val="00930F93"/>
    <w:rPr>
      <w:rFonts w:ascii="Times New Roman" w:hAnsi="Times New Roman"/>
      <w:b/>
      <w:sz w:val="18"/>
    </w:rPr>
  </w:style>
  <w:style w:type="paragraph" w:styleId="NoSpacing">
    <w:name w:val="No Spacing"/>
    <w:basedOn w:val="Normal"/>
    <w:uiPriority w:val="1"/>
    <w:qFormat/>
    <w:rsid w:val="005E6771"/>
    <w:pPr>
      <w:suppressAutoHyphens w:val="0"/>
      <w:spacing w:line="240" w:lineRule="auto"/>
    </w:pPr>
    <w:rPr>
      <w:rFonts w:ascii="Calibri" w:eastAsiaTheme="minorHAnsi" w:hAnsi="Calibri"/>
      <w:sz w:val="22"/>
      <w:szCs w:val="22"/>
    </w:rPr>
  </w:style>
  <w:style w:type="paragraph" w:styleId="ListParagraph">
    <w:name w:val="List Paragraph"/>
    <w:basedOn w:val="Normal"/>
    <w:uiPriority w:val="34"/>
    <w:qFormat/>
    <w:rsid w:val="005E6771"/>
    <w:pPr>
      <w:suppressAutoHyphens w:val="0"/>
      <w:spacing w:after="160" w:line="259" w:lineRule="auto"/>
      <w:ind w:left="720"/>
      <w:contextualSpacing/>
    </w:pPr>
    <w:rPr>
      <w:rFonts w:asciiTheme="minorHAnsi" w:eastAsiaTheme="minorHAnsi" w:hAnsiTheme="minorHAnsi" w:cstheme="minorBidi"/>
      <w:sz w:val="22"/>
      <w:szCs w:val="22"/>
    </w:rPr>
  </w:style>
  <w:style w:type="paragraph" w:customStyle="1" w:styleId="SingleTxt">
    <w:name w:val="__Single Txt"/>
    <w:basedOn w:val="Normal"/>
    <w:rsid w:val="00F846E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0" w:qFormat="1"/>
    <w:lsdException w:name="footnote reference" w:uiPriority="0"/>
    <w:lsdException w:name="page number" w:uiPriority="0" w:qFormat="1"/>
    <w:lsdException w:name="endnote reference" w:uiPriority="0" w:qFormat="1"/>
    <w:lsdException w:name="endnote text" w:uiPriority="0" w:qFormat="1"/>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83"/>
    <w:pPr>
      <w:suppressAutoHyphens/>
      <w:spacing w:line="240" w:lineRule="atLeast"/>
    </w:pPr>
    <w:rPr>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qFormat/>
    <w:rsid w:val="00930F93"/>
    <w:rPr>
      <w:rFonts w:ascii="Times New Roman" w:hAnsi="Times New Roman"/>
      <w:sz w:val="18"/>
      <w:vertAlign w:val="superscript"/>
    </w:rPr>
  </w:style>
  <w:style w:type="character" w:styleId="FootnoteReference">
    <w:name w:val="footnote reference"/>
    <w:aliases w:val="4_G"/>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qFormat/>
    <w:rsid w:val="00930F93"/>
    <w:rPr>
      <w:rFonts w:ascii="Times New Roman" w:hAnsi="Times New Roman"/>
      <w:b/>
      <w:sz w:val="18"/>
    </w:rPr>
  </w:style>
  <w:style w:type="paragraph" w:styleId="NoSpacing">
    <w:name w:val="No Spacing"/>
    <w:basedOn w:val="Normal"/>
    <w:uiPriority w:val="1"/>
    <w:qFormat/>
    <w:rsid w:val="005E6771"/>
    <w:pPr>
      <w:suppressAutoHyphens w:val="0"/>
      <w:spacing w:line="240" w:lineRule="auto"/>
    </w:pPr>
    <w:rPr>
      <w:rFonts w:ascii="Calibri" w:eastAsiaTheme="minorHAnsi" w:hAnsi="Calibri"/>
      <w:sz w:val="22"/>
      <w:szCs w:val="22"/>
    </w:rPr>
  </w:style>
  <w:style w:type="paragraph" w:styleId="ListParagraph">
    <w:name w:val="List Paragraph"/>
    <w:basedOn w:val="Normal"/>
    <w:uiPriority w:val="34"/>
    <w:qFormat/>
    <w:rsid w:val="005E6771"/>
    <w:pPr>
      <w:suppressAutoHyphens w:val="0"/>
      <w:spacing w:after="160" w:line="259" w:lineRule="auto"/>
      <w:ind w:left="720"/>
      <w:contextualSpacing/>
    </w:pPr>
    <w:rPr>
      <w:rFonts w:asciiTheme="minorHAnsi" w:eastAsiaTheme="minorHAnsi" w:hAnsiTheme="minorHAnsi" w:cstheme="minorBidi"/>
      <w:sz w:val="22"/>
      <w:szCs w:val="22"/>
    </w:rPr>
  </w:style>
  <w:style w:type="paragraph" w:customStyle="1" w:styleId="SingleTxt">
    <w:name w:val="__Single Txt"/>
    <w:basedOn w:val="Normal"/>
    <w:rsid w:val="00F846E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83D52-0DCD-4560-9FC8-55F7C36B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800</Words>
  <Characters>4565</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ECE-ISU</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Luciolle</dc:creator>
  <cp:lastModifiedBy>Caillot</cp:lastModifiedBy>
  <cp:revision>8</cp:revision>
  <cp:lastPrinted>2016-01-22T16:38:00Z</cp:lastPrinted>
  <dcterms:created xsi:type="dcterms:W3CDTF">2016-01-22T16:32:00Z</dcterms:created>
  <dcterms:modified xsi:type="dcterms:W3CDTF">2016-01-22T16:45:00Z</dcterms:modified>
</cp:coreProperties>
</file>