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A74066" w:rsidRPr="00A74066" w:rsidTr="008F78C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74066" w:rsidRPr="00A74066" w:rsidRDefault="00A74066" w:rsidP="00A74066">
            <w:pPr>
              <w:tabs>
                <w:tab w:val="clear" w:pos="567"/>
                <w:tab w:val="clear" w:pos="992"/>
                <w:tab w:val="clear" w:pos="1418"/>
                <w:tab w:val="clear" w:pos="1985"/>
                <w:tab w:val="clear" w:pos="9639"/>
              </w:tabs>
              <w:suppressAutoHyphens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A74066" w:rsidRPr="00A74066" w:rsidRDefault="00A74066" w:rsidP="00A74066">
            <w:pPr>
              <w:tabs>
                <w:tab w:val="clear" w:pos="567"/>
                <w:tab w:val="clear" w:pos="992"/>
                <w:tab w:val="clear" w:pos="1418"/>
                <w:tab w:val="clear" w:pos="1985"/>
                <w:tab w:val="clear" w:pos="9639"/>
              </w:tabs>
              <w:suppressAutoHyphens/>
              <w:spacing w:line="240" w:lineRule="atLeast"/>
              <w:ind w:left="6095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  <w:r w:rsidRPr="00A74066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en-US"/>
              </w:rPr>
              <w:t xml:space="preserve"> INF.1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 w:eastAsia="en-US"/>
              </w:rPr>
              <w:t>5</w:t>
            </w:r>
          </w:p>
        </w:tc>
      </w:tr>
      <w:tr w:rsidR="00A74066" w:rsidRPr="00A74066" w:rsidTr="003C04D8">
        <w:trPr>
          <w:cantSplit/>
          <w:trHeight w:hRule="exact" w:val="3688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74066" w:rsidRPr="00A74066" w:rsidRDefault="00A74066" w:rsidP="00A74066">
            <w:pPr>
              <w:tabs>
                <w:tab w:val="clear" w:pos="567"/>
                <w:tab w:val="clear" w:pos="992"/>
                <w:tab w:val="clear" w:pos="1418"/>
                <w:tab w:val="clear" w:pos="1985"/>
                <w:tab w:val="clear" w:pos="9639"/>
              </w:tabs>
              <w:suppressAutoHyphens/>
              <w:spacing w:before="120" w:after="12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US"/>
              </w:rPr>
            </w:pPr>
            <w:r w:rsidRPr="00A74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US"/>
              </w:rPr>
              <w:t>Economic Commission for Europe</w:t>
            </w:r>
          </w:p>
          <w:p w:rsidR="00A74066" w:rsidRPr="00A74066" w:rsidRDefault="00A74066" w:rsidP="00A74066">
            <w:pPr>
              <w:tabs>
                <w:tab w:val="clear" w:pos="567"/>
                <w:tab w:val="clear" w:pos="992"/>
                <w:tab w:val="clear" w:pos="1418"/>
                <w:tab w:val="clear" w:pos="1985"/>
                <w:tab w:val="clear" w:pos="9639"/>
              </w:tabs>
              <w:suppressAutoHyphens/>
              <w:spacing w:before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US"/>
              </w:rPr>
            </w:pPr>
            <w:r w:rsidRPr="00A7406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US"/>
              </w:rPr>
              <w:t>Inland Transport Committee</w:t>
            </w:r>
          </w:p>
          <w:p w:rsidR="00A74066" w:rsidRPr="00A74066" w:rsidRDefault="00A74066" w:rsidP="00A74066">
            <w:pPr>
              <w:tabs>
                <w:tab w:val="clear" w:pos="567"/>
                <w:tab w:val="clear" w:pos="992"/>
                <w:tab w:val="clear" w:pos="1418"/>
                <w:tab w:val="clear" w:pos="1985"/>
                <w:tab w:val="clear" w:pos="9639"/>
              </w:tabs>
              <w:suppressAutoHyphens/>
              <w:spacing w:before="12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A740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US"/>
              </w:rPr>
              <w:t>Working Party on the Transport of Dangerous Goods</w:t>
            </w:r>
          </w:p>
          <w:p w:rsidR="00A74066" w:rsidRPr="00A74066" w:rsidRDefault="00A74066" w:rsidP="00A74066">
            <w:pPr>
              <w:tabs>
                <w:tab w:val="clear" w:pos="567"/>
                <w:tab w:val="clear" w:pos="992"/>
                <w:tab w:val="clear" w:pos="1418"/>
                <w:tab w:val="clear" w:pos="1985"/>
                <w:tab w:val="clear" w:pos="9639"/>
              </w:tabs>
              <w:suppressAutoHyphens/>
              <w:spacing w:before="12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A740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US"/>
              </w:rPr>
              <w:t>Joint Meeting of Experts on the Regulations annexed to the</w:t>
            </w:r>
            <w:r w:rsidRPr="00A740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US"/>
              </w:rPr>
              <w:br/>
              <w:t>European Agreement concerning the International Carriage</w:t>
            </w:r>
            <w:r w:rsidRPr="00A740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US"/>
              </w:rPr>
              <w:br/>
              <w:t>of Dangerous Goods by Inland Waterways (ADN)</w:t>
            </w:r>
            <w:r w:rsidRPr="00A740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US"/>
              </w:rPr>
              <w:br/>
              <w:t>(ADN Safety Committee)</w:t>
            </w:r>
          </w:p>
          <w:p w:rsidR="00A74066" w:rsidRPr="00A74066" w:rsidRDefault="00A74066" w:rsidP="00A74066">
            <w:pPr>
              <w:tabs>
                <w:tab w:val="clear" w:pos="567"/>
                <w:tab w:val="clear" w:pos="992"/>
                <w:tab w:val="clear" w:pos="1418"/>
                <w:tab w:val="clear" w:pos="1985"/>
                <w:tab w:val="clear" w:pos="9639"/>
              </w:tabs>
              <w:suppressAutoHyphens/>
              <w:spacing w:before="12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A740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US"/>
              </w:rPr>
              <w:t>Twenty-eighth session</w:t>
            </w:r>
          </w:p>
          <w:p w:rsidR="003C04D8" w:rsidRPr="003C04D8" w:rsidRDefault="00A74066" w:rsidP="003C04D8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  <w:r w:rsidRPr="00A7406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Geneva, 25 - 29 January 2016</w:t>
            </w:r>
            <w:r w:rsidRPr="00A7406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br/>
            </w:r>
            <w:r w:rsidR="003C04D8" w:rsidRPr="003C04D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 xml:space="preserve"> </w:t>
            </w:r>
            <w:r w:rsidR="003C04D8" w:rsidRPr="003C04D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Item 5 (b) of the provisional agenda</w:t>
            </w:r>
          </w:p>
          <w:p w:rsidR="003C04D8" w:rsidRPr="003C04D8" w:rsidRDefault="003C04D8" w:rsidP="003C04D8">
            <w:pPr>
              <w:tabs>
                <w:tab w:val="clear" w:pos="567"/>
                <w:tab w:val="clear" w:pos="992"/>
                <w:tab w:val="clear" w:pos="1418"/>
                <w:tab w:val="clear" w:pos="1985"/>
                <w:tab w:val="clear" w:pos="9639"/>
              </w:tabs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3C0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US"/>
              </w:rPr>
              <w:t>Proposals for amendments to the Regulations annexed to ADN</w:t>
            </w:r>
          </w:p>
          <w:p w:rsidR="00A74066" w:rsidRPr="00A74066" w:rsidRDefault="003C04D8" w:rsidP="003C04D8">
            <w:pPr>
              <w:tabs>
                <w:tab w:val="clear" w:pos="567"/>
                <w:tab w:val="clear" w:pos="992"/>
                <w:tab w:val="clear" w:pos="1418"/>
                <w:tab w:val="clear" w:pos="1985"/>
                <w:tab w:val="clear" w:pos="9639"/>
              </w:tabs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3C0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US"/>
              </w:rPr>
              <w:t>Other proposals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74066" w:rsidRPr="00A74066" w:rsidRDefault="00A74066" w:rsidP="00A74066">
            <w:pPr>
              <w:tabs>
                <w:tab w:val="clear" w:pos="567"/>
                <w:tab w:val="clear" w:pos="992"/>
                <w:tab w:val="clear" w:pos="1418"/>
                <w:tab w:val="clear" w:pos="1985"/>
                <w:tab w:val="clear" w:pos="9639"/>
              </w:tabs>
              <w:suppressAutoHyphens/>
              <w:spacing w:before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  <w:p w:rsidR="00A74066" w:rsidRPr="00A74066" w:rsidRDefault="00A74066" w:rsidP="00A74066">
            <w:pPr>
              <w:tabs>
                <w:tab w:val="clear" w:pos="567"/>
                <w:tab w:val="clear" w:pos="992"/>
                <w:tab w:val="clear" w:pos="1418"/>
                <w:tab w:val="clear" w:pos="1985"/>
                <w:tab w:val="clear" w:pos="9639"/>
              </w:tabs>
              <w:suppressAutoHyphens/>
              <w:spacing w:before="12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A740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US"/>
              </w:rPr>
              <w:t>4</w:t>
            </w:r>
            <w:r w:rsidRPr="00A740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US"/>
              </w:rPr>
              <w:t xml:space="preserve"> January 2016</w:t>
            </w:r>
          </w:p>
        </w:tc>
      </w:tr>
    </w:tbl>
    <w:p w:rsidR="00911E58" w:rsidRPr="002B0EF7" w:rsidRDefault="009F4CAE" w:rsidP="003C04D8">
      <w:pPr>
        <w:pStyle w:val="HChG"/>
        <w:rPr>
          <w:b w:val="0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2B0EF7" w:rsidRPr="002B0EF7">
        <w:rPr>
          <w:lang w:val="en-US"/>
        </w:rPr>
        <w:t>Comments of the Austrian delegation on ECE/TRANS/WP.</w:t>
      </w:r>
      <w:r w:rsidR="002B0EF7" w:rsidRPr="009F4CAE">
        <w:rPr>
          <w:lang w:eastAsia="en-GB"/>
        </w:rPr>
        <w:t>15</w:t>
      </w:r>
      <w:r w:rsidR="002B0EF7" w:rsidRPr="002B0EF7">
        <w:rPr>
          <w:lang w:val="en-US"/>
        </w:rPr>
        <w:t>/AC.2/2016/1</w:t>
      </w:r>
      <w:r w:rsidR="003C6B50">
        <w:rPr>
          <w:lang w:val="en-US"/>
        </w:rPr>
        <w:t>4</w:t>
      </w:r>
      <w:r w:rsidR="002B0EF7">
        <w:rPr>
          <w:lang w:val="en-US"/>
        </w:rPr>
        <w:t xml:space="preserve"> and </w:t>
      </w:r>
      <w:r w:rsidR="003C6B50" w:rsidRPr="002B0EF7">
        <w:rPr>
          <w:lang w:val="en-US"/>
        </w:rPr>
        <w:t>ECE/TRANS/WP.15/AC.2/2016/1</w:t>
      </w:r>
      <w:r w:rsidR="003C6B50">
        <w:rPr>
          <w:lang w:val="en-US"/>
        </w:rPr>
        <w:t>6 regarding the terms “loading”, “unloading” and “</w:t>
      </w:r>
      <w:proofErr w:type="spellStart"/>
      <w:r w:rsidR="003C6B50" w:rsidRPr="003C04D8">
        <w:t>transshipment</w:t>
      </w:r>
      <w:proofErr w:type="spellEnd"/>
      <w:r w:rsidR="003C6B50">
        <w:rPr>
          <w:lang w:val="en-US"/>
        </w:rPr>
        <w:t>”</w:t>
      </w:r>
    </w:p>
    <w:p w:rsidR="00AF5E9B" w:rsidRPr="003C6B50" w:rsidRDefault="006E0440" w:rsidP="003C04D8">
      <w:pPr>
        <w:pStyle w:val="SingleTxtG"/>
        <w:tabs>
          <w:tab w:val="left" w:pos="1701"/>
        </w:tabs>
        <w:rPr>
          <w:lang w:val="en-US"/>
        </w:rPr>
      </w:pPr>
      <w:r>
        <w:rPr>
          <w:lang w:val="en-US"/>
        </w:rPr>
        <w:t xml:space="preserve">1.) </w:t>
      </w:r>
      <w:r w:rsidR="003C04D8">
        <w:rPr>
          <w:lang w:val="en-US"/>
        </w:rPr>
        <w:tab/>
      </w:r>
      <w:proofErr w:type="gramStart"/>
      <w:r w:rsidR="003C6B50" w:rsidRPr="003C6B50">
        <w:rPr>
          <w:lang w:val="en-US"/>
        </w:rPr>
        <w:t xml:space="preserve">Document </w:t>
      </w:r>
      <w:r w:rsidR="002B0EF7" w:rsidRPr="003C6B50">
        <w:rPr>
          <w:lang w:val="en-US"/>
        </w:rPr>
        <w:t xml:space="preserve"> </w:t>
      </w:r>
      <w:r w:rsidR="003C6B50" w:rsidRPr="003C6B50">
        <w:rPr>
          <w:lang w:val="en-US"/>
        </w:rPr>
        <w:t>ECE</w:t>
      </w:r>
      <w:proofErr w:type="gramEnd"/>
      <w:r w:rsidR="003C6B50" w:rsidRPr="003C6B50">
        <w:rPr>
          <w:lang w:val="en-US"/>
        </w:rPr>
        <w:t xml:space="preserve">/TRANS/WP.15/AC.2/2016/16 is </w:t>
      </w:r>
      <w:r w:rsidR="003C6B50" w:rsidRPr="003C04D8">
        <w:rPr>
          <w:rFonts w:eastAsia="Calibri"/>
          <w:lang w:val="en-US"/>
        </w:rPr>
        <w:t>containing</w:t>
      </w:r>
      <w:r w:rsidR="003C6B50" w:rsidRPr="003C6B50">
        <w:rPr>
          <w:lang w:val="en-US"/>
        </w:rPr>
        <w:t xml:space="preserve"> the proposal to add the following definitions of loading and unloading in 1.2.1 :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551"/>
        <w:gridCol w:w="2552"/>
        <w:gridCol w:w="2693"/>
      </w:tblGrid>
      <w:tr w:rsidR="00161F7E" w:rsidTr="003C04D8">
        <w:tc>
          <w:tcPr>
            <w:tcW w:w="2551" w:type="dxa"/>
          </w:tcPr>
          <w:p w:rsidR="00161F7E" w:rsidRPr="003C04D8" w:rsidRDefault="00161F7E" w:rsidP="003C6B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French</w:t>
            </w:r>
          </w:p>
        </w:tc>
        <w:tc>
          <w:tcPr>
            <w:tcW w:w="2552" w:type="dxa"/>
          </w:tcPr>
          <w:p w:rsidR="00161F7E" w:rsidRPr="003C04D8" w:rsidRDefault="00161F7E" w:rsidP="003C6B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2693" w:type="dxa"/>
          </w:tcPr>
          <w:p w:rsidR="00161F7E" w:rsidRPr="003C04D8" w:rsidRDefault="00161F7E" w:rsidP="003C6B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German</w:t>
            </w:r>
          </w:p>
        </w:tc>
      </w:tr>
      <w:tr w:rsidR="00161F7E" w:rsidTr="003C04D8">
        <w:tc>
          <w:tcPr>
            <w:tcW w:w="2551" w:type="dxa"/>
          </w:tcPr>
          <w:p w:rsidR="00161F7E" w:rsidRPr="003C04D8" w:rsidRDefault="00161F7E" w:rsidP="00161F7E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C04D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«Chargement: toutes les actions effectuées par le chargeur conformément à la définition de cha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geur;».</w:t>
            </w:r>
          </w:p>
          <w:p w:rsidR="00161F7E" w:rsidRPr="003C04D8" w:rsidRDefault="00161F7E" w:rsidP="00161F7E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C04D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«Déchargement: toutes les a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tions effectuées par le déchargeur confo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mément à la définition de décha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geur;».</w:t>
            </w:r>
          </w:p>
        </w:tc>
        <w:tc>
          <w:tcPr>
            <w:tcW w:w="2552" w:type="dxa"/>
          </w:tcPr>
          <w:p w:rsidR="00161F7E" w:rsidRPr="003C04D8" w:rsidRDefault="00161F7E" w:rsidP="00161F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"Loading" means all actions ca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ried out by the loader, in accordance with the defin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tion of loader;</w:t>
            </w:r>
          </w:p>
          <w:p w:rsidR="00161F7E" w:rsidRPr="003C04D8" w:rsidRDefault="00161F7E" w:rsidP="00161F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"Unloading" means all a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tions carried out by the u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loader, in accordance with the definition of u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loader;</w:t>
            </w:r>
          </w:p>
        </w:tc>
        <w:tc>
          <w:tcPr>
            <w:tcW w:w="2693" w:type="dxa"/>
          </w:tcPr>
          <w:p w:rsidR="00161F7E" w:rsidRPr="003C04D8" w:rsidRDefault="00161F7E" w:rsidP="0016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4D8">
              <w:rPr>
                <w:rFonts w:ascii="Times New Roman" w:hAnsi="Times New Roman" w:cs="Times New Roman"/>
                <w:sz w:val="20"/>
                <w:szCs w:val="20"/>
              </w:rPr>
              <w:t>„Verladen: Alle Tätigkeiten, die vom Verlader gemäß der Begriffsbestimmung von Ve</w:t>
            </w:r>
            <w:r w:rsidRPr="003C0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C04D8">
              <w:rPr>
                <w:rFonts w:ascii="Times New Roman" w:hAnsi="Times New Roman" w:cs="Times New Roman"/>
                <w:sz w:val="20"/>
                <w:szCs w:val="20"/>
              </w:rPr>
              <w:t>lader vorgenommen we</w:t>
            </w:r>
            <w:r w:rsidRPr="003C0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C04D8">
              <w:rPr>
                <w:rFonts w:ascii="Times New Roman" w:hAnsi="Times New Roman" w:cs="Times New Roman"/>
                <w:sz w:val="20"/>
                <w:szCs w:val="20"/>
              </w:rPr>
              <w:t>den.“</w:t>
            </w:r>
          </w:p>
          <w:p w:rsidR="00161F7E" w:rsidRPr="003C04D8" w:rsidRDefault="00161F7E" w:rsidP="0016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4D8">
              <w:rPr>
                <w:rFonts w:ascii="Times New Roman" w:hAnsi="Times New Roman" w:cs="Times New Roman"/>
                <w:sz w:val="20"/>
                <w:szCs w:val="20"/>
              </w:rPr>
              <w:t>„Entladen: Alle Tätigkeiten, die vom Entlader gemäß der Begriffsbestimmung von En</w:t>
            </w:r>
            <w:r w:rsidRPr="003C04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3C04D8">
              <w:rPr>
                <w:rFonts w:ascii="Times New Roman" w:hAnsi="Times New Roman" w:cs="Times New Roman"/>
                <w:sz w:val="20"/>
                <w:szCs w:val="20"/>
              </w:rPr>
              <w:t>lader vorgenommen we</w:t>
            </w:r>
            <w:r w:rsidRPr="003C0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C04D8">
              <w:rPr>
                <w:rFonts w:ascii="Times New Roman" w:hAnsi="Times New Roman" w:cs="Times New Roman"/>
                <w:sz w:val="20"/>
                <w:szCs w:val="20"/>
              </w:rPr>
              <w:t>den.“</w:t>
            </w:r>
          </w:p>
        </w:tc>
      </w:tr>
    </w:tbl>
    <w:p w:rsidR="003C6B50" w:rsidRDefault="003C6B50" w:rsidP="003C04D8">
      <w:pPr>
        <w:pStyle w:val="SingleTxtG"/>
        <w:spacing w:before="120"/>
      </w:pPr>
      <w:r w:rsidRPr="003C6B50">
        <w:t>While the English version of ADN is always using the terms loadi</w:t>
      </w:r>
      <w:r>
        <w:t>ng and unloading, the German version is currently using the terms “</w:t>
      </w:r>
      <w:proofErr w:type="spellStart"/>
      <w:r>
        <w:t>verladen</w:t>
      </w:r>
      <w:proofErr w:type="spellEnd"/>
      <w:r>
        <w:t>”, “</w:t>
      </w:r>
      <w:proofErr w:type="spellStart"/>
      <w:r>
        <w:t>beladen</w:t>
      </w:r>
      <w:proofErr w:type="spellEnd"/>
      <w:r>
        <w:t>” and “laden”</w:t>
      </w:r>
      <w:r w:rsidR="00161F7E">
        <w:t xml:space="preserve"> (e.g. in the proposals for chapter 1.8 in the same document, but also in the existing text of ADN)</w:t>
      </w:r>
      <w:r>
        <w:t xml:space="preserve">. </w:t>
      </w:r>
    </w:p>
    <w:p w:rsidR="00161F7E" w:rsidRDefault="00161F7E" w:rsidP="003C04D8">
      <w:pPr>
        <w:pStyle w:val="SingleTxtG"/>
      </w:pPr>
      <w:r>
        <w:t xml:space="preserve">The French version is also using different terms, e.g. </w:t>
      </w:r>
    </w:p>
    <w:p w:rsidR="003C6B50" w:rsidRPr="003C04D8" w:rsidRDefault="003C6B50" w:rsidP="003C04D8">
      <w:pPr>
        <w:pStyle w:val="SingleTxtG"/>
        <w:rPr>
          <w:b/>
        </w:rPr>
      </w:pPr>
      <w:r w:rsidRPr="003C04D8">
        <w:rPr>
          <w:b/>
        </w:rPr>
        <w:t>If the definition of “loading” is adopted, it would be necessary to replace all instances of “</w:t>
      </w:r>
      <w:proofErr w:type="spellStart"/>
      <w:r w:rsidRPr="003C04D8">
        <w:rPr>
          <w:b/>
        </w:rPr>
        <w:t>beladen</w:t>
      </w:r>
      <w:proofErr w:type="spellEnd"/>
      <w:r w:rsidRPr="003C04D8">
        <w:rPr>
          <w:b/>
        </w:rPr>
        <w:t>” and “laden” in the German version with “</w:t>
      </w:r>
      <w:proofErr w:type="spellStart"/>
      <w:r w:rsidRPr="003C04D8">
        <w:rPr>
          <w:b/>
        </w:rPr>
        <w:t>verladen</w:t>
      </w:r>
      <w:proofErr w:type="spellEnd"/>
      <w:r w:rsidRPr="003C04D8">
        <w:rPr>
          <w:b/>
        </w:rPr>
        <w:t>” or to amend the German version of the definition with the sentence: “</w:t>
      </w:r>
      <w:proofErr w:type="spellStart"/>
      <w:r w:rsidRPr="003C04D8">
        <w:rPr>
          <w:b/>
        </w:rPr>
        <w:t>Dieser</w:t>
      </w:r>
      <w:proofErr w:type="spellEnd"/>
      <w:r w:rsidRPr="003C04D8">
        <w:rPr>
          <w:b/>
        </w:rPr>
        <w:t xml:space="preserve"> </w:t>
      </w:r>
      <w:proofErr w:type="spellStart"/>
      <w:r w:rsidRPr="003C04D8">
        <w:rPr>
          <w:b/>
        </w:rPr>
        <w:t>Begriff</w:t>
      </w:r>
      <w:proofErr w:type="spellEnd"/>
      <w:r w:rsidRPr="003C04D8">
        <w:rPr>
          <w:b/>
        </w:rPr>
        <w:t xml:space="preserve"> </w:t>
      </w:r>
      <w:proofErr w:type="spellStart"/>
      <w:r w:rsidRPr="003C04D8">
        <w:rPr>
          <w:b/>
        </w:rPr>
        <w:t>wird</w:t>
      </w:r>
      <w:proofErr w:type="spellEnd"/>
      <w:r w:rsidRPr="003C04D8">
        <w:rPr>
          <w:b/>
        </w:rPr>
        <w:t xml:space="preserve"> in der </w:t>
      </w:r>
      <w:proofErr w:type="spellStart"/>
      <w:r w:rsidRPr="003C04D8">
        <w:rPr>
          <w:b/>
        </w:rPr>
        <w:t>deutschen</w:t>
      </w:r>
      <w:proofErr w:type="spellEnd"/>
      <w:r w:rsidRPr="003C04D8">
        <w:rPr>
          <w:b/>
        </w:rPr>
        <w:t xml:space="preserve"> </w:t>
      </w:r>
      <w:proofErr w:type="spellStart"/>
      <w:r w:rsidRPr="003C04D8">
        <w:rPr>
          <w:b/>
        </w:rPr>
        <w:t>Fassung</w:t>
      </w:r>
      <w:proofErr w:type="spellEnd"/>
      <w:r w:rsidRPr="003C04D8">
        <w:rPr>
          <w:b/>
        </w:rPr>
        <w:t xml:space="preserve"> </w:t>
      </w:r>
      <w:proofErr w:type="spellStart"/>
      <w:r w:rsidRPr="003C04D8">
        <w:rPr>
          <w:b/>
        </w:rPr>
        <w:t>als</w:t>
      </w:r>
      <w:proofErr w:type="spellEnd"/>
      <w:r w:rsidRPr="003C04D8">
        <w:rPr>
          <w:b/>
        </w:rPr>
        <w:t xml:space="preserve"> Synonym von “</w:t>
      </w:r>
      <w:proofErr w:type="spellStart"/>
      <w:r w:rsidRPr="003C04D8">
        <w:rPr>
          <w:b/>
        </w:rPr>
        <w:t>beladen</w:t>
      </w:r>
      <w:proofErr w:type="spellEnd"/>
      <w:r w:rsidRPr="003C04D8">
        <w:rPr>
          <w:b/>
        </w:rPr>
        <w:t xml:space="preserve">” und “laden” </w:t>
      </w:r>
      <w:proofErr w:type="spellStart"/>
      <w:r w:rsidRPr="003C04D8">
        <w:rPr>
          <w:b/>
        </w:rPr>
        <w:t>verwendet</w:t>
      </w:r>
      <w:proofErr w:type="spellEnd"/>
      <w:r w:rsidRPr="003C04D8">
        <w:rPr>
          <w:b/>
        </w:rPr>
        <w:t>.”</w:t>
      </w:r>
    </w:p>
    <w:p w:rsidR="00B242B5" w:rsidRDefault="00B242B5" w:rsidP="003C04D8">
      <w:pPr>
        <w:pStyle w:val="SingleTxtG"/>
        <w:keepNext/>
        <w:keepLines/>
        <w:tabs>
          <w:tab w:val="left" w:pos="1701"/>
        </w:tabs>
      </w:pPr>
      <w:r>
        <w:lastRenderedPageBreak/>
        <w:t>2.)</w:t>
      </w:r>
      <w:r>
        <w:tab/>
      </w:r>
      <w:r w:rsidR="003C6B50" w:rsidRPr="003C6B50">
        <w:t>Docume</w:t>
      </w:r>
      <w:bookmarkStart w:id="0" w:name="_GoBack"/>
      <w:bookmarkEnd w:id="0"/>
      <w:r w:rsidR="003C6B50" w:rsidRPr="003C6B50">
        <w:t>nt ECE/TRANS/WP.15/AC.2/2016/14 is containing the statement</w:t>
      </w:r>
      <w:r>
        <w:t>: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357"/>
        <w:gridCol w:w="2604"/>
        <w:gridCol w:w="2552"/>
      </w:tblGrid>
      <w:tr w:rsidR="00B242B5" w:rsidRPr="003C04D8" w:rsidTr="003C04D8">
        <w:tc>
          <w:tcPr>
            <w:tcW w:w="2357" w:type="dxa"/>
          </w:tcPr>
          <w:p w:rsidR="00B242B5" w:rsidRPr="003C04D8" w:rsidRDefault="00B242B5" w:rsidP="003C04D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French</w:t>
            </w:r>
          </w:p>
        </w:tc>
        <w:tc>
          <w:tcPr>
            <w:tcW w:w="2604" w:type="dxa"/>
          </w:tcPr>
          <w:p w:rsidR="00B242B5" w:rsidRPr="003C04D8" w:rsidRDefault="00B242B5" w:rsidP="003C04D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2552" w:type="dxa"/>
          </w:tcPr>
          <w:p w:rsidR="00B242B5" w:rsidRPr="003C04D8" w:rsidRDefault="00B242B5" w:rsidP="003C04D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German</w:t>
            </w:r>
          </w:p>
        </w:tc>
      </w:tr>
      <w:tr w:rsidR="00B242B5" w:rsidRPr="003C04D8" w:rsidTr="003C04D8">
        <w:tc>
          <w:tcPr>
            <w:tcW w:w="2357" w:type="dxa"/>
          </w:tcPr>
          <w:p w:rsidR="00B242B5" w:rsidRPr="003C04D8" w:rsidRDefault="00B242B5" w:rsidP="003C04D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C04D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“Le transbordement entre un bateau et un autre moyen de transport (véh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cule routier, w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gon-citerne) est un cha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gement ou un déchargement du bateau-citerne. »</w:t>
            </w:r>
          </w:p>
        </w:tc>
        <w:tc>
          <w:tcPr>
            <w:tcW w:w="2604" w:type="dxa"/>
          </w:tcPr>
          <w:p w:rsidR="00B242B5" w:rsidRPr="003C04D8" w:rsidRDefault="00B242B5" w:rsidP="003C04D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“Transshipment between a vessel and another form of transport (road vehicle, tank wagon) is the loading or u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loading of the tank vessel.”</w:t>
            </w:r>
          </w:p>
        </w:tc>
        <w:tc>
          <w:tcPr>
            <w:tcW w:w="2552" w:type="dxa"/>
          </w:tcPr>
          <w:p w:rsidR="00B242B5" w:rsidRPr="003C04D8" w:rsidRDefault="00B242B5" w:rsidP="003C04D8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3C04D8">
              <w:rPr>
                <w:rFonts w:ascii="Times New Roman" w:hAnsi="Times New Roman" w:cs="Times New Roman"/>
                <w:sz w:val="20"/>
                <w:szCs w:val="20"/>
              </w:rPr>
              <w:t>„Das Umladen zwischen einem Schiff und einem anderen Beförderungsmittel (Straßenfahrzeug, Eise</w:t>
            </w:r>
            <w:r w:rsidRPr="003C0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C04D8">
              <w:rPr>
                <w:rFonts w:ascii="Times New Roman" w:hAnsi="Times New Roman" w:cs="Times New Roman"/>
                <w:sz w:val="20"/>
                <w:szCs w:val="20"/>
              </w:rPr>
              <w:t>bahnkesselw</w:t>
            </w:r>
            <w:r w:rsidRPr="003C0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C04D8">
              <w:rPr>
                <w:rFonts w:ascii="Times New Roman" w:hAnsi="Times New Roman" w:cs="Times New Roman"/>
                <w:sz w:val="20"/>
                <w:szCs w:val="20"/>
              </w:rPr>
              <w:t>gen) ist ein Laden bzw. Löschen des Tan</w:t>
            </w:r>
            <w:r w:rsidRPr="003C04D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C04D8">
              <w:rPr>
                <w:rFonts w:ascii="Times New Roman" w:hAnsi="Times New Roman" w:cs="Times New Roman"/>
                <w:sz w:val="20"/>
                <w:szCs w:val="20"/>
              </w:rPr>
              <w:t>schiffes.“</w:t>
            </w:r>
          </w:p>
        </w:tc>
      </w:tr>
    </w:tbl>
    <w:p w:rsidR="00B242B5" w:rsidRDefault="001014BA" w:rsidP="003C04D8">
      <w:pPr>
        <w:pStyle w:val="SingleTxtG"/>
        <w:spacing w:before="120"/>
      </w:pPr>
      <w:r>
        <w:t xml:space="preserve">1.2.1 </w:t>
      </w:r>
      <w:proofErr w:type="gramStart"/>
      <w:r>
        <w:t>is</w:t>
      </w:r>
      <w:proofErr w:type="gramEnd"/>
      <w:r>
        <w:t xml:space="preserve"> not containing any definition of </w:t>
      </w:r>
      <w:proofErr w:type="spellStart"/>
      <w:r>
        <w:t>transshipment</w:t>
      </w:r>
      <w:proofErr w:type="spellEnd"/>
      <w:r>
        <w:t>, but the definition of the term “carriage” is containing an implicit definition of the term “</w:t>
      </w:r>
      <w:proofErr w:type="spellStart"/>
      <w:r>
        <w:t>transshipment</w:t>
      </w:r>
      <w:proofErr w:type="spellEnd"/>
      <w:r>
        <w:t xml:space="preserve">”: 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410"/>
        <w:gridCol w:w="2551"/>
        <w:gridCol w:w="2552"/>
      </w:tblGrid>
      <w:tr w:rsidR="00B242B5" w:rsidRPr="003C04D8" w:rsidTr="003C04D8">
        <w:tc>
          <w:tcPr>
            <w:tcW w:w="2410" w:type="dxa"/>
          </w:tcPr>
          <w:p w:rsidR="00B242B5" w:rsidRPr="003C04D8" w:rsidRDefault="00B242B5" w:rsidP="00101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French</w:t>
            </w:r>
          </w:p>
        </w:tc>
        <w:tc>
          <w:tcPr>
            <w:tcW w:w="2551" w:type="dxa"/>
          </w:tcPr>
          <w:p w:rsidR="00B242B5" w:rsidRPr="003C04D8" w:rsidRDefault="00B242B5" w:rsidP="00101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2552" w:type="dxa"/>
          </w:tcPr>
          <w:p w:rsidR="00B242B5" w:rsidRPr="003C04D8" w:rsidRDefault="00B242B5" w:rsidP="00101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German</w:t>
            </w:r>
          </w:p>
        </w:tc>
      </w:tr>
      <w:tr w:rsidR="00B242B5" w:rsidRPr="003C04D8" w:rsidTr="003C04D8">
        <w:tc>
          <w:tcPr>
            <w:tcW w:w="2410" w:type="dxa"/>
          </w:tcPr>
          <w:p w:rsidR="00B242B5" w:rsidRPr="003C04D8" w:rsidRDefault="00B242B5" w:rsidP="001014B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C04D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« La présente définition englobe également le s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é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jour temporaire interm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é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diaire des marchandises dang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reuses aux fins de 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fr-FR"/>
              </w:rPr>
              <w:t>chang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fr-FR"/>
              </w:rPr>
              <w:t>e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fr-FR"/>
              </w:rPr>
              <w:t>ment de mode ou de moyen de transport (tran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fr-FR"/>
              </w:rPr>
              <w:t>s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fr-FR"/>
              </w:rPr>
              <w:t>bord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fr-FR"/>
              </w:rPr>
              <w:t>e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fr-FR"/>
              </w:rPr>
              <w:t>ment).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 »</w:t>
            </w:r>
          </w:p>
        </w:tc>
        <w:tc>
          <w:tcPr>
            <w:tcW w:w="2551" w:type="dxa"/>
          </w:tcPr>
          <w:p w:rsidR="00B242B5" w:rsidRPr="003C04D8" w:rsidRDefault="00B242B5" w:rsidP="00101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“…This definition also c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 the intermediate temp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rary storage of da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gerous goods in order to 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  <w:t>change the mode or means of transport (transshi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  <w:t>p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  <w:t>ment).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” </w:t>
            </w:r>
          </w:p>
        </w:tc>
        <w:tc>
          <w:tcPr>
            <w:tcW w:w="2552" w:type="dxa"/>
          </w:tcPr>
          <w:p w:rsidR="00B242B5" w:rsidRPr="003C04D8" w:rsidRDefault="00B242B5" w:rsidP="00101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4D8">
              <w:rPr>
                <w:rFonts w:ascii="Times New Roman" w:hAnsi="Times New Roman" w:cs="Times New Roman"/>
                <w:sz w:val="20"/>
                <w:szCs w:val="20"/>
              </w:rPr>
              <w:t>„Die vorliegende Begriff</w:t>
            </w:r>
            <w:r w:rsidRPr="003C04D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C04D8">
              <w:rPr>
                <w:rFonts w:ascii="Times New Roman" w:hAnsi="Times New Roman" w:cs="Times New Roman"/>
                <w:sz w:val="20"/>
                <w:szCs w:val="20"/>
              </w:rPr>
              <w:t>besti</w:t>
            </w:r>
            <w:r w:rsidRPr="003C04D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C04D8">
              <w:rPr>
                <w:rFonts w:ascii="Times New Roman" w:hAnsi="Times New Roman" w:cs="Times New Roman"/>
                <w:sz w:val="20"/>
                <w:szCs w:val="20"/>
              </w:rPr>
              <w:t>mung schließt auch das zeitweilige Abstellen gefährl</w:t>
            </w:r>
            <w:r w:rsidRPr="003C0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C04D8">
              <w:rPr>
                <w:rFonts w:ascii="Times New Roman" w:hAnsi="Times New Roman" w:cs="Times New Roman"/>
                <w:sz w:val="20"/>
                <w:szCs w:val="20"/>
              </w:rPr>
              <w:t xml:space="preserve">cher Güter für den 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Wechsel der Beförderung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s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art oder des Beförderung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s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mittels (Umschlag)</w:t>
            </w:r>
            <w:r w:rsidRPr="003C04D8">
              <w:rPr>
                <w:rFonts w:ascii="Times New Roman" w:hAnsi="Times New Roman" w:cs="Times New Roman"/>
                <w:sz w:val="20"/>
                <w:szCs w:val="20"/>
              </w:rPr>
              <w:t xml:space="preserve"> ein.“.</w:t>
            </w:r>
          </w:p>
        </w:tc>
      </w:tr>
    </w:tbl>
    <w:p w:rsidR="003F6059" w:rsidRPr="00B242B5" w:rsidRDefault="00B242B5" w:rsidP="003C04D8">
      <w:pPr>
        <w:pStyle w:val="SingleTxtG"/>
        <w:spacing w:before="120"/>
      </w:pPr>
      <w:r>
        <w:t>T</w:t>
      </w:r>
      <w:r w:rsidR="001014BA">
        <w:t xml:space="preserve">he statement in </w:t>
      </w:r>
      <w:r w:rsidR="001014BA" w:rsidRPr="001014BA">
        <w:t xml:space="preserve">ECE/TRANS/WP.15/AC.2/2016/14 </w:t>
      </w:r>
      <w:r w:rsidR="001014BA">
        <w:t>which restricts the term “</w:t>
      </w:r>
      <w:proofErr w:type="spellStart"/>
      <w:r w:rsidR="001014BA">
        <w:t>transshipment</w:t>
      </w:r>
      <w:proofErr w:type="spellEnd"/>
      <w:r w:rsidR="001014BA">
        <w:t>” to a change of the means of transport and defines a change of the mode of transport as “loading” or “unloading”</w:t>
      </w:r>
      <w:r>
        <w:t xml:space="preserve"> </w:t>
      </w:r>
      <w:r w:rsidR="003F6059" w:rsidRPr="00B242B5">
        <w:t xml:space="preserve">is in contradiction to the French </w:t>
      </w:r>
      <w:r w:rsidRPr="00B242B5">
        <w:t xml:space="preserve">and English </w:t>
      </w:r>
      <w:r w:rsidR="003F6059" w:rsidRPr="00B242B5">
        <w:t>version of 1.2.1</w:t>
      </w:r>
      <w:r>
        <w:t>.</w:t>
      </w:r>
    </w:p>
    <w:p w:rsidR="003F6059" w:rsidRPr="00A50957" w:rsidRDefault="003F6059" w:rsidP="003C04D8">
      <w:pPr>
        <w:pStyle w:val="SingleTxtG"/>
      </w:pPr>
      <w:r w:rsidRPr="00A50957">
        <w:t xml:space="preserve">The German version of the definition of “carriage” does not define the </w:t>
      </w:r>
      <w:r w:rsidR="00A50957" w:rsidRPr="00A50957">
        <w:t>t</w:t>
      </w:r>
      <w:r w:rsidR="00A50957">
        <w:t xml:space="preserve">erm </w:t>
      </w:r>
      <w:r w:rsidRPr="00A50957">
        <w:t>“</w:t>
      </w:r>
      <w:proofErr w:type="spellStart"/>
      <w:r w:rsidRPr="00A50957">
        <w:t>Umladen</w:t>
      </w:r>
      <w:proofErr w:type="spellEnd"/>
      <w:r w:rsidRPr="00A50957">
        <w:t>”, but “</w:t>
      </w:r>
      <w:proofErr w:type="spellStart"/>
      <w:r w:rsidRPr="00A50957">
        <w:t>U</w:t>
      </w:r>
      <w:r w:rsidRPr="00A50957">
        <w:t>m</w:t>
      </w:r>
      <w:r w:rsidRPr="00A50957">
        <w:t>schlag</w:t>
      </w:r>
      <w:proofErr w:type="spellEnd"/>
      <w:r w:rsidRPr="00A50957">
        <w:t xml:space="preserve">”: </w:t>
      </w:r>
    </w:p>
    <w:p w:rsidR="00B242B5" w:rsidRPr="00B242B5" w:rsidRDefault="006A5A27" w:rsidP="003C04D8">
      <w:pPr>
        <w:pStyle w:val="SingleTxtG"/>
      </w:pPr>
      <w:r w:rsidRPr="00B242B5">
        <w:t xml:space="preserve">The </w:t>
      </w:r>
      <w:r w:rsidR="00B242B5" w:rsidRPr="00B242B5">
        <w:t xml:space="preserve">term </w:t>
      </w:r>
      <w:r w:rsidR="00B242B5">
        <w:t>“</w:t>
      </w:r>
      <w:proofErr w:type="spellStart"/>
      <w:r w:rsidR="00B242B5" w:rsidRPr="00B242B5">
        <w:t>transshipment</w:t>
      </w:r>
      <w:proofErr w:type="spellEnd"/>
      <w:r w:rsidR="00B242B5">
        <w:t>”</w:t>
      </w:r>
      <w:r w:rsidR="00B242B5" w:rsidRPr="00B242B5">
        <w:t xml:space="preserve"> is also used</w:t>
      </w:r>
      <w:r w:rsidR="003F6059" w:rsidRPr="00B242B5">
        <w:t xml:space="preserve"> in 1.10.3.2.2</w:t>
      </w:r>
      <w:r w:rsidR="00B242B5" w:rsidRPr="00B242B5">
        <w:t>: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410"/>
        <w:gridCol w:w="2551"/>
        <w:gridCol w:w="2552"/>
      </w:tblGrid>
      <w:tr w:rsidR="00B242B5" w:rsidRPr="003C04D8" w:rsidTr="003C04D8">
        <w:tc>
          <w:tcPr>
            <w:tcW w:w="2410" w:type="dxa"/>
          </w:tcPr>
          <w:p w:rsidR="00B242B5" w:rsidRPr="003C04D8" w:rsidRDefault="00B242B5" w:rsidP="003F60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French</w:t>
            </w:r>
          </w:p>
        </w:tc>
        <w:tc>
          <w:tcPr>
            <w:tcW w:w="2551" w:type="dxa"/>
          </w:tcPr>
          <w:p w:rsidR="00B242B5" w:rsidRPr="003C04D8" w:rsidRDefault="00B242B5" w:rsidP="003F60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2552" w:type="dxa"/>
          </w:tcPr>
          <w:p w:rsidR="00B242B5" w:rsidRPr="003C04D8" w:rsidRDefault="00B242B5" w:rsidP="003F60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German</w:t>
            </w:r>
          </w:p>
        </w:tc>
      </w:tr>
      <w:tr w:rsidR="00B242B5" w:rsidRPr="003C04D8" w:rsidTr="003C04D8">
        <w:tc>
          <w:tcPr>
            <w:tcW w:w="2410" w:type="dxa"/>
          </w:tcPr>
          <w:p w:rsidR="00B242B5" w:rsidRPr="003C04D8" w:rsidRDefault="00B242B5" w:rsidP="003F605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C04D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“…et le séjour temporaire intermédiaire des ma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chandises dang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reuses aux fins de 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fr-FR"/>
              </w:rPr>
              <w:t>cha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fr-FR"/>
              </w:rPr>
              <w:t>n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fr-FR"/>
              </w:rPr>
              <w:t>gement de mode ou de moyen de transport (transbord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fr-FR"/>
              </w:rPr>
              <w:t>e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fr-FR"/>
              </w:rPr>
              <w:t>ment)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”.</w:t>
            </w:r>
          </w:p>
          <w:p w:rsidR="00B242B5" w:rsidRPr="003C04D8" w:rsidRDefault="00B242B5" w:rsidP="003F605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C04D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proofErr w:type="spellStart"/>
            <w:r w:rsidRPr="003C04D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identical</w:t>
            </w:r>
            <w:proofErr w:type="spellEnd"/>
            <w:r w:rsidRPr="003C04D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04D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with</w:t>
            </w:r>
            <w:proofErr w:type="spellEnd"/>
            <w:r w:rsidRPr="003C04D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1.2.1)</w:t>
            </w:r>
          </w:p>
        </w:tc>
        <w:tc>
          <w:tcPr>
            <w:tcW w:w="2551" w:type="dxa"/>
          </w:tcPr>
          <w:p w:rsidR="00B242B5" w:rsidRPr="003C04D8" w:rsidRDefault="00B242B5" w:rsidP="003F60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“…and the intermediate temporary storage of da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gerous goods during the course of 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  <w:t>intermodal transfer or transshipment b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  <w:t>e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  <w:t>tween units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”.</w:t>
            </w:r>
          </w:p>
        </w:tc>
        <w:tc>
          <w:tcPr>
            <w:tcW w:w="2552" w:type="dxa"/>
          </w:tcPr>
          <w:p w:rsidR="00B242B5" w:rsidRPr="003C04D8" w:rsidRDefault="00B242B5" w:rsidP="003F6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4D8">
              <w:rPr>
                <w:rFonts w:ascii="Times New Roman" w:hAnsi="Times New Roman" w:cs="Times New Roman"/>
                <w:sz w:val="20"/>
                <w:szCs w:val="20"/>
              </w:rPr>
              <w:t>„…und des zeitweiligen Abstellens gefährlicher G</w:t>
            </w:r>
            <w:r w:rsidRPr="003C04D8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Pr="003C04D8">
              <w:rPr>
                <w:rFonts w:ascii="Times New Roman" w:hAnsi="Times New Roman" w:cs="Times New Roman"/>
                <w:sz w:val="20"/>
                <w:szCs w:val="20"/>
              </w:rPr>
              <w:t xml:space="preserve">ter für den 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Wechsel der Beförderungsart oder des Beförderungsmittels (U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m</w:t>
            </w:r>
            <w:r w:rsidRPr="003C04D8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schlag)</w:t>
            </w:r>
            <w:r w:rsidRPr="003C04D8">
              <w:rPr>
                <w:rFonts w:ascii="Times New Roman" w:hAnsi="Times New Roman" w:cs="Times New Roman"/>
                <w:sz w:val="20"/>
                <w:szCs w:val="20"/>
              </w:rPr>
              <w:t>“.</w:t>
            </w:r>
          </w:p>
        </w:tc>
      </w:tr>
    </w:tbl>
    <w:p w:rsidR="003F6059" w:rsidRDefault="00B242B5" w:rsidP="003C04D8">
      <w:pPr>
        <w:pStyle w:val="SingleTxtG"/>
        <w:keepNext/>
        <w:keepLines/>
        <w:spacing w:before="120"/>
      </w:pPr>
      <w:r>
        <w:lastRenderedPageBreak/>
        <w:t>The French and the German texts are copies of the text in 1.2.1, but t</w:t>
      </w:r>
      <w:r w:rsidR="006A5A27">
        <w:t xml:space="preserve">he text in the </w:t>
      </w:r>
      <w:r w:rsidR="003F6059">
        <w:t>English version</w:t>
      </w:r>
      <w:r w:rsidR="006A5A27">
        <w:t xml:space="preserve"> is different </w:t>
      </w:r>
      <w:r>
        <w:t xml:space="preserve">and </w:t>
      </w:r>
      <w:r w:rsidR="006A5A27">
        <w:t>introduces the term “inter</w:t>
      </w:r>
      <w:r w:rsidR="00A50957">
        <w:t>modal transfer”.</w:t>
      </w:r>
    </w:p>
    <w:p w:rsidR="006A5A27" w:rsidRDefault="006A5A27" w:rsidP="003C04D8">
      <w:pPr>
        <w:pStyle w:val="SingleTxtG"/>
        <w:keepNext/>
        <w:keepLines/>
        <w:rPr>
          <w:b/>
        </w:rPr>
      </w:pPr>
      <w:r w:rsidRPr="006A5A27">
        <w:rPr>
          <w:b/>
        </w:rPr>
        <w:t xml:space="preserve">The </w:t>
      </w:r>
      <w:r w:rsidR="00B242B5">
        <w:rPr>
          <w:b/>
        </w:rPr>
        <w:t>English</w:t>
      </w:r>
      <w:r w:rsidRPr="006A5A27">
        <w:rPr>
          <w:b/>
        </w:rPr>
        <w:t xml:space="preserve"> version of 1.10.3.2.2 should be brought in line with the text in the definition of “carriage” in 1.2.1.</w:t>
      </w:r>
    </w:p>
    <w:p w:rsidR="006A5A27" w:rsidRDefault="00B242B5" w:rsidP="003C04D8">
      <w:pPr>
        <w:pStyle w:val="SingleTxtG"/>
        <w:tabs>
          <w:tab w:val="left" w:pos="1701"/>
        </w:tabs>
      </w:pPr>
      <w:r>
        <w:t>3.)</w:t>
      </w:r>
      <w:r>
        <w:tab/>
      </w:r>
      <w:r w:rsidR="006A5A27" w:rsidRPr="006A5A27">
        <w:t xml:space="preserve">Content of proposal </w:t>
      </w:r>
      <w:r w:rsidR="006A5A27">
        <w:t>ECE/TRANS/WP.15/AC.2/2016/14:</w:t>
      </w:r>
    </w:p>
    <w:p w:rsidR="00095352" w:rsidRDefault="00A50957" w:rsidP="003C04D8">
      <w:pPr>
        <w:pStyle w:val="SingleTxtG"/>
      </w:pPr>
      <w:r>
        <w:t>Based on the definition of carriage in 1.2.1 t</w:t>
      </w:r>
      <w:r w:rsidR="00095352">
        <w:t xml:space="preserve">he Austrian delegation does not believe that </w:t>
      </w:r>
      <w:proofErr w:type="spellStart"/>
      <w:r w:rsidR="00095352">
        <w:t>transshipment</w:t>
      </w:r>
      <w:proofErr w:type="spellEnd"/>
      <w:r w:rsidR="00095352">
        <w:t xml:space="preserve"> from a vessel to another mode of transport is loading or unloading. </w:t>
      </w:r>
      <w:r>
        <w:t xml:space="preserve">If </w:t>
      </w:r>
      <w:proofErr w:type="spellStart"/>
      <w:r>
        <w:t>transshipment</w:t>
      </w:r>
      <w:proofErr w:type="spellEnd"/>
      <w:r>
        <w:t xml:space="preserve"> from a vessel to another mode of transport is “</w:t>
      </w:r>
      <w:proofErr w:type="spellStart"/>
      <w:r>
        <w:t>transshipment</w:t>
      </w:r>
      <w:proofErr w:type="spellEnd"/>
      <w:r>
        <w:t xml:space="preserve">” and 7.2.4.9 would be restricted to </w:t>
      </w:r>
      <w:proofErr w:type="spellStart"/>
      <w:r>
        <w:t>transshipments</w:t>
      </w:r>
      <w:proofErr w:type="spellEnd"/>
      <w:r>
        <w:t xml:space="preserve"> from vessel to vessel, i</w:t>
      </w:r>
      <w:r w:rsidR="00095352">
        <w:t xml:space="preserve">t would be allowed to </w:t>
      </w:r>
      <w:proofErr w:type="spellStart"/>
      <w:r w:rsidR="00095352">
        <w:t>transship</w:t>
      </w:r>
      <w:proofErr w:type="spellEnd"/>
      <w:r w:rsidR="00095352">
        <w:t xml:space="preserve"> dangerous cargo from a vessel to another mode of transport outside of </w:t>
      </w:r>
      <w:r w:rsidR="00095352" w:rsidRPr="00095352">
        <w:t>a cargo transfer place approved for this purpose</w:t>
      </w:r>
      <w:r w:rsidR="00095352">
        <w:t xml:space="preserve"> without permission of the competent authority. This is not acceptable for Austria.</w:t>
      </w:r>
    </w:p>
    <w:p w:rsidR="009644F3" w:rsidRDefault="00095352" w:rsidP="003C04D8">
      <w:pPr>
        <w:pStyle w:val="SingleTxtG"/>
      </w:pPr>
      <w:r>
        <w:t xml:space="preserve">If the </w:t>
      </w:r>
      <w:r w:rsidR="009644F3">
        <w:t xml:space="preserve">interpretation in the document would be correct and </w:t>
      </w:r>
      <w:proofErr w:type="spellStart"/>
      <w:r>
        <w:t>transshipment</w:t>
      </w:r>
      <w:proofErr w:type="spellEnd"/>
      <w:r>
        <w:t xml:space="preserve"> to another mode of transport would be “loading” or “unloading” there would be the opposite problem: 7.2.4.7 does not provide any possibility to allow loading or unloading outside of </w:t>
      </w:r>
      <w:r w:rsidRPr="00095352">
        <w:t>places designated or</w:t>
      </w:r>
      <w:r>
        <w:t xml:space="preserve"> approved for this purpose. But it might for example be necessary to allow a </w:t>
      </w:r>
      <w:proofErr w:type="spellStart"/>
      <w:r>
        <w:t>transshipment</w:t>
      </w:r>
      <w:proofErr w:type="spellEnd"/>
      <w:r>
        <w:t xml:space="preserve"> of LNG to another mode of transport if a vessel with LNG is not able to continue the voyage</w:t>
      </w:r>
      <w:r w:rsidR="00161F7E">
        <w:t xml:space="preserve"> </w:t>
      </w:r>
      <w:r w:rsidR="009644F3">
        <w:t xml:space="preserve">to a place designated for the unloading of LNG </w:t>
      </w:r>
      <w:r w:rsidR="00161F7E">
        <w:t>and the pressure reaches a critical level. It wil</w:t>
      </w:r>
      <w:r w:rsidR="00B242B5">
        <w:t>l not always be possible to do</w:t>
      </w:r>
      <w:r w:rsidR="00161F7E">
        <w:t xml:space="preserve"> </w:t>
      </w:r>
      <w:proofErr w:type="spellStart"/>
      <w:r w:rsidR="00161F7E">
        <w:t>transshipment</w:t>
      </w:r>
      <w:proofErr w:type="spellEnd"/>
      <w:r w:rsidR="00161F7E">
        <w:t xml:space="preserve"> to another ves</w:t>
      </w:r>
      <w:r w:rsidR="009644F3">
        <w:t>sel and we would therefore need the possibility to get a special pe</w:t>
      </w:r>
      <w:r w:rsidR="009644F3">
        <w:t>r</w:t>
      </w:r>
      <w:r w:rsidR="009644F3">
        <w:t>mission from the competent authority (as foreseen in 7.1.4.7 and 7.2.4.9).</w:t>
      </w:r>
    </w:p>
    <w:p w:rsidR="009644F3" w:rsidRPr="003C04D8" w:rsidRDefault="00161F7E" w:rsidP="003C04D8">
      <w:pPr>
        <w:pStyle w:val="SingleTxtG"/>
        <w:rPr>
          <w:b/>
        </w:rPr>
      </w:pPr>
      <w:r w:rsidRPr="003C04D8">
        <w:rPr>
          <w:b/>
        </w:rPr>
        <w:t>The Austrian delegation is therefore against the proposed amendment of 7.2.4.9 in ECE/TRANS/WP.15/AC.2/2016/14.</w:t>
      </w:r>
      <w:r w:rsidR="009644F3" w:rsidRPr="003C04D8">
        <w:rPr>
          <w:b/>
        </w:rPr>
        <w:t xml:space="preserve"> The text of 7.1.4.9 should be aligned with 7.2.4.9, because </w:t>
      </w:r>
      <w:proofErr w:type="spellStart"/>
      <w:r w:rsidR="009644F3" w:rsidRPr="003C04D8">
        <w:rPr>
          <w:b/>
        </w:rPr>
        <w:t>transshipment</w:t>
      </w:r>
      <w:proofErr w:type="spellEnd"/>
      <w:r w:rsidR="009644F3" w:rsidRPr="003C04D8">
        <w:rPr>
          <w:b/>
        </w:rPr>
        <w:t xml:space="preserve"> to another mode of transport can also be necessary for dry cargo vessels outside of designated areas. The words “into another vessel” should therefore be deleted in 7.1.4.9.</w:t>
      </w:r>
    </w:p>
    <w:p w:rsidR="003C6B50" w:rsidRPr="003C6B50" w:rsidRDefault="003C6B50" w:rsidP="003C6B50">
      <w:pPr>
        <w:rPr>
          <w:lang w:val="en-US"/>
        </w:rPr>
      </w:pPr>
    </w:p>
    <w:sectPr w:rsidR="003C6B50" w:rsidRPr="003C6B50" w:rsidSect="00D763D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1B" w:rsidRDefault="007A001B" w:rsidP="00C21863">
      <w:pPr>
        <w:spacing w:line="240" w:lineRule="auto"/>
      </w:pPr>
      <w:r>
        <w:separator/>
      </w:r>
    </w:p>
  </w:endnote>
  <w:endnote w:type="continuationSeparator" w:id="0">
    <w:p w:rsidR="007A001B" w:rsidRDefault="007A001B" w:rsidP="00C21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D3" w:rsidRPr="00D763D3" w:rsidRDefault="00D763D3" w:rsidP="00D763D3">
    <w:pPr>
      <w:tabs>
        <w:tab w:val="clear" w:pos="567"/>
        <w:tab w:val="clear" w:pos="992"/>
        <w:tab w:val="clear" w:pos="1418"/>
        <w:tab w:val="clear" w:pos="1985"/>
        <w:tab w:val="clear" w:pos="9639"/>
      </w:tabs>
      <w:suppressAutoHyphens/>
      <w:spacing w:line="240" w:lineRule="auto"/>
      <w:rPr>
        <w:rFonts w:ascii="Times New Roman" w:eastAsia="Times New Roman" w:hAnsi="Times New Roman" w:cs="Times New Roman"/>
        <w:b/>
        <w:sz w:val="18"/>
        <w:szCs w:val="18"/>
        <w:lang w:val="en-GB" w:eastAsia="en-US"/>
      </w:rPr>
    </w:pPr>
    <w:r w:rsidRPr="00D763D3">
      <w:rPr>
        <w:rFonts w:ascii="Times New Roman" w:eastAsia="Times New Roman" w:hAnsi="Times New Roman" w:cs="Times New Roman"/>
        <w:b/>
        <w:sz w:val="18"/>
        <w:szCs w:val="18"/>
        <w:lang w:val="en-GB" w:eastAsia="en-US"/>
      </w:rPr>
      <w:fldChar w:fldCharType="begin"/>
    </w:r>
    <w:r w:rsidRPr="00D763D3">
      <w:rPr>
        <w:rFonts w:ascii="Times New Roman" w:eastAsia="Times New Roman" w:hAnsi="Times New Roman" w:cs="Times New Roman"/>
        <w:b/>
        <w:sz w:val="18"/>
        <w:szCs w:val="18"/>
        <w:lang w:val="en-GB" w:eastAsia="en-US"/>
      </w:rPr>
      <w:instrText xml:space="preserve"> PAGE   \* MERGEFORMAT </w:instrText>
    </w:r>
    <w:r w:rsidRPr="00D763D3">
      <w:rPr>
        <w:rFonts w:ascii="Times New Roman" w:eastAsia="Times New Roman" w:hAnsi="Times New Roman" w:cs="Times New Roman"/>
        <w:b/>
        <w:sz w:val="18"/>
        <w:szCs w:val="18"/>
        <w:lang w:val="en-GB" w:eastAsia="en-US"/>
      </w:rPr>
      <w:fldChar w:fldCharType="separate"/>
    </w:r>
    <w:r>
      <w:rPr>
        <w:rFonts w:ascii="Times New Roman" w:eastAsia="Times New Roman" w:hAnsi="Times New Roman" w:cs="Times New Roman"/>
        <w:b/>
        <w:noProof/>
        <w:sz w:val="18"/>
        <w:szCs w:val="18"/>
        <w:lang w:val="en-GB" w:eastAsia="en-US"/>
      </w:rPr>
      <w:t>2</w:t>
    </w:r>
    <w:r w:rsidRPr="00D763D3">
      <w:rPr>
        <w:rFonts w:ascii="Times New Roman" w:eastAsia="Times New Roman" w:hAnsi="Times New Roman" w:cs="Times New Roman"/>
        <w:b/>
        <w:noProof/>
        <w:sz w:val="18"/>
        <w:szCs w:val="18"/>
        <w:lang w:val="en-GB"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4CE" w:rsidRPr="00D763D3" w:rsidRDefault="00D763D3" w:rsidP="00D763D3">
    <w:pPr>
      <w:suppressAutoHyphens/>
      <w:jc w:val="right"/>
      <w:rPr>
        <w:rFonts w:ascii="Times New Roman" w:eastAsia="Times New Roman" w:hAnsi="Times New Roman" w:cs="Times New Roman"/>
        <w:b/>
        <w:sz w:val="18"/>
        <w:szCs w:val="18"/>
        <w:lang w:val="en-GB" w:eastAsia="en-US"/>
      </w:rPr>
    </w:pPr>
    <w:r w:rsidRPr="00D763D3">
      <w:rPr>
        <w:rFonts w:ascii="Times New Roman" w:eastAsia="Times New Roman" w:hAnsi="Times New Roman" w:cs="Times New Roman"/>
        <w:b/>
        <w:sz w:val="18"/>
        <w:szCs w:val="18"/>
        <w:lang w:val="en-GB" w:eastAsia="en-US"/>
      </w:rPr>
      <w:fldChar w:fldCharType="begin"/>
    </w:r>
    <w:r w:rsidRPr="00D763D3">
      <w:rPr>
        <w:rFonts w:ascii="Times New Roman" w:eastAsia="Times New Roman" w:hAnsi="Times New Roman" w:cs="Times New Roman"/>
        <w:b/>
        <w:sz w:val="18"/>
        <w:szCs w:val="18"/>
        <w:lang w:val="en-GB" w:eastAsia="en-US"/>
      </w:rPr>
      <w:instrText xml:space="preserve"> PAGE   \* MERGEFORMAT </w:instrText>
    </w:r>
    <w:r w:rsidRPr="00D763D3">
      <w:rPr>
        <w:rFonts w:ascii="Times New Roman" w:eastAsia="Times New Roman" w:hAnsi="Times New Roman" w:cs="Times New Roman"/>
        <w:b/>
        <w:sz w:val="18"/>
        <w:szCs w:val="18"/>
        <w:lang w:val="en-GB" w:eastAsia="en-US"/>
      </w:rPr>
      <w:fldChar w:fldCharType="separate"/>
    </w:r>
    <w:r>
      <w:rPr>
        <w:rFonts w:ascii="Times New Roman" w:eastAsia="Times New Roman" w:hAnsi="Times New Roman" w:cs="Times New Roman"/>
        <w:b/>
        <w:noProof/>
        <w:sz w:val="18"/>
        <w:szCs w:val="18"/>
        <w:lang w:val="en-GB" w:eastAsia="en-US"/>
      </w:rPr>
      <w:t>3</w:t>
    </w:r>
    <w:r w:rsidRPr="00D763D3">
      <w:rPr>
        <w:rFonts w:ascii="Times New Roman" w:eastAsia="Times New Roman" w:hAnsi="Times New Roman" w:cs="Times New Roman"/>
        <w:b/>
        <w:noProof/>
        <w:sz w:val="18"/>
        <w:szCs w:val="18"/>
        <w:lang w:val="en-GB"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D3" w:rsidRPr="00D763D3" w:rsidRDefault="00D763D3" w:rsidP="00D763D3">
    <w:pPr>
      <w:tabs>
        <w:tab w:val="clear" w:pos="567"/>
        <w:tab w:val="clear" w:pos="992"/>
        <w:tab w:val="clear" w:pos="1418"/>
        <w:tab w:val="clear" w:pos="1985"/>
        <w:tab w:val="clear" w:pos="9639"/>
      </w:tabs>
      <w:suppressAutoHyphens/>
      <w:spacing w:line="240" w:lineRule="auto"/>
      <w:jc w:val="right"/>
      <w:rPr>
        <w:rFonts w:ascii="Times New Roman" w:eastAsia="Times New Roman" w:hAnsi="Times New Roman" w:cs="Times New Roman"/>
        <w:b/>
        <w:sz w:val="18"/>
        <w:szCs w:val="18"/>
        <w:lang w:val="en-GB" w:eastAsia="en-US"/>
      </w:rPr>
    </w:pPr>
    <w:r w:rsidRPr="00D763D3">
      <w:rPr>
        <w:rFonts w:ascii="Times New Roman" w:eastAsia="Times New Roman" w:hAnsi="Times New Roman" w:cs="Times New Roman"/>
        <w:b/>
        <w:sz w:val="18"/>
        <w:szCs w:val="18"/>
        <w:lang w:val="en-GB" w:eastAsia="en-US"/>
      </w:rPr>
      <w:fldChar w:fldCharType="begin"/>
    </w:r>
    <w:r w:rsidRPr="00D763D3">
      <w:rPr>
        <w:rFonts w:ascii="Times New Roman" w:eastAsia="Times New Roman" w:hAnsi="Times New Roman" w:cs="Times New Roman"/>
        <w:b/>
        <w:sz w:val="18"/>
        <w:szCs w:val="18"/>
        <w:lang w:val="en-GB" w:eastAsia="en-US"/>
      </w:rPr>
      <w:instrText xml:space="preserve"> PAGE   \* MERGEFORMAT </w:instrText>
    </w:r>
    <w:r w:rsidRPr="00D763D3">
      <w:rPr>
        <w:rFonts w:ascii="Times New Roman" w:eastAsia="Times New Roman" w:hAnsi="Times New Roman" w:cs="Times New Roman"/>
        <w:b/>
        <w:sz w:val="18"/>
        <w:szCs w:val="18"/>
        <w:lang w:val="en-GB" w:eastAsia="en-US"/>
      </w:rPr>
      <w:fldChar w:fldCharType="separate"/>
    </w:r>
    <w:r>
      <w:rPr>
        <w:rFonts w:ascii="Times New Roman" w:eastAsia="Times New Roman" w:hAnsi="Times New Roman" w:cs="Times New Roman"/>
        <w:b/>
        <w:noProof/>
        <w:sz w:val="18"/>
        <w:szCs w:val="18"/>
        <w:lang w:val="en-GB" w:eastAsia="en-US"/>
      </w:rPr>
      <w:t>1</w:t>
    </w:r>
    <w:r w:rsidRPr="00D763D3">
      <w:rPr>
        <w:rFonts w:ascii="Times New Roman" w:eastAsia="Times New Roman" w:hAnsi="Times New Roman" w:cs="Times New Roman"/>
        <w:b/>
        <w:noProof/>
        <w:sz w:val="18"/>
        <w:szCs w:val="18"/>
        <w:lang w:val="en-GB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1B" w:rsidRDefault="007A001B" w:rsidP="00C21863">
      <w:pPr>
        <w:spacing w:line="240" w:lineRule="auto"/>
      </w:pPr>
      <w:r>
        <w:separator/>
      </w:r>
    </w:p>
  </w:footnote>
  <w:footnote w:type="continuationSeparator" w:id="0">
    <w:p w:rsidR="007A001B" w:rsidRDefault="007A001B" w:rsidP="00C218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D3" w:rsidRPr="00D763D3" w:rsidRDefault="00D763D3" w:rsidP="00D763D3">
    <w:pPr>
      <w:pBdr>
        <w:bottom w:val="single" w:sz="4" w:space="4" w:color="auto"/>
      </w:pBdr>
      <w:tabs>
        <w:tab w:val="clear" w:pos="567"/>
        <w:tab w:val="clear" w:pos="992"/>
        <w:tab w:val="clear" w:pos="1418"/>
        <w:tab w:val="clear" w:pos="1985"/>
        <w:tab w:val="clear" w:pos="9639"/>
      </w:tabs>
      <w:suppressAutoHyphens/>
      <w:spacing w:line="240" w:lineRule="auto"/>
      <w:rPr>
        <w:rFonts w:ascii="Times New Roman" w:eastAsia="Times New Roman" w:hAnsi="Times New Roman" w:cs="Times New Roman"/>
        <w:b/>
        <w:sz w:val="18"/>
        <w:szCs w:val="20"/>
        <w:lang w:val="en-GB" w:eastAsia="en-US"/>
      </w:rPr>
    </w:pPr>
    <w:r w:rsidRPr="00D763D3">
      <w:rPr>
        <w:rFonts w:ascii="Times New Roman" w:eastAsia="Times New Roman" w:hAnsi="Times New Roman" w:cs="Times New Roman"/>
        <w:b/>
        <w:sz w:val="18"/>
        <w:szCs w:val="20"/>
        <w:lang w:val="en-GB" w:eastAsia="en-US"/>
      </w:rPr>
      <w:t>W</w:t>
    </w:r>
    <w:r>
      <w:rPr>
        <w:rFonts w:ascii="Times New Roman" w:eastAsia="Times New Roman" w:hAnsi="Times New Roman" w:cs="Times New Roman"/>
        <w:b/>
        <w:sz w:val="18"/>
        <w:szCs w:val="20"/>
        <w:lang w:val="en-GB" w:eastAsia="en-US"/>
      </w:rPr>
      <w:t>P.15/AC.2/28/INF.15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D3" w:rsidRPr="00D763D3" w:rsidRDefault="00D763D3" w:rsidP="00D763D3">
    <w:pPr>
      <w:pBdr>
        <w:bottom w:val="single" w:sz="4" w:space="4" w:color="auto"/>
      </w:pBdr>
      <w:tabs>
        <w:tab w:val="clear" w:pos="567"/>
        <w:tab w:val="clear" w:pos="992"/>
        <w:tab w:val="clear" w:pos="1418"/>
        <w:tab w:val="clear" w:pos="1985"/>
        <w:tab w:val="clear" w:pos="9639"/>
      </w:tabs>
      <w:suppressAutoHyphens/>
      <w:spacing w:line="240" w:lineRule="auto"/>
      <w:jc w:val="right"/>
      <w:rPr>
        <w:rFonts w:ascii="Times New Roman" w:eastAsia="Times New Roman" w:hAnsi="Times New Roman" w:cs="Times New Roman"/>
        <w:b/>
        <w:sz w:val="18"/>
        <w:szCs w:val="20"/>
        <w:lang w:val="en-GB" w:eastAsia="en-US"/>
      </w:rPr>
    </w:pPr>
    <w:r w:rsidRPr="00D763D3">
      <w:rPr>
        <w:rFonts w:ascii="Times New Roman" w:eastAsia="Times New Roman" w:hAnsi="Times New Roman" w:cs="Times New Roman"/>
        <w:b/>
        <w:sz w:val="18"/>
        <w:szCs w:val="20"/>
        <w:lang w:val="en-GB" w:eastAsia="en-US"/>
      </w:rPr>
      <w:t>W</w:t>
    </w:r>
    <w:r>
      <w:rPr>
        <w:rFonts w:ascii="Times New Roman" w:eastAsia="Times New Roman" w:hAnsi="Times New Roman" w:cs="Times New Roman"/>
        <w:b/>
        <w:sz w:val="18"/>
        <w:szCs w:val="20"/>
        <w:lang w:val="en-GB" w:eastAsia="en-US"/>
      </w:rPr>
      <w:t>P.15/AC.2/28/INF.15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doNotHyphenateCaps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F7"/>
    <w:rsid w:val="000238DE"/>
    <w:rsid w:val="00027EAB"/>
    <w:rsid w:val="00030D4F"/>
    <w:rsid w:val="00067758"/>
    <w:rsid w:val="00071F7A"/>
    <w:rsid w:val="0008133E"/>
    <w:rsid w:val="00091B34"/>
    <w:rsid w:val="00092520"/>
    <w:rsid w:val="000952CD"/>
    <w:rsid w:val="00095352"/>
    <w:rsid w:val="000C0E74"/>
    <w:rsid w:val="000C65A1"/>
    <w:rsid w:val="000E10CD"/>
    <w:rsid w:val="000E2D43"/>
    <w:rsid w:val="000F1D2C"/>
    <w:rsid w:val="001014BA"/>
    <w:rsid w:val="0010316D"/>
    <w:rsid w:val="0010763E"/>
    <w:rsid w:val="001149A0"/>
    <w:rsid w:val="001225A0"/>
    <w:rsid w:val="00135D88"/>
    <w:rsid w:val="00150917"/>
    <w:rsid w:val="00154DD1"/>
    <w:rsid w:val="00161F7E"/>
    <w:rsid w:val="001716F1"/>
    <w:rsid w:val="00171F2B"/>
    <w:rsid w:val="001774AC"/>
    <w:rsid w:val="00186C7E"/>
    <w:rsid w:val="001A47D6"/>
    <w:rsid w:val="001C2D87"/>
    <w:rsid w:val="001D6BF0"/>
    <w:rsid w:val="001D6DA3"/>
    <w:rsid w:val="001E4A73"/>
    <w:rsid w:val="001F18BB"/>
    <w:rsid w:val="001F32CA"/>
    <w:rsid w:val="001F4044"/>
    <w:rsid w:val="00212E3C"/>
    <w:rsid w:val="00221E36"/>
    <w:rsid w:val="002272C9"/>
    <w:rsid w:val="00240B57"/>
    <w:rsid w:val="00255680"/>
    <w:rsid w:val="002665BE"/>
    <w:rsid w:val="00271F6A"/>
    <w:rsid w:val="00294022"/>
    <w:rsid w:val="002B0EF7"/>
    <w:rsid w:val="002B4805"/>
    <w:rsid w:val="002C1C41"/>
    <w:rsid w:val="002C271D"/>
    <w:rsid w:val="002F153B"/>
    <w:rsid w:val="002F33F6"/>
    <w:rsid w:val="00300015"/>
    <w:rsid w:val="003115F1"/>
    <w:rsid w:val="00313829"/>
    <w:rsid w:val="00332DB6"/>
    <w:rsid w:val="0033387A"/>
    <w:rsid w:val="00335A54"/>
    <w:rsid w:val="00341748"/>
    <w:rsid w:val="00344BAF"/>
    <w:rsid w:val="0037349B"/>
    <w:rsid w:val="0039039D"/>
    <w:rsid w:val="003B714F"/>
    <w:rsid w:val="003C04D8"/>
    <w:rsid w:val="003C5113"/>
    <w:rsid w:val="003C5ECE"/>
    <w:rsid w:val="003C68BA"/>
    <w:rsid w:val="003C6B50"/>
    <w:rsid w:val="003E23BB"/>
    <w:rsid w:val="003F02DE"/>
    <w:rsid w:val="003F6059"/>
    <w:rsid w:val="003F7588"/>
    <w:rsid w:val="00403A39"/>
    <w:rsid w:val="00406674"/>
    <w:rsid w:val="00416293"/>
    <w:rsid w:val="004403D4"/>
    <w:rsid w:val="004528A8"/>
    <w:rsid w:val="00467F8D"/>
    <w:rsid w:val="00470FD5"/>
    <w:rsid w:val="004800AF"/>
    <w:rsid w:val="0049006F"/>
    <w:rsid w:val="004A32B9"/>
    <w:rsid w:val="004D54DD"/>
    <w:rsid w:val="004D7159"/>
    <w:rsid w:val="004F5EE0"/>
    <w:rsid w:val="004F618F"/>
    <w:rsid w:val="00505299"/>
    <w:rsid w:val="0051579C"/>
    <w:rsid w:val="00521163"/>
    <w:rsid w:val="00524626"/>
    <w:rsid w:val="00527F10"/>
    <w:rsid w:val="005308BA"/>
    <w:rsid w:val="00535D42"/>
    <w:rsid w:val="00536EDF"/>
    <w:rsid w:val="005514CE"/>
    <w:rsid w:val="00570679"/>
    <w:rsid w:val="00584822"/>
    <w:rsid w:val="005B4C6D"/>
    <w:rsid w:val="005E7047"/>
    <w:rsid w:val="005F21DC"/>
    <w:rsid w:val="005F5165"/>
    <w:rsid w:val="00602718"/>
    <w:rsid w:val="00613419"/>
    <w:rsid w:val="00625310"/>
    <w:rsid w:val="00640113"/>
    <w:rsid w:val="00640148"/>
    <w:rsid w:val="00647E83"/>
    <w:rsid w:val="00651457"/>
    <w:rsid w:val="0067204F"/>
    <w:rsid w:val="006720D6"/>
    <w:rsid w:val="00674BE2"/>
    <w:rsid w:val="006779E1"/>
    <w:rsid w:val="006835D3"/>
    <w:rsid w:val="00687D85"/>
    <w:rsid w:val="0069680D"/>
    <w:rsid w:val="006A2129"/>
    <w:rsid w:val="006A524E"/>
    <w:rsid w:val="006A5A27"/>
    <w:rsid w:val="006D3B31"/>
    <w:rsid w:val="006E0440"/>
    <w:rsid w:val="006E182D"/>
    <w:rsid w:val="00740775"/>
    <w:rsid w:val="00741810"/>
    <w:rsid w:val="00747D0E"/>
    <w:rsid w:val="00751F63"/>
    <w:rsid w:val="00755D98"/>
    <w:rsid w:val="00763C9B"/>
    <w:rsid w:val="007809A1"/>
    <w:rsid w:val="007814D3"/>
    <w:rsid w:val="00783624"/>
    <w:rsid w:val="007838A1"/>
    <w:rsid w:val="00791D55"/>
    <w:rsid w:val="00796088"/>
    <w:rsid w:val="007979A5"/>
    <w:rsid w:val="007A001B"/>
    <w:rsid w:val="007A4264"/>
    <w:rsid w:val="007B6016"/>
    <w:rsid w:val="007D6BED"/>
    <w:rsid w:val="007E15C2"/>
    <w:rsid w:val="007F41B4"/>
    <w:rsid w:val="007F7349"/>
    <w:rsid w:val="00811CC2"/>
    <w:rsid w:val="008127BE"/>
    <w:rsid w:val="00816D07"/>
    <w:rsid w:val="00852E3E"/>
    <w:rsid w:val="0086072A"/>
    <w:rsid w:val="00873598"/>
    <w:rsid w:val="00877D41"/>
    <w:rsid w:val="0088214C"/>
    <w:rsid w:val="008A4D4B"/>
    <w:rsid w:val="008B6C44"/>
    <w:rsid w:val="008C16F9"/>
    <w:rsid w:val="008F3004"/>
    <w:rsid w:val="00911E58"/>
    <w:rsid w:val="009153A1"/>
    <w:rsid w:val="00925F63"/>
    <w:rsid w:val="00932564"/>
    <w:rsid w:val="00956922"/>
    <w:rsid w:val="009644F3"/>
    <w:rsid w:val="009651EA"/>
    <w:rsid w:val="00973EDD"/>
    <w:rsid w:val="0097517E"/>
    <w:rsid w:val="009809E0"/>
    <w:rsid w:val="00995BC9"/>
    <w:rsid w:val="009B6102"/>
    <w:rsid w:val="009B6204"/>
    <w:rsid w:val="009D4E04"/>
    <w:rsid w:val="009D5C95"/>
    <w:rsid w:val="009F4CAE"/>
    <w:rsid w:val="00A004EA"/>
    <w:rsid w:val="00A1052D"/>
    <w:rsid w:val="00A239B7"/>
    <w:rsid w:val="00A32A5F"/>
    <w:rsid w:val="00A43021"/>
    <w:rsid w:val="00A50957"/>
    <w:rsid w:val="00A64A81"/>
    <w:rsid w:val="00A74066"/>
    <w:rsid w:val="00A841A1"/>
    <w:rsid w:val="00A85208"/>
    <w:rsid w:val="00A85E03"/>
    <w:rsid w:val="00A93C4F"/>
    <w:rsid w:val="00AC760F"/>
    <w:rsid w:val="00AD548F"/>
    <w:rsid w:val="00AD7690"/>
    <w:rsid w:val="00AF5E9B"/>
    <w:rsid w:val="00AF6AF3"/>
    <w:rsid w:val="00B03123"/>
    <w:rsid w:val="00B05DB1"/>
    <w:rsid w:val="00B103F8"/>
    <w:rsid w:val="00B2214C"/>
    <w:rsid w:val="00B230E4"/>
    <w:rsid w:val="00B242B5"/>
    <w:rsid w:val="00B270EF"/>
    <w:rsid w:val="00B3022F"/>
    <w:rsid w:val="00B4692E"/>
    <w:rsid w:val="00B6368C"/>
    <w:rsid w:val="00B83E8A"/>
    <w:rsid w:val="00B978B0"/>
    <w:rsid w:val="00BA2376"/>
    <w:rsid w:val="00BA305D"/>
    <w:rsid w:val="00BB6E13"/>
    <w:rsid w:val="00BD3C02"/>
    <w:rsid w:val="00BE598F"/>
    <w:rsid w:val="00BF694F"/>
    <w:rsid w:val="00BF7689"/>
    <w:rsid w:val="00C022AC"/>
    <w:rsid w:val="00C20DFA"/>
    <w:rsid w:val="00C21863"/>
    <w:rsid w:val="00C2621D"/>
    <w:rsid w:val="00C63DBA"/>
    <w:rsid w:val="00C71B19"/>
    <w:rsid w:val="00C759FD"/>
    <w:rsid w:val="00C81C59"/>
    <w:rsid w:val="00C8445F"/>
    <w:rsid w:val="00C84C2C"/>
    <w:rsid w:val="00C92229"/>
    <w:rsid w:val="00C94016"/>
    <w:rsid w:val="00CA3815"/>
    <w:rsid w:val="00CA4961"/>
    <w:rsid w:val="00CA4BAC"/>
    <w:rsid w:val="00CA717B"/>
    <w:rsid w:val="00CB0710"/>
    <w:rsid w:val="00CB6F9A"/>
    <w:rsid w:val="00CC5053"/>
    <w:rsid w:val="00CC7CF4"/>
    <w:rsid w:val="00CD14B2"/>
    <w:rsid w:val="00CD212C"/>
    <w:rsid w:val="00CD6197"/>
    <w:rsid w:val="00CE4CF7"/>
    <w:rsid w:val="00D002FE"/>
    <w:rsid w:val="00D13E84"/>
    <w:rsid w:val="00D27358"/>
    <w:rsid w:val="00D35F33"/>
    <w:rsid w:val="00D40FB9"/>
    <w:rsid w:val="00D55C15"/>
    <w:rsid w:val="00D66045"/>
    <w:rsid w:val="00D6661F"/>
    <w:rsid w:val="00D7442F"/>
    <w:rsid w:val="00D763D3"/>
    <w:rsid w:val="00D94066"/>
    <w:rsid w:val="00D97B69"/>
    <w:rsid w:val="00DA4190"/>
    <w:rsid w:val="00DA78D5"/>
    <w:rsid w:val="00DB20D9"/>
    <w:rsid w:val="00DC375B"/>
    <w:rsid w:val="00DF0235"/>
    <w:rsid w:val="00DF6134"/>
    <w:rsid w:val="00E17911"/>
    <w:rsid w:val="00E24AEB"/>
    <w:rsid w:val="00E26CF7"/>
    <w:rsid w:val="00E31307"/>
    <w:rsid w:val="00E52327"/>
    <w:rsid w:val="00E66544"/>
    <w:rsid w:val="00E67B53"/>
    <w:rsid w:val="00E83442"/>
    <w:rsid w:val="00E85302"/>
    <w:rsid w:val="00E909AC"/>
    <w:rsid w:val="00E955C0"/>
    <w:rsid w:val="00ED4166"/>
    <w:rsid w:val="00ED43F4"/>
    <w:rsid w:val="00ED6337"/>
    <w:rsid w:val="00ED69C3"/>
    <w:rsid w:val="00EF2610"/>
    <w:rsid w:val="00F3106D"/>
    <w:rsid w:val="00F320FA"/>
    <w:rsid w:val="00F458C9"/>
    <w:rsid w:val="00F553CE"/>
    <w:rsid w:val="00F5739D"/>
    <w:rsid w:val="00F651DC"/>
    <w:rsid w:val="00F7070D"/>
    <w:rsid w:val="00F85615"/>
    <w:rsid w:val="00F914F9"/>
    <w:rsid w:val="00FA5416"/>
    <w:rsid w:val="00FB2BB4"/>
    <w:rsid w:val="00FC00A4"/>
    <w:rsid w:val="00FD585C"/>
    <w:rsid w:val="00FF0D1A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CD"/>
    <w:pPr>
      <w:tabs>
        <w:tab w:val="left" w:pos="567"/>
        <w:tab w:val="left" w:pos="992"/>
        <w:tab w:val="left" w:pos="1418"/>
        <w:tab w:val="left" w:pos="1985"/>
        <w:tab w:val="right" w:pos="9639"/>
      </w:tabs>
      <w:spacing w:after="0" w:line="348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86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863"/>
  </w:style>
  <w:style w:type="paragraph" w:styleId="Footer">
    <w:name w:val="footer"/>
    <w:basedOn w:val="Normal"/>
    <w:link w:val="FooterChar"/>
    <w:uiPriority w:val="99"/>
    <w:unhideWhenUsed/>
    <w:rsid w:val="00C2186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63"/>
  </w:style>
  <w:style w:type="paragraph" w:customStyle="1" w:styleId="Headline">
    <w:name w:val="Headline"/>
    <w:basedOn w:val="Normal"/>
    <w:next w:val="Normal"/>
    <w:qFormat/>
    <w:rsid w:val="000E10CD"/>
    <w:pPr>
      <w:tabs>
        <w:tab w:val="clear" w:pos="992"/>
        <w:tab w:val="left" w:pos="993"/>
      </w:tabs>
    </w:pPr>
    <w:rPr>
      <w:rFonts w:cs="Arial"/>
      <w:b/>
      <w:sz w:val="32"/>
    </w:rPr>
  </w:style>
  <w:style w:type="paragraph" w:customStyle="1" w:styleId="Betrifft">
    <w:name w:val="Betrifft"/>
    <w:basedOn w:val="Normal"/>
    <w:next w:val="Normal"/>
    <w:qFormat/>
    <w:rsid w:val="000E10CD"/>
    <w:rPr>
      <w:b/>
      <w:sz w:val="28"/>
    </w:rPr>
  </w:style>
  <w:style w:type="character" w:styleId="Strong">
    <w:name w:val="Strong"/>
    <w:basedOn w:val="DefaultParagraphFont"/>
    <w:uiPriority w:val="22"/>
    <w:qFormat/>
    <w:rsid w:val="000E10CD"/>
    <w:rPr>
      <w:b/>
      <w:bCs/>
    </w:rPr>
  </w:style>
  <w:style w:type="table" w:styleId="TableGrid">
    <w:name w:val="Table Grid"/>
    <w:basedOn w:val="TableNormal"/>
    <w:uiPriority w:val="59"/>
    <w:rsid w:val="0016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B5"/>
    <w:rPr>
      <w:rFonts w:ascii="Tahoma" w:hAnsi="Tahoma" w:cs="Tahoma"/>
      <w:sz w:val="16"/>
      <w:szCs w:val="16"/>
    </w:rPr>
  </w:style>
  <w:style w:type="paragraph" w:customStyle="1" w:styleId="HChG">
    <w:name w:val="_ H _Ch_G"/>
    <w:basedOn w:val="Normal"/>
    <w:next w:val="Normal"/>
    <w:qFormat/>
    <w:rsid w:val="009F4CAE"/>
    <w:pPr>
      <w:keepNext/>
      <w:keepLines/>
      <w:tabs>
        <w:tab w:val="clear" w:pos="567"/>
        <w:tab w:val="clear" w:pos="992"/>
        <w:tab w:val="clear" w:pos="1418"/>
        <w:tab w:val="clear" w:pos="1985"/>
        <w:tab w:val="clear" w:pos="9639"/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SingleTxtG">
    <w:name w:val="_ Single Txt_G"/>
    <w:basedOn w:val="Normal"/>
    <w:qFormat/>
    <w:rsid w:val="003C04D8"/>
    <w:pPr>
      <w:tabs>
        <w:tab w:val="clear" w:pos="567"/>
        <w:tab w:val="clear" w:pos="992"/>
        <w:tab w:val="clear" w:pos="1418"/>
        <w:tab w:val="clear" w:pos="1985"/>
        <w:tab w:val="clear" w:pos="9639"/>
      </w:tabs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CD"/>
    <w:pPr>
      <w:tabs>
        <w:tab w:val="left" w:pos="567"/>
        <w:tab w:val="left" w:pos="992"/>
        <w:tab w:val="left" w:pos="1418"/>
        <w:tab w:val="left" w:pos="1985"/>
        <w:tab w:val="right" w:pos="9639"/>
      </w:tabs>
      <w:spacing w:after="0" w:line="348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86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863"/>
  </w:style>
  <w:style w:type="paragraph" w:styleId="Footer">
    <w:name w:val="footer"/>
    <w:basedOn w:val="Normal"/>
    <w:link w:val="FooterChar"/>
    <w:uiPriority w:val="99"/>
    <w:unhideWhenUsed/>
    <w:rsid w:val="00C2186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63"/>
  </w:style>
  <w:style w:type="paragraph" w:customStyle="1" w:styleId="Headline">
    <w:name w:val="Headline"/>
    <w:basedOn w:val="Normal"/>
    <w:next w:val="Normal"/>
    <w:qFormat/>
    <w:rsid w:val="000E10CD"/>
    <w:pPr>
      <w:tabs>
        <w:tab w:val="clear" w:pos="992"/>
        <w:tab w:val="left" w:pos="993"/>
      </w:tabs>
    </w:pPr>
    <w:rPr>
      <w:rFonts w:cs="Arial"/>
      <w:b/>
      <w:sz w:val="32"/>
    </w:rPr>
  </w:style>
  <w:style w:type="paragraph" w:customStyle="1" w:styleId="Betrifft">
    <w:name w:val="Betrifft"/>
    <w:basedOn w:val="Normal"/>
    <w:next w:val="Normal"/>
    <w:qFormat/>
    <w:rsid w:val="000E10CD"/>
    <w:rPr>
      <w:b/>
      <w:sz w:val="28"/>
    </w:rPr>
  </w:style>
  <w:style w:type="character" w:styleId="Strong">
    <w:name w:val="Strong"/>
    <w:basedOn w:val="DefaultParagraphFont"/>
    <w:uiPriority w:val="22"/>
    <w:qFormat/>
    <w:rsid w:val="000E10CD"/>
    <w:rPr>
      <w:b/>
      <w:bCs/>
    </w:rPr>
  </w:style>
  <w:style w:type="table" w:styleId="TableGrid">
    <w:name w:val="Table Grid"/>
    <w:basedOn w:val="TableNormal"/>
    <w:uiPriority w:val="59"/>
    <w:rsid w:val="0016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B5"/>
    <w:rPr>
      <w:rFonts w:ascii="Tahoma" w:hAnsi="Tahoma" w:cs="Tahoma"/>
      <w:sz w:val="16"/>
      <w:szCs w:val="16"/>
    </w:rPr>
  </w:style>
  <w:style w:type="paragraph" w:customStyle="1" w:styleId="HChG">
    <w:name w:val="_ H _Ch_G"/>
    <w:basedOn w:val="Normal"/>
    <w:next w:val="Normal"/>
    <w:qFormat/>
    <w:rsid w:val="009F4CAE"/>
    <w:pPr>
      <w:keepNext/>
      <w:keepLines/>
      <w:tabs>
        <w:tab w:val="clear" w:pos="567"/>
        <w:tab w:val="clear" w:pos="992"/>
        <w:tab w:val="clear" w:pos="1418"/>
        <w:tab w:val="clear" w:pos="1985"/>
        <w:tab w:val="clear" w:pos="9639"/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SingleTxtG">
    <w:name w:val="_ Single Txt_G"/>
    <w:basedOn w:val="Normal"/>
    <w:qFormat/>
    <w:rsid w:val="003C04D8"/>
    <w:pPr>
      <w:tabs>
        <w:tab w:val="clear" w:pos="567"/>
        <w:tab w:val="clear" w:pos="992"/>
        <w:tab w:val="clear" w:pos="1418"/>
        <w:tab w:val="clear" w:pos="1985"/>
        <w:tab w:val="clear" w:pos="9639"/>
      </w:tabs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E9C37-8627-488F-BD75-42FBB6AB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Birklhuber Bernd</dc:creator>
  <cp:lastModifiedBy>Caillot</cp:lastModifiedBy>
  <cp:revision>5</cp:revision>
  <dcterms:created xsi:type="dcterms:W3CDTF">2016-01-14T15:16:00Z</dcterms:created>
  <dcterms:modified xsi:type="dcterms:W3CDTF">2016-01-14T15:35:00Z</dcterms:modified>
</cp:coreProperties>
</file>