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A86837"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171EA3" w:rsidRDefault="00C4302B" w:rsidP="00B3696B">
            <w:pPr>
              <w:jc w:val="right"/>
              <w:rPr>
                <w:lang w:val="en-GB"/>
              </w:rPr>
            </w:pPr>
            <w:r w:rsidRPr="00171EA3">
              <w:rPr>
                <w:sz w:val="40"/>
                <w:lang w:val="en-GB"/>
              </w:rPr>
              <w:t>ECE</w:t>
            </w:r>
            <w:r w:rsidR="00A86837">
              <w:rPr>
                <w:lang w:val="en-GB"/>
              </w:rPr>
              <w:t>/TRANS/WP.15/AC.2</w:t>
            </w:r>
            <w:r w:rsidRPr="00171EA3">
              <w:rPr>
                <w:lang w:val="en-GB"/>
              </w:rPr>
              <w:t>/201</w:t>
            </w:r>
            <w:r w:rsidR="00A86837">
              <w:rPr>
                <w:lang w:val="en-GB"/>
              </w:rPr>
              <w:t>6</w:t>
            </w:r>
            <w:r w:rsidRPr="00171EA3">
              <w:rPr>
                <w:lang w:val="en-GB"/>
              </w:rPr>
              <w:t>/</w:t>
            </w:r>
            <w:r w:rsidR="00B3696B">
              <w:rPr>
                <w:lang w:val="en-GB"/>
              </w:rPr>
              <w:t>40</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1703B7" w:rsidP="00F01516">
            <w:pPr>
              <w:spacing w:before="120"/>
              <w:jc w:val="center"/>
              <w:rPr>
                <w:lang w:val="fr-FR"/>
              </w:rPr>
            </w:pPr>
            <w:r>
              <w:rPr>
                <w:noProof/>
                <w:lang w:val="en-US"/>
              </w:rPr>
              <w:drawing>
                <wp:inline distT="0" distB="0" distL="0" distR="0" wp14:anchorId="513FC690" wp14:editId="16B15124">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C4302B" w:rsidP="00C4302B">
            <w:pPr>
              <w:spacing w:before="240" w:line="240" w:lineRule="exact"/>
              <w:rPr>
                <w:lang w:val="fr-FR"/>
              </w:rPr>
            </w:pPr>
            <w:proofErr w:type="spellStart"/>
            <w:r>
              <w:rPr>
                <w:lang w:val="fr-FR"/>
              </w:rPr>
              <w:t>Distr</w:t>
            </w:r>
            <w:proofErr w:type="spellEnd"/>
            <w:r>
              <w:rPr>
                <w:lang w:val="fr-FR"/>
              </w:rPr>
              <w:t>. générale</w:t>
            </w:r>
          </w:p>
          <w:p w:rsidR="00C4302B" w:rsidRDefault="00F86E66" w:rsidP="00C4302B">
            <w:pPr>
              <w:spacing w:line="240" w:lineRule="exact"/>
              <w:rPr>
                <w:lang w:val="fr-FR"/>
              </w:rPr>
            </w:pPr>
            <w:r>
              <w:rPr>
                <w:lang w:val="fr-FR"/>
              </w:rPr>
              <w:t>8</w:t>
            </w:r>
            <w:r w:rsidR="00143574">
              <w:rPr>
                <w:lang w:val="fr-FR"/>
              </w:rPr>
              <w:t xml:space="preserve"> juin</w:t>
            </w:r>
            <w:r w:rsidR="00B30CFB">
              <w:rPr>
                <w:lang w:val="fr-FR"/>
              </w:rPr>
              <w:t xml:space="preserve"> 2016</w:t>
            </w:r>
          </w:p>
          <w:p w:rsidR="00C4302B" w:rsidRDefault="00C4302B" w:rsidP="00C4302B">
            <w:pPr>
              <w:spacing w:line="240" w:lineRule="exact"/>
              <w:rPr>
                <w:lang w:val="fr-FR"/>
              </w:rPr>
            </w:pPr>
          </w:p>
          <w:p w:rsidR="00C4302B" w:rsidRPr="00367E6A" w:rsidRDefault="00C4302B" w:rsidP="00B30CFB">
            <w:pPr>
              <w:spacing w:line="240" w:lineRule="exact"/>
              <w:rPr>
                <w:lang w:val="fr-FR"/>
              </w:rPr>
            </w:pPr>
            <w:r>
              <w:rPr>
                <w:lang w:val="fr-FR"/>
              </w:rPr>
              <w:t xml:space="preserve">Original: français </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49374F" w:rsidRPr="00A17EEC" w:rsidRDefault="0049374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49374F" w:rsidRPr="00234E40" w:rsidRDefault="0049374F" w:rsidP="0049374F">
      <w:pPr>
        <w:spacing w:before="120"/>
        <w:rPr>
          <w:b/>
        </w:rPr>
      </w:pPr>
      <w:r>
        <w:rPr>
          <w:b/>
        </w:rPr>
        <w:t>Vingt-</w:t>
      </w:r>
      <w:r w:rsidR="00B30CFB">
        <w:rPr>
          <w:b/>
        </w:rPr>
        <w:t>neuvième</w:t>
      </w:r>
      <w:r>
        <w:rPr>
          <w:b/>
        </w:rPr>
        <w:t xml:space="preserve"> </w:t>
      </w:r>
      <w:r w:rsidRPr="00234E40">
        <w:rPr>
          <w:b/>
        </w:rPr>
        <w:t>session</w:t>
      </w:r>
    </w:p>
    <w:p w:rsidR="0049374F" w:rsidRDefault="0049374F" w:rsidP="0049374F">
      <w:r>
        <w:t>Genève, 2</w:t>
      </w:r>
      <w:r w:rsidR="00B30CFB">
        <w:t>2</w:t>
      </w:r>
      <w:r>
        <w:t>-2</w:t>
      </w:r>
      <w:r w:rsidR="00B30CFB">
        <w:t>5</w:t>
      </w:r>
      <w:r>
        <w:t xml:space="preserve"> </w:t>
      </w:r>
      <w:r w:rsidR="00B30CFB">
        <w:t>août</w:t>
      </w:r>
      <w:r>
        <w:t xml:space="preserve"> 2016</w:t>
      </w:r>
    </w:p>
    <w:p w:rsidR="0049374F" w:rsidRDefault="0049374F" w:rsidP="0049374F">
      <w:r w:rsidRPr="00B93E72">
        <w:t xml:space="preserve">Point </w:t>
      </w:r>
      <w:r w:rsidR="0013653F" w:rsidRPr="0013653F">
        <w:t>4</w:t>
      </w:r>
      <w:r w:rsidRPr="0013653F">
        <w:t xml:space="preserve"> </w:t>
      </w:r>
      <w:r w:rsidR="0013653F" w:rsidRPr="0013653F">
        <w:t>b</w:t>
      </w:r>
      <w:r w:rsidRPr="0013653F">
        <w:t>)</w:t>
      </w:r>
      <w:r w:rsidRPr="00B93E72">
        <w:t xml:space="preserve"> de l</w:t>
      </w:r>
      <w:r>
        <w:t>’</w:t>
      </w:r>
      <w:r w:rsidRPr="00B93E72">
        <w:t>ordre du jour provisoire</w:t>
      </w:r>
    </w:p>
    <w:p w:rsidR="00B30CFB" w:rsidRPr="00B30CFB" w:rsidRDefault="00B30CFB" w:rsidP="00B30CFB">
      <w:pPr>
        <w:rPr>
          <w:b/>
          <w:lang w:val="fr-FR"/>
        </w:rPr>
      </w:pPr>
      <w:r w:rsidRPr="00B30CFB">
        <w:rPr>
          <w:b/>
          <w:lang w:val="fr-FR"/>
        </w:rPr>
        <w:t xml:space="preserve">Propositions </w:t>
      </w:r>
      <w:r w:rsidR="0013653F">
        <w:rPr>
          <w:b/>
          <w:lang w:val="fr-FR"/>
        </w:rPr>
        <w:t>d'amendement</w:t>
      </w:r>
      <w:r w:rsidR="005669DD">
        <w:rPr>
          <w:b/>
          <w:lang w:val="fr-FR"/>
        </w:rPr>
        <w:t>s</w:t>
      </w:r>
      <w:r w:rsidR="0013653F">
        <w:rPr>
          <w:b/>
          <w:lang w:val="fr-FR"/>
        </w:rPr>
        <w:t xml:space="preserve"> au R</w:t>
      </w:r>
      <w:r w:rsidRPr="00B30CFB">
        <w:rPr>
          <w:b/>
          <w:lang w:val="fr-FR"/>
        </w:rPr>
        <w:t>èglement annexé à l'ADN :</w:t>
      </w:r>
    </w:p>
    <w:p w:rsidR="0049374F" w:rsidRPr="00C63AC1" w:rsidRDefault="0013653F" w:rsidP="00B30CFB">
      <w:proofErr w:type="gramStart"/>
      <w:r>
        <w:rPr>
          <w:b/>
          <w:lang w:val="fr-FR"/>
        </w:rPr>
        <w:t>autres</w:t>
      </w:r>
      <w:proofErr w:type="gramEnd"/>
      <w:r>
        <w:rPr>
          <w:b/>
          <w:lang w:val="fr-FR"/>
        </w:rPr>
        <w:t xml:space="preserve"> propositions</w:t>
      </w:r>
    </w:p>
    <w:p w:rsidR="001625E1" w:rsidRPr="001625E1" w:rsidRDefault="0049374F" w:rsidP="001625E1">
      <w:pPr>
        <w:pStyle w:val="HChG"/>
      </w:pPr>
      <w:r w:rsidRPr="00C63AC1">
        <w:tab/>
      </w:r>
      <w:r w:rsidR="00A86837" w:rsidRPr="00C63AC1">
        <w:tab/>
      </w:r>
      <w:r w:rsidR="001625E1" w:rsidRPr="001625E1">
        <w:rPr>
          <w:lang w:val="fr-FR"/>
        </w:rPr>
        <w:t xml:space="preserve">Preuve d'une stabilité à l'état </w:t>
      </w:r>
      <w:r w:rsidR="001625E1" w:rsidRPr="001625E1">
        <w:t>intacte suffisante</w:t>
      </w:r>
    </w:p>
    <w:p w:rsidR="00A86837" w:rsidRPr="00EA0C87" w:rsidRDefault="001625E1" w:rsidP="001625E1">
      <w:pPr>
        <w:pStyle w:val="HChG"/>
      </w:pPr>
      <w:r>
        <w:tab/>
      </w:r>
      <w:r>
        <w:tab/>
      </w:r>
      <w:r w:rsidRPr="001625E1">
        <w:t xml:space="preserve">Élaboration de manuels de stabilité et de </w:t>
      </w:r>
      <w:proofErr w:type="spellStart"/>
      <w:r w:rsidRPr="001625E1">
        <w:t>progra</w:t>
      </w:r>
      <w:r w:rsidRPr="001625E1">
        <w:rPr>
          <w:lang w:val="fr-FR"/>
        </w:rPr>
        <w:t>mmes</w:t>
      </w:r>
      <w:proofErr w:type="spellEnd"/>
      <w:r w:rsidRPr="001625E1">
        <w:rPr>
          <w:lang w:val="fr-FR"/>
        </w:rPr>
        <w:t xml:space="preserve"> de stabilité</w:t>
      </w:r>
    </w:p>
    <w:p w:rsidR="00A86837" w:rsidRDefault="00A86837" w:rsidP="00D96366">
      <w:pPr>
        <w:pStyle w:val="H1G"/>
        <w:rPr>
          <w:lang w:val="fr-FR"/>
        </w:rPr>
      </w:pPr>
      <w:r w:rsidRPr="00EA0C87">
        <w:tab/>
      </w:r>
      <w:r w:rsidRPr="00EA0C87">
        <w:tab/>
      </w:r>
      <w:r w:rsidR="00AA5B1E" w:rsidRPr="00AA5B1E">
        <w:rPr>
          <w:lang w:val="fr-FR"/>
        </w:rPr>
        <w:t xml:space="preserve">Transmis conjointement par l'Union européenne de la navigation fluviale (UENF), par la </w:t>
      </w:r>
      <w:proofErr w:type="spellStart"/>
      <w:r w:rsidR="00AA5B1E" w:rsidRPr="00AA5B1E">
        <w:rPr>
          <w:lang w:val="fr-FR"/>
        </w:rPr>
        <w:t>European</w:t>
      </w:r>
      <w:proofErr w:type="spellEnd"/>
      <w:r w:rsidR="00AA5B1E" w:rsidRPr="00AA5B1E">
        <w:rPr>
          <w:lang w:val="fr-FR"/>
        </w:rPr>
        <w:t xml:space="preserve"> River </w:t>
      </w:r>
      <w:proofErr w:type="spellStart"/>
      <w:r w:rsidR="00AA5B1E" w:rsidRPr="00AA5B1E">
        <w:rPr>
          <w:lang w:val="fr-FR"/>
        </w:rPr>
        <w:t>Sea</w:t>
      </w:r>
      <w:proofErr w:type="spellEnd"/>
      <w:r w:rsidR="00AA5B1E" w:rsidRPr="00AA5B1E">
        <w:rPr>
          <w:lang w:val="fr-FR"/>
        </w:rPr>
        <w:t xml:space="preserve"> Transport Union (ERSTU) et par l'Organisation européenne des bateliers (OEB)</w:t>
      </w:r>
      <w:r w:rsidR="00E53D77" w:rsidRPr="00497E7A">
        <w:rPr>
          <w:noProof/>
          <w:snapToGrid w:val="0"/>
          <w:szCs w:val="24"/>
          <w:vertAlign w:val="superscript"/>
          <w:lang w:val="fr-FR" w:eastAsia="fr-FR"/>
        </w:rPr>
        <w:footnoteReference w:id="2"/>
      </w:r>
      <w:r w:rsidR="0013653F" w:rsidRPr="00E97EE2">
        <w:rPr>
          <w:vertAlign w:val="superscript"/>
          <w:lang w:val="fr-FR"/>
        </w:rPr>
        <w:t>,</w:t>
      </w:r>
      <w:r w:rsidR="0013653F">
        <w:rPr>
          <w:lang w:val="fr-FR"/>
        </w:rPr>
        <w:t xml:space="preserve"> </w:t>
      </w:r>
      <w:r w:rsidR="0013653F" w:rsidRPr="0013653F">
        <w:rPr>
          <w:rStyle w:val="FootnoteReference"/>
          <w:sz w:val="24"/>
          <w:szCs w:val="24"/>
        </w:rPr>
        <w:footnoteReference w:id="3"/>
      </w:r>
    </w:p>
    <w:p w:rsidR="001625E1" w:rsidRPr="001625E1" w:rsidRDefault="001625E1" w:rsidP="001625E1">
      <w:pPr>
        <w:pStyle w:val="SingleTxtG"/>
        <w:rPr>
          <w:lang w:val="fr-FR"/>
        </w:rPr>
      </w:pPr>
      <w:r w:rsidRPr="001625E1">
        <w:rPr>
          <w:lang w:val="fr-FR"/>
        </w:rPr>
        <w:t>1.</w:t>
      </w:r>
      <w:r w:rsidRPr="001625E1">
        <w:rPr>
          <w:lang w:val="fr-FR"/>
        </w:rPr>
        <w:tab/>
        <w:t>L'ADN contient dans les sous-sections 9.3.1.13.3, 9.3.2.13.3 et 9.3.3.13.3 les exigences relatives aux manuels de stabilité et aux calculateurs de chargement.</w:t>
      </w:r>
    </w:p>
    <w:p w:rsidR="001625E1" w:rsidRPr="001625E1" w:rsidRDefault="001625E1" w:rsidP="001625E1">
      <w:pPr>
        <w:pStyle w:val="SingleTxtG"/>
        <w:rPr>
          <w:lang w:val="fr-FR"/>
        </w:rPr>
      </w:pPr>
      <w:r w:rsidRPr="001625E1">
        <w:rPr>
          <w:lang w:val="fr-FR"/>
        </w:rPr>
        <w:t>2.</w:t>
      </w:r>
      <w:r w:rsidRPr="001625E1">
        <w:rPr>
          <w:lang w:val="fr-FR"/>
        </w:rPr>
        <w:tab/>
        <w:t>Par dérogation à la sous-section 1.16.1.3 ADN, les certificats d'agrément provisoires peuvent être délivrés une seule fois pour une période de six mois en 2015 ou de quatre mois au cours des années suivantes, afin que puisse être apportée la preuve de la stabilité à l'état intact conformément aux 9.3.1.13.3, 9.3.2.13.3 et 9.3.3.13.3 ADN en vue du renouvellement du certificat d'agrément.</w:t>
      </w:r>
    </w:p>
    <w:p w:rsidR="001625E1" w:rsidRPr="001625E1" w:rsidRDefault="001625E1" w:rsidP="001625E1">
      <w:pPr>
        <w:pStyle w:val="SingleTxtG"/>
        <w:rPr>
          <w:lang w:val="fr-FR"/>
        </w:rPr>
      </w:pPr>
      <w:r w:rsidRPr="001625E1">
        <w:rPr>
          <w:lang w:val="fr-FR"/>
        </w:rPr>
        <w:lastRenderedPageBreak/>
        <w:tab/>
        <w:t>Ces dispositions figurent dans les accords multilatéraux MV 014 et MV 015 avec une validité jusqu'au 31 décembre 2019.</w:t>
      </w:r>
    </w:p>
    <w:p w:rsidR="001625E1" w:rsidRPr="001625E1" w:rsidRDefault="001625E1" w:rsidP="001625E1">
      <w:pPr>
        <w:pStyle w:val="SingleTxtG"/>
        <w:rPr>
          <w:lang w:val="fr-FR"/>
        </w:rPr>
      </w:pPr>
      <w:r w:rsidRPr="001625E1">
        <w:rPr>
          <w:lang w:val="fr-FR"/>
        </w:rPr>
        <w:t>3.</w:t>
      </w:r>
      <w:r w:rsidRPr="001625E1">
        <w:rPr>
          <w:lang w:val="fr-FR"/>
        </w:rPr>
        <w:tab/>
        <w:t>Il s'avère que, malgré d'intenses discussions et réflexions détaillées lors de l'élaboration de ces accords, le temps nécessaire pour l'élaboration de manuels de stabilité et de programmes de stabilité a été largement sous-estimé.</w:t>
      </w:r>
    </w:p>
    <w:p w:rsidR="00AA5B1E" w:rsidRPr="00FF1E43" w:rsidRDefault="001625E1" w:rsidP="001625E1">
      <w:pPr>
        <w:pStyle w:val="SingleTxtG"/>
        <w:rPr>
          <w:lang w:val="fr-FR"/>
        </w:rPr>
      </w:pPr>
      <w:r w:rsidRPr="001625E1">
        <w:rPr>
          <w:lang w:val="fr-FR"/>
        </w:rPr>
        <w:t>4.</w:t>
      </w:r>
      <w:r w:rsidRPr="001625E1">
        <w:rPr>
          <w:lang w:val="fr-FR"/>
        </w:rPr>
        <w:tab/>
        <w:t xml:space="preserve">Pour cette raison, la profession européenne de la navigation intérieure demande que, </w:t>
      </w:r>
      <w:r w:rsidRPr="001625E1">
        <w:rPr>
          <w:u w:val="single"/>
          <w:lang w:val="fr-FR"/>
        </w:rPr>
        <w:t>aussi pour 2016 et toutes les années suivantes</w:t>
      </w:r>
      <w:r w:rsidRPr="001625E1">
        <w:rPr>
          <w:lang w:val="fr-FR"/>
        </w:rPr>
        <w:t xml:space="preserve">, les délais mentionnés dans les accords multilatéraux MV 014 et MV 015 pour la délivrance unique de certificats d'agrément provisoires soient portés à </w:t>
      </w:r>
      <w:r w:rsidRPr="001625E1">
        <w:rPr>
          <w:b/>
          <w:lang w:val="fr-FR"/>
        </w:rPr>
        <w:t>6 mois</w:t>
      </w:r>
      <w:r w:rsidR="00F86E66">
        <w:rPr>
          <w:b/>
          <w:lang w:val="fr-FR"/>
        </w:rPr>
        <w:t xml:space="preserve"> </w:t>
      </w:r>
      <w:r w:rsidRPr="001625E1">
        <w:rPr>
          <w:lang w:val="fr-FR"/>
        </w:rPr>
        <w:t>pour pouvoir apporter la preuve de la stabilité à l'état intact conformément aux 9.3.1.13.3, 9.</w:t>
      </w:r>
      <w:bookmarkStart w:id="0" w:name="_GoBack"/>
      <w:bookmarkEnd w:id="0"/>
      <w:r w:rsidRPr="001625E1">
        <w:rPr>
          <w:lang w:val="fr-FR"/>
        </w:rPr>
        <w:t>3.2.13.3 et 9.3.3.13.3 ADN lors du renouvellement du certificat d'agrément.</w:t>
      </w:r>
    </w:p>
    <w:p w:rsidR="008D0723" w:rsidRPr="006A5D70" w:rsidRDefault="00D440EE" w:rsidP="00D440EE">
      <w:pPr>
        <w:spacing w:before="240"/>
        <w:ind w:left="1134" w:right="1134"/>
        <w:jc w:val="center"/>
        <w:rPr>
          <w:u w:val="single"/>
        </w:rPr>
      </w:pPr>
      <w:r w:rsidRPr="006A5D70">
        <w:rPr>
          <w:u w:val="single"/>
        </w:rPr>
        <w:tab/>
      </w:r>
      <w:r w:rsidRPr="006A5D70">
        <w:rPr>
          <w:u w:val="single"/>
        </w:rPr>
        <w:tab/>
      </w:r>
      <w:r w:rsidRPr="006A5D70">
        <w:rPr>
          <w:u w:val="single"/>
        </w:rPr>
        <w:tab/>
      </w:r>
    </w:p>
    <w:sectPr w:rsidR="008D0723" w:rsidRPr="006A5D70" w:rsidSect="001A73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5A" w:rsidRDefault="0006085A"/>
  </w:endnote>
  <w:endnote w:type="continuationSeparator" w:id="0">
    <w:p w:rsidR="0006085A" w:rsidRDefault="0006085A"/>
  </w:endnote>
  <w:endnote w:type="continuationNotice" w:id="1">
    <w:p w:rsidR="0006085A" w:rsidRDefault="0006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F86E66">
      <w:rPr>
        <w:b/>
        <w:noProof/>
        <w:sz w:val="18"/>
      </w:rPr>
      <w:t>2</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1625E1">
      <w:rPr>
        <w:b/>
        <w:noProof/>
        <w:sz w:val="18"/>
      </w:rPr>
      <w:t>5</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5A" w:rsidRPr="00D27D5E" w:rsidRDefault="0006085A" w:rsidP="00D27D5E">
      <w:pPr>
        <w:tabs>
          <w:tab w:val="right" w:pos="2155"/>
        </w:tabs>
        <w:spacing w:after="80"/>
        <w:ind w:left="680"/>
        <w:rPr>
          <w:u w:val="single"/>
        </w:rPr>
      </w:pPr>
      <w:r>
        <w:rPr>
          <w:u w:val="single"/>
        </w:rPr>
        <w:tab/>
      </w:r>
    </w:p>
  </w:footnote>
  <w:footnote w:type="continuationSeparator" w:id="0">
    <w:p w:rsidR="0006085A" w:rsidRPr="00A80554" w:rsidRDefault="0006085A" w:rsidP="00A80554">
      <w:pPr>
        <w:tabs>
          <w:tab w:val="left" w:pos="2155"/>
        </w:tabs>
        <w:spacing w:after="80"/>
        <w:ind w:left="680"/>
        <w:rPr>
          <w:u w:val="single"/>
        </w:rPr>
      </w:pPr>
      <w:r w:rsidRPr="00A80554">
        <w:rPr>
          <w:u w:val="single"/>
        </w:rPr>
        <w:tab/>
      </w:r>
    </w:p>
  </w:footnote>
  <w:footnote w:type="continuationNotice" w:id="1">
    <w:p w:rsidR="0006085A" w:rsidRDefault="0006085A"/>
  </w:footnote>
  <w:footnote w:id="2">
    <w:p w:rsidR="0006085A" w:rsidRPr="00F337B3" w:rsidRDefault="0006085A" w:rsidP="00E53D77">
      <w:pPr>
        <w:pStyle w:val="FootnoteText"/>
      </w:pPr>
      <w:r>
        <w:rPr>
          <w:szCs w:val="24"/>
        </w:rPr>
        <w:tab/>
      </w:r>
      <w:r w:rsidRPr="00F337B3">
        <w:rPr>
          <w:rStyle w:val="FootnoteReference"/>
          <w:szCs w:val="24"/>
        </w:rPr>
        <w:footnoteRef/>
      </w:r>
      <w:r w:rsidRPr="00F337B3">
        <w:rPr>
          <w:szCs w:val="24"/>
        </w:rPr>
        <w:tab/>
      </w:r>
      <w:r w:rsidRPr="00F337B3">
        <w:t xml:space="preserve">Diffusé en langue </w:t>
      </w:r>
      <w:r w:rsidRPr="00D64213">
        <w:t>allemande</w:t>
      </w:r>
      <w:r w:rsidRPr="00F337B3">
        <w:t xml:space="preserve"> par la Commission centrale pour la navigation du Rhin sous la cote</w:t>
      </w:r>
      <w:r w:rsidR="00AA5B1E">
        <w:t xml:space="preserve"> CCNR/ZKR/ADN/WP.15/</w:t>
      </w:r>
      <w:r w:rsidR="00B3696B">
        <w:t>AC.2/2016/40</w:t>
      </w:r>
      <w:r w:rsidRPr="00F337B3">
        <w:rPr>
          <w:noProof/>
        </w:rPr>
        <w:t>.</w:t>
      </w:r>
    </w:p>
  </w:footnote>
  <w:footnote w:id="3">
    <w:p w:rsidR="0013653F" w:rsidRDefault="0013653F" w:rsidP="0013653F">
      <w:pPr>
        <w:pStyle w:val="FootnoteText"/>
        <w:widowControl w:val="0"/>
        <w:tabs>
          <w:tab w:val="clear" w:pos="1021"/>
          <w:tab w:val="right" w:pos="1020"/>
        </w:tabs>
      </w:pPr>
      <w:r>
        <w:tab/>
      </w:r>
      <w:r>
        <w:rPr>
          <w:rStyle w:val="FootnoteReference"/>
        </w:rPr>
        <w:footnoteRef/>
      </w:r>
      <w:r>
        <w:tab/>
        <w:t>Conformément au programme de travail du Comité des transports intérieurs pour 2016-2017 (ECE/TRANS/2016/28/Add.1 (9.3.))</w:t>
      </w:r>
      <w:r w:rsidR="00156A9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rPr>
        <w:lang w:val="en-GB"/>
      </w:rPr>
    </w:pPr>
    <w:r w:rsidRPr="00565A49">
      <w:rPr>
        <w:lang w:val="en-GB"/>
      </w:rPr>
      <w:t>ECE/TRANS/WP.15/AC.</w:t>
    </w:r>
    <w:r>
      <w:rPr>
        <w:lang w:val="en-GB"/>
      </w:rPr>
      <w:t>2/2016/</w:t>
    </w:r>
    <w:r w:rsidR="001625E1">
      <w:rPr>
        <w:lang w:val="en-GB"/>
      </w:rPr>
      <w:t>40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jc w:val="right"/>
      <w:rPr>
        <w:lang w:val="en-GB"/>
      </w:rPr>
    </w:pPr>
    <w:r w:rsidRPr="00565A49">
      <w:rPr>
        <w:lang w:val="en-GB"/>
      </w:rPr>
      <w:t>ECE/TRANS/WP.15/AC.</w:t>
    </w:r>
    <w:r w:rsidR="00E30A6C">
      <w:rPr>
        <w:lang w:val="en-GB"/>
      </w:rPr>
      <w:t>2/2016/39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s-ES" w:vendorID="64" w:dllVersion="131078" w:nlCheck="1" w:checkStyle="1"/>
  <w:activeWritingStyle w:appName="MSWord" w:lang="fr-CA" w:vendorID="64" w:dllVersion="131078" w:nlCheck="1" w:checkStyle="1"/>
  <w:activeWritingStyle w:appName="MSWord" w:lang="nl-NL" w:vendorID="64" w:dllVersion="131078" w:nlCheck="1" w:checkStyle="0"/>
  <w:activeWritingStyle w:appName="MSWord" w:lang="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1A"/>
    <w:rsid w:val="0000195C"/>
    <w:rsid w:val="00003FFB"/>
    <w:rsid w:val="0000754C"/>
    <w:rsid w:val="000121D3"/>
    <w:rsid w:val="000131A5"/>
    <w:rsid w:val="00016AC5"/>
    <w:rsid w:val="00022BD7"/>
    <w:rsid w:val="00030ADE"/>
    <w:rsid w:val="000312C0"/>
    <w:rsid w:val="00033A63"/>
    <w:rsid w:val="0004058B"/>
    <w:rsid w:val="000472A1"/>
    <w:rsid w:val="000507A8"/>
    <w:rsid w:val="0006085A"/>
    <w:rsid w:val="0006415C"/>
    <w:rsid w:val="000643B7"/>
    <w:rsid w:val="00066716"/>
    <w:rsid w:val="00071432"/>
    <w:rsid w:val="000758B9"/>
    <w:rsid w:val="00081790"/>
    <w:rsid w:val="000828C8"/>
    <w:rsid w:val="00094EF2"/>
    <w:rsid w:val="000963EA"/>
    <w:rsid w:val="000964C7"/>
    <w:rsid w:val="000A49E0"/>
    <w:rsid w:val="000A7EC2"/>
    <w:rsid w:val="000B34CA"/>
    <w:rsid w:val="000C0699"/>
    <w:rsid w:val="000D7E12"/>
    <w:rsid w:val="000E68FB"/>
    <w:rsid w:val="000F41F2"/>
    <w:rsid w:val="00104ADE"/>
    <w:rsid w:val="00114946"/>
    <w:rsid w:val="00115943"/>
    <w:rsid w:val="00127A72"/>
    <w:rsid w:val="0013180D"/>
    <w:rsid w:val="00135C0D"/>
    <w:rsid w:val="0013653F"/>
    <w:rsid w:val="00143574"/>
    <w:rsid w:val="00154636"/>
    <w:rsid w:val="001551B7"/>
    <w:rsid w:val="001568BB"/>
    <w:rsid w:val="00156A92"/>
    <w:rsid w:val="00160540"/>
    <w:rsid w:val="00162132"/>
    <w:rsid w:val="001625E1"/>
    <w:rsid w:val="00162E33"/>
    <w:rsid w:val="0016419C"/>
    <w:rsid w:val="00164FB7"/>
    <w:rsid w:val="001703B7"/>
    <w:rsid w:val="0017182C"/>
    <w:rsid w:val="00171EA3"/>
    <w:rsid w:val="00177007"/>
    <w:rsid w:val="00186EE9"/>
    <w:rsid w:val="00190399"/>
    <w:rsid w:val="00192EEB"/>
    <w:rsid w:val="001A20FB"/>
    <w:rsid w:val="001A37C7"/>
    <w:rsid w:val="001A73B7"/>
    <w:rsid w:val="001B6AF6"/>
    <w:rsid w:val="001B6F40"/>
    <w:rsid w:val="001C4BBB"/>
    <w:rsid w:val="001D7DF9"/>
    <w:rsid w:val="001D7F8A"/>
    <w:rsid w:val="001E3FEB"/>
    <w:rsid w:val="001E4A02"/>
    <w:rsid w:val="001F3CC1"/>
    <w:rsid w:val="001F412D"/>
    <w:rsid w:val="001F5816"/>
    <w:rsid w:val="00203B6A"/>
    <w:rsid w:val="002041A8"/>
    <w:rsid w:val="0020607F"/>
    <w:rsid w:val="002069D5"/>
    <w:rsid w:val="00216861"/>
    <w:rsid w:val="0022098E"/>
    <w:rsid w:val="00223B89"/>
    <w:rsid w:val="00225A8C"/>
    <w:rsid w:val="00232C61"/>
    <w:rsid w:val="002403AA"/>
    <w:rsid w:val="00260A9C"/>
    <w:rsid w:val="00261C6B"/>
    <w:rsid w:val="002659F1"/>
    <w:rsid w:val="00265FE8"/>
    <w:rsid w:val="0027037E"/>
    <w:rsid w:val="00271C7C"/>
    <w:rsid w:val="00287E79"/>
    <w:rsid w:val="0029101B"/>
    <w:rsid w:val="002928F9"/>
    <w:rsid w:val="0029776B"/>
    <w:rsid w:val="002A1905"/>
    <w:rsid w:val="002A29C3"/>
    <w:rsid w:val="002A5D07"/>
    <w:rsid w:val="002A5F7F"/>
    <w:rsid w:val="002B2881"/>
    <w:rsid w:val="002B56D7"/>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70CB"/>
    <w:rsid w:val="003515AA"/>
    <w:rsid w:val="00351AD9"/>
    <w:rsid w:val="003540B3"/>
    <w:rsid w:val="00367E6A"/>
    <w:rsid w:val="00370E0F"/>
    <w:rsid w:val="00372345"/>
    <w:rsid w:val="00374106"/>
    <w:rsid w:val="00374296"/>
    <w:rsid w:val="00391403"/>
    <w:rsid w:val="00397250"/>
    <w:rsid w:val="003974E1"/>
    <w:rsid w:val="003976D5"/>
    <w:rsid w:val="003A1FEF"/>
    <w:rsid w:val="003A462C"/>
    <w:rsid w:val="003A656C"/>
    <w:rsid w:val="003B6B20"/>
    <w:rsid w:val="003C322F"/>
    <w:rsid w:val="003C5C5B"/>
    <w:rsid w:val="003D1DF3"/>
    <w:rsid w:val="003D46A7"/>
    <w:rsid w:val="003D6C68"/>
    <w:rsid w:val="003D76E4"/>
    <w:rsid w:val="003F118A"/>
    <w:rsid w:val="004005D0"/>
    <w:rsid w:val="00406E74"/>
    <w:rsid w:val="00413736"/>
    <w:rsid w:val="00414425"/>
    <w:rsid w:val="004159D0"/>
    <w:rsid w:val="00421AC2"/>
    <w:rsid w:val="00423D55"/>
    <w:rsid w:val="004249E7"/>
    <w:rsid w:val="00426DA1"/>
    <w:rsid w:val="00430C92"/>
    <w:rsid w:val="00434168"/>
    <w:rsid w:val="0044289E"/>
    <w:rsid w:val="00454017"/>
    <w:rsid w:val="00461870"/>
    <w:rsid w:val="00471DA9"/>
    <w:rsid w:val="00475DD2"/>
    <w:rsid w:val="00486E96"/>
    <w:rsid w:val="00491EC7"/>
    <w:rsid w:val="0049374F"/>
    <w:rsid w:val="00497A70"/>
    <w:rsid w:val="004A324B"/>
    <w:rsid w:val="004A331B"/>
    <w:rsid w:val="004A3778"/>
    <w:rsid w:val="004A5C90"/>
    <w:rsid w:val="004B154F"/>
    <w:rsid w:val="004D0EB7"/>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F2F"/>
    <w:rsid w:val="005611FF"/>
    <w:rsid w:val="005622F9"/>
    <w:rsid w:val="00563346"/>
    <w:rsid w:val="00565A49"/>
    <w:rsid w:val="005669DD"/>
    <w:rsid w:val="00571F41"/>
    <w:rsid w:val="00575335"/>
    <w:rsid w:val="00576C84"/>
    <w:rsid w:val="00585A6B"/>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11D43"/>
    <w:rsid w:val="00612D48"/>
    <w:rsid w:val="00616B45"/>
    <w:rsid w:val="0061708F"/>
    <w:rsid w:val="006210B6"/>
    <w:rsid w:val="00625F01"/>
    <w:rsid w:val="00630D9B"/>
    <w:rsid w:val="00631953"/>
    <w:rsid w:val="0063675E"/>
    <w:rsid w:val="006439EC"/>
    <w:rsid w:val="00654B07"/>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E0743"/>
    <w:rsid w:val="006E19BA"/>
    <w:rsid w:val="006E3B48"/>
    <w:rsid w:val="006E5FC7"/>
    <w:rsid w:val="006E7722"/>
    <w:rsid w:val="006F151C"/>
    <w:rsid w:val="00700CF9"/>
    <w:rsid w:val="0070347C"/>
    <w:rsid w:val="007176C1"/>
    <w:rsid w:val="00737BCE"/>
    <w:rsid w:val="0074123A"/>
    <w:rsid w:val="00742FD7"/>
    <w:rsid w:val="007450F8"/>
    <w:rsid w:val="00745CA1"/>
    <w:rsid w:val="007514EF"/>
    <w:rsid w:val="007527B6"/>
    <w:rsid w:val="00753BDA"/>
    <w:rsid w:val="00766A94"/>
    <w:rsid w:val="007673E8"/>
    <w:rsid w:val="00780EAE"/>
    <w:rsid w:val="007811F7"/>
    <w:rsid w:val="007817A1"/>
    <w:rsid w:val="007820F2"/>
    <w:rsid w:val="00783F37"/>
    <w:rsid w:val="007904AF"/>
    <w:rsid w:val="00790F2F"/>
    <w:rsid w:val="00795138"/>
    <w:rsid w:val="007A6076"/>
    <w:rsid w:val="007C1A44"/>
    <w:rsid w:val="007D78D5"/>
    <w:rsid w:val="007E2F66"/>
    <w:rsid w:val="007F0F13"/>
    <w:rsid w:val="007F55CB"/>
    <w:rsid w:val="00812C1A"/>
    <w:rsid w:val="00816FA8"/>
    <w:rsid w:val="0081704B"/>
    <w:rsid w:val="00831329"/>
    <w:rsid w:val="008317F6"/>
    <w:rsid w:val="00835193"/>
    <w:rsid w:val="008353E4"/>
    <w:rsid w:val="00835BFB"/>
    <w:rsid w:val="00836924"/>
    <w:rsid w:val="00844750"/>
    <w:rsid w:val="00851438"/>
    <w:rsid w:val="00860C9D"/>
    <w:rsid w:val="00871051"/>
    <w:rsid w:val="00883D70"/>
    <w:rsid w:val="00884E9C"/>
    <w:rsid w:val="008B44C4"/>
    <w:rsid w:val="008B7879"/>
    <w:rsid w:val="008C1BBA"/>
    <w:rsid w:val="008C2211"/>
    <w:rsid w:val="008C7684"/>
    <w:rsid w:val="008D0723"/>
    <w:rsid w:val="008D0C3F"/>
    <w:rsid w:val="008D1AC7"/>
    <w:rsid w:val="008D3919"/>
    <w:rsid w:val="008E0B16"/>
    <w:rsid w:val="008E3F2C"/>
    <w:rsid w:val="008E5107"/>
    <w:rsid w:val="008E7FAE"/>
    <w:rsid w:val="008F1725"/>
    <w:rsid w:val="008F60FF"/>
    <w:rsid w:val="009066AE"/>
    <w:rsid w:val="00911BF7"/>
    <w:rsid w:val="00922301"/>
    <w:rsid w:val="00922FBA"/>
    <w:rsid w:val="00926E87"/>
    <w:rsid w:val="00932D7A"/>
    <w:rsid w:val="00952FDB"/>
    <w:rsid w:val="00953DE0"/>
    <w:rsid w:val="009566B0"/>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A11C63"/>
    <w:rsid w:val="00A134EB"/>
    <w:rsid w:val="00A1547F"/>
    <w:rsid w:val="00A2492E"/>
    <w:rsid w:val="00A31F07"/>
    <w:rsid w:val="00A41235"/>
    <w:rsid w:val="00A44CBA"/>
    <w:rsid w:val="00A45EBB"/>
    <w:rsid w:val="00A6502C"/>
    <w:rsid w:val="00A70163"/>
    <w:rsid w:val="00A71439"/>
    <w:rsid w:val="00A73DB7"/>
    <w:rsid w:val="00A778A5"/>
    <w:rsid w:val="00A80554"/>
    <w:rsid w:val="00A86837"/>
    <w:rsid w:val="00A92C6B"/>
    <w:rsid w:val="00A963DD"/>
    <w:rsid w:val="00AA0176"/>
    <w:rsid w:val="00AA3C96"/>
    <w:rsid w:val="00AA5B1E"/>
    <w:rsid w:val="00AA72C3"/>
    <w:rsid w:val="00AB6447"/>
    <w:rsid w:val="00AC67A1"/>
    <w:rsid w:val="00AC7977"/>
    <w:rsid w:val="00AD1E14"/>
    <w:rsid w:val="00AD3F23"/>
    <w:rsid w:val="00AE352C"/>
    <w:rsid w:val="00AE4F08"/>
    <w:rsid w:val="00AE5E87"/>
    <w:rsid w:val="00AE69A8"/>
    <w:rsid w:val="00AE7BCA"/>
    <w:rsid w:val="00AF1446"/>
    <w:rsid w:val="00AF2F6F"/>
    <w:rsid w:val="00B07DE2"/>
    <w:rsid w:val="00B255B8"/>
    <w:rsid w:val="00B278CF"/>
    <w:rsid w:val="00B30CFB"/>
    <w:rsid w:val="00B3131C"/>
    <w:rsid w:val="00B318CC"/>
    <w:rsid w:val="00B32A61"/>
    <w:rsid w:val="00B32E2D"/>
    <w:rsid w:val="00B357CC"/>
    <w:rsid w:val="00B35B4C"/>
    <w:rsid w:val="00B3696B"/>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3AC1"/>
    <w:rsid w:val="00C732D1"/>
    <w:rsid w:val="00C836BC"/>
    <w:rsid w:val="00C940E9"/>
    <w:rsid w:val="00CA047F"/>
    <w:rsid w:val="00CA3500"/>
    <w:rsid w:val="00CA5CBD"/>
    <w:rsid w:val="00CB2BEA"/>
    <w:rsid w:val="00CB6267"/>
    <w:rsid w:val="00CD1A71"/>
    <w:rsid w:val="00CD1FBB"/>
    <w:rsid w:val="00CD4C90"/>
    <w:rsid w:val="00CF6435"/>
    <w:rsid w:val="00D016B5"/>
    <w:rsid w:val="00D034F1"/>
    <w:rsid w:val="00D10BD3"/>
    <w:rsid w:val="00D11B17"/>
    <w:rsid w:val="00D218FC"/>
    <w:rsid w:val="00D27297"/>
    <w:rsid w:val="00D27D5E"/>
    <w:rsid w:val="00D34270"/>
    <w:rsid w:val="00D40906"/>
    <w:rsid w:val="00D41B47"/>
    <w:rsid w:val="00D428F9"/>
    <w:rsid w:val="00D440EE"/>
    <w:rsid w:val="00D47F24"/>
    <w:rsid w:val="00D52A86"/>
    <w:rsid w:val="00D60301"/>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30A6C"/>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5AF8"/>
    <w:rsid w:val="00E97EE2"/>
    <w:rsid w:val="00EA0C87"/>
    <w:rsid w:val="00EA2677"/>
    <w:rsid w:val="00EA31C2"/>
    <w:rsid w:val="00EA4D5A"/>
    <w:rsid w:val="00EA5169"/>
    <w:rsid w:val="00EB16FF"/>
    <w:rsid w:val="00EB4C54"/>
    <w:rsid w:val="00EC0734"/>
    <w:rsid w:val="00EC3132"/>
    <w:rsid w:val="00EC3FA6"/>
    <w:rsid w:val="00EC60C5"/>
    <w:rsid w:val="00ED265E"/>
    <w:rsid w:val="00ED7BEB"/>
    <w:rsid w:val="00EE2EA3"/>
    <w:rsid w:val="00EE43A7"/>
    <w:rsid w:val="00EF041A"/>
    <w:rsid w:val="00F01516"/>
    <w:rsid w:val="00F12577"/>
    <w:rsid w:val="00F14D09"/>
    <w:rsid w:val="00F2271B"/>
    <w:rsid w:val="00F227C9"/>
    <w:rsid w:val="00F35A1F"/>
    <w:rsid w:val="00F524AA"/>
    <w:rsid w:val="00F560CD"/>
    <w:rsid w:val="00F57129"/>
    <w:rsid w:val="00F86E66"/>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14:docId w14:val="5DB2B2CE"/>
  <w15:docId w15:val="{96425404-84A5-4951-A61A-D819FD8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BB26-A16C-45BD-8618-34D2C4D4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Template>
  <TotalTime>2</TotalTime>
  <Pages>2</Pages>
  <Words>345</Words>
  <Characters>1969</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02</cp:lastModifiedBy>
  <cp:revision>4</cp:revision>
  <cp:lastPrinted>2016-06-02T15:34:00Z</cp:lastPrinted>
  <dcterms:created xsi:type="dcterms:W3CDTF">2016-06-02T15:37:00Z</dcterms:created>
  <dcterms:modified xsi:type="dcterms:W3CDTF">2016-06-07T14:55:00Z</dcterms:modified>
</cp:coreProperties>
</file>