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635238" w:rsidTr="00771A1B">
        <w:trPr>
          <w:cantSplit/>
          <w:trHeight w:hRule="exact" w:val="851"/>
        </w:trPr>
        <w:tc>
          <w:tcPr>
            <w:tcW w:w="1276" w:type="dxa"/>
            <w:tcBorders>
              <w:bottom w:val="single" w:sz="4" w:space="0" w:color="auto"/>
            </w:tcBorders>
            <w:shd w:val="clear" w:color="auto" w:fill="auto"/>
            <w:vAlign w:val="bottom"/>
          </w:tcPr>
          <w:p w:rsidR="00B56E9C" w:rsidRPr="00635238" w:rsidRDefault="00B56E9C" w:rsidP="00771A1B">
            <w:pPr>
              <w:spacing w:after="80"/>
            </w:pPr>
          </w:p>
        </w:tc>
        <w:tc>
          <w:tcPr>
            <w:tcW w:w="2268" w:type="dxa"/>
            <w:tcBorders>
              <w:bottom w:val="single" w:sz="4" w:space="0" w:color="auto"/>
            </w:tcBorders>
            <w:shd w:val="clear" w:color="auto" w:fill="auto"/>
            <w:vAlign w:val="bottom"/>
          </w:tcPr>
          <w:p w:rsidR="00B56E9C" w:rsidRPr="00635238" w:rsidRDefault="00B56E9C" w:rsidP="00771A1B">
            <w:pPr>
              <w:spacing w:after="80" w:line="300" w:lineRule="exact"/>
              <w:rPr>
                <w:b/>
                <w:sz w:val="24"/>
                <w:szCs w:val="24"/>
              </w:rPr>
            </w:pPr>
            <w:r w:rsidRPr="00635238">
              <w:rPr>
                <w:sz w:val="28"/>
                <w:szCs w:val="28"/>
              </w:rPr>
              <w:t>United Nations</w:t>
            </w:r>
          </w:p>
        </w:tc>
        <w:tc>
          <w:tcPr>
            <w:tcW w:w="6095" w:type="dxa"/>
            <w:gridSpan w:val="2"/>
            <w:tcBorders>
              <w:bottom w:val="single" w:sz="4" w:space="0" w:color="auto"/>
            </w:tcBorders>
            <w:shd w:val="clear" w:color="auto" w:fill="auto"/>
            <w:vAlign w:val="bottom"/>
          </w:tcPr>
          <w:p w:rsidR="00B56E9C" w:rsidRPr="00635238" w:rsidRDefault="00BC07FF" w:rsidP="00A83D17">
            <w:pPr>
              <w:jc w:val="right"/>
            </w:pPr>
            <w:r w:rsidRPr="00635238">
              <w:rPr>
                <w:sz w:val="40"/>
              </w:rPr>
              <w:t>ECE</w:t>
            </w:r>
            <w:r w:rsidR="001213CF">
              <w:t>/TRANS/WP.15/AC.1/141</w:t>
            </w:r>
            <w:r w:rsidRPr="00635238">
              <w:t>/Add.1</w:t>
            </w:r>
          </w:p>
        </w:tc>
      </w:tr>
      <w:tr w:rsidR="00B56E9C" w:rsidRPr="00635238" w:rsidTr="00771A1B">
        <w:trPr>
          <w:cantSplit/>
          <w:trHeight w:hRule="exact" w:val="2835"/>
        </w:trPr>
        <w:tc>
          <w:tcPr>
            <w:tcW w:w="1276" w:type="dxa"/>
            <w:tcBorders>
              <w:top w:val="single" w:sz="4" w:space="0" w:color="auto"/>
              <w:bottom w:val="single" w:sz="12" w:space="0" w:color="auto"/>
            </w:tcBorders>
            <w:shd w:val="clear" w:color="auto" w:fill="auto"/>
          </w:tcPr>
          <w:p w:rsidR="00B56E9C" w:rsidRPr="00635238" w:rsidRDefault="008B5E74" w:rsidP="00771A1B">
            <w:pPr>
              <w:spacing w:before="120"/>
            </w:pPr>
            <w:r>
              <w:rPr>
                <w:noProof/>
                <w:lang w:val="fr-FR" w:eastAsia="fr-FR"/>
              </w:rPr>
              <w:drawing>
                <wp:inline distT="0" distB="0" distL="0" distR="0">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35238" w:rsidRDefault="00D773DF" w:rsidP="00771A1B">
            <w:pPr>
              <w:spacing w:before="120" w:line="420" w:lineRule="exact"/>
              <w:rPr>
                <w:sz w:val="40"/>
                <w:szCs w:val="40"/>
              </w:rPr>
            </w:pPr>
            <w:r w:rsidRPr="0063523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635238" w:rsidRDefault="00BC07FF" w:rsidP="00771A1B">
            <w:pPr>
              <w:spacing w:before="240" w:line="240" w:lineRule="exact"/>
            </w:pPr>
            <w:r w:rsidRPr="00635238">
              <w:t>Distr.: General</w:t>
            </w:r>
          </w:p>
          <w:p w:rsidR="00BC07FF" w:rsidRPr="00635238" w:rsidRDefault="00273669" w:rsidP="00771A1B">
            <w:pPr>
              <w:spacing w:line="240" w:lineRule="exact"/>
            </w:pPr>
            <w:r>
              <w:t>2</w:t>
            </w:r>
            <w:r w:rsidR="00C26C06">
              <w:t>4</w:t>
            </w:r>
            <w:bookmarkStart w:id="0" w:name="_GoBack"/>
            <w:bookmarkEnd w:id="0"/>
            <w:r>
              <w:t xml:space="preserve"> December 2015</w:t>
            </w:r>
          </w:p>
          <w:p w:rsidR="00BC07FF" w:rsidRPr="00635238" w:rsidRDefault="00BA0716" w:rsidP="00771A1B">
            <w:pPr>
              <w:spacing w:line="240" w:lineRule="exact"/>
            </w:pPr>
            <w:r w:rsidRPr="00635238">
              <w:t>English</w:t>
            </w:r>
          </w:p>
          <w:p w:rsidR="00BC07FF" w:rsidRPr="00635238" w:rsidRDefault="00BC07FF" w:rsidP="00771A1B">
            <w:pPr>
              <w:spacing w:line="240" w:lineRule="exact"/>
            </w:pPr>
            <w:r w:rsidRPr="00635238">
              <w:t>Original: English</w:t>
            </w:r>
            <w:r w:rsidR="00BA0716" w:rsidRPr="00635238">
              <w:t xml:space="preserve"> and French</w:t>
            </w:r>
          </w:p>
        </w:tc>
      </w:tr>
    </w:tbl>
    <w:p w:rsidR="00BC07FF" w:rsidRPr="00635238" w:rsidRDefault="00BC07FF" w:rsidP="00BC07FF">
      <w:pPr>
        <w:spacing w:before="120"/>
        <w:rPr>
          <w:b/>
          <w:sz w:val="28"/>
          <w:szCs w:val="28"/>
        </w:rPr>
      </w:pPr>
      <w:r w:rsidRPr="00635238">
        <w:rPr>
          <w:b/>
          <w:sz w:val="28"/>
          <w:szCs w:val="28"/>
        </w:rPr>
        <w:t xml:space="preserve">Economic Commission for </w:t>
      </w:r>
      <w:smartTag w:uri="urn:schemas-microsoft-com:office:smarttags" w:element="place">
        <w:r w:rsidRPr="00635238">
          <w:rPr>
            <w:b/>
            <w:sz w:val="28"/>
            <w:szCs w:val="28"/>
          </w:rPr>
          <w:t>Europe</w:t>
        </w:r>
      </w:smartTag>
    </w:p>
    <w:p w:rsidR="00BC07FF" w:rsidRPr="00635238" w:rsidRDefault="00BC07FF" w:rsidP="00BC07FF">
      <w:pPr>
        <w:spacing w:before="120"/>
        <w:rPr>
          <w:sz w:val="28"/>
          <w:szCs w:val="28"/>
        </w:rPr>
      </w:pPr>
      <w:r w:rsidRPr="00635238">
        <w:rPr>
          <w:sz w:val="28"/>
          <w:szCs w:val="28"/>
        </w:rPr>
        <w:t>Inland Transport Committee</w:t>
      </w:r>
    </w:p>
    <w:p w:rsidR="00BC07FF" w:rsidRPr="00635238" w:rsidRDefault="00BC07FF" w:rsidP="00BC07FF">
      <w:pPr>
        <w:spacing w:before="120"/>
        <w:rPr>
          <w:b/>
          <w:sz w:val="24"/>
          <w:szCs w:val="24"/>
        </w:rPr>
      </w:pPr>
      <w:r w:rsidRPr="00635238">
        <w:rPr>
          <w:b/>
          <w:sz w:val="24"/>
          <w:szCs w:val="24"/>
        </w:rPr>
        <w:t>Working Party on the Transport of Dangerous Goods</w:t>
      </w:r>
    </w:p>
    <w:p w:rsidR="00BC07FF" w:rsidRPr="00635238" w:rsidRDefault="00BC07FF" w:rsidP="00BC07FF">
      <w:pPr>
        <w:spacing w:before="120"/>
        <w:rPr>
          <w:b/>
        </w:rPr>
      </w:pPr>
      <w:r w:rsidRPr="00635238">
        <w:rPr>
          <w:b/>
        </w:rPr>
        <w:t>Joint Meeting of the RID Committee of Experts and the</w:t>
      </w:r>
      <w:r w:rsidRPr="00635238">
        <w:rPr>
          <w:b/>
        </w:rPr>
        <w:br/>
        <w:t>Working Party on the Transport of Dangerous Goods</w:t>
      </w:r>
    </w:p>
    <w:p w:rsidR="00BC07FF" w:rsidRPr="00635238" w:rsidRDefault="00BC07FF" w:rsidP="00BC07FF">
      <w:r w:rsidRPr="00635238">
        <w:t xml:space="preserve">Bern, </w:t>
      </w:r>
      <w:r w:rsidR="001213CF">
        <w:t>14</w:t>
      </w:r>
      <w:r w:rsidRPr="00635238">
        <w:t>-</w:t>
      </w:r>
      <w:r w:rsidR="001213CF">
        <w:t>18</w:t>
      </w:r>
      <w:r w:rsidRPr="00635238">
        <w:t xml:space="preserve"> March 201</w:t>
      </w:r>
      <w:r w:rsidR="001213CF">
        <w:t>6</w:t>
      </w:r>
    </w:p>
    <w:p w:rsidR="00BC07FF" w:rsidRPr="00635238" w:rsidRDefault="00BC07FF" w:rsidP="00BC07FF">
      <w:r w:rsidRPr="00635238">
        <w:t>Item 1 of the provisional agenda</w:t>
      </w:r>
    </w:p>
    <w:p w:rsidR="00A6129C" w:rsidRPr="00635238" w:rsidRDefault="00BC07FF" w:rsidP="00574120">
      <w:pPr>
        <w:rPr>
          <w:b/>
        </w:rPr>
      </w:pPr>
      <w:r w:rsidRPr="00635238">
        <w:rPr>
          <w:b/>
        </w:rPr>
        <w:t>Adoption of the agenda</w:t>
      </w:r>
    </w:p>
    <w:p w:rsidR="000D06D4" w:rsidRPr="00635238" w:rsidRDefault="000D06D4" w:rsidP="000D06D4">
      <w:pPr>
        <w:pStyle w:val="HChG"/>
      </w:pPr>
      <w:r w:rsidRPr="00635238">
        <w:tab/>
      </w:r>
      <w:r w:rsidRPr="00635238">
        <w:tab/>
        <w:t xml:space="preserve">Provisional agenda for the spring </w:t>
      </w:r>
      <w:r w:rsidR="00326B5E" w:rsidRPr="00635238">
        <w:t>201</w:t>
      </w:r>
      <w:r w:rsidR="001213CF">
        <w:t>6</w:t>
      </w:r>
      <w:r w:rsidR="00326B5E" w:rsidRPr="00635238">
        <w:t xml:space="preserve"> </w:t>
      </w:r>
      <w:r w:rsidRPr="00635238">
        <w:t>session</w:t>
      </w:r>
    </w:p>
    <w:p w:rsidR="000D06D4" w:rsidRPr="00635238" w:rsidRDefault="000D06D4" w:rsidP="000D06D4">
      <w:pPr>
        <w:pStyle w:val="H23G"/>
      </w:pPr>
      <w:r w:rsidRPr="00635238">
        <w:tab/>
      </w:r>
      <w:r w:rsidRPr="00635238">
        <w:tab/>
        <w:t>Addendum</w:t>
      </w:r>
    </w:p>
    <w:p w:rsidR="000D06D4" w:rsidRPr="00635238" w:rsidRDefault="000D06D4" w:rsidP="000D06D4">
      <w:pPr>
        <w:pStyle w:val="H1G"/>
      </w:pPr>
      <w:r w:rsidRPr="00635238">
        <w:tab/>
      </w:r>
      <w:r w:rsidRPr="00635238">
        <w:tab/>
        <w:t>Annotations and list of documents</w:t>
      </w:r>
    </w:p>
    <w:p w:rsidR="000D06D4" w:rsidRPr="00635238" w:rsidRDefault="000D06D4" w:rsidP="000D06D4">
      <w:pPr>
        <w:pStyle w:val="HChG"/>
      </w:pPr>
      <w:r w:rsidRPr="00635238">
        <w:tab/>
        <w:t>1.</w:t>
      </w:r>
      <w:r w:rsidRPr="00635238">
        <w:tab/>
        <w:t>Adoption of the agenda</w:t>
      </w:r>
    </w:p>
    <w:p w:rsidR="000D06D4" w:rsidRPr="00635238" w:rsidRDefault="000D06D4" w:rsidP="000D06D4">
      <w:pPr>
        <w:pStyle w:val="SingleTxtG"/>
      </w:pPr>
      <w:r w:rsidRPr="00635238">
        <w:tab/>
        <w:t xml:space="preserve">The first item on the agenda concerns its adoption. The Joint Meeting will also have before it the report on its autumn </w:t>
      </w:r>
      <w:r w:rsidR="00273669">
        <w:t>2015</w:t>
      </w:r>
      <w:r w:rsidR="00326B5E" w:rsidRPr="00635238">
        <w:t xml:space="preserve"> </w:t>
      </w:r>
      <w:r w:rsidR="00A83D17">
        <w:t>session, held in Geneva from 15</w:t>
      </w:r>
      <w:r w:rsidRPr="00635238">
        <w:t xml:space="preserve"> to </w:t>
      </w:r>
      <w:r w:rsidR="00892F1E">
        <w:t>25</w:t>
      </w:r>
      <w:r w:rsidR="002A0E14" w:rsidRPr="00635238">
        <w:t xml:space="preserve"> </w:t>
      </w:r>
      <w:r w:rsidRPr="00635238">
        <w:t xml:space="preserve">September </w:t>
      </w:r>
      <w:r w:rsidR="00892F1E">
        <w:t>2015</w:t>
      </w:r>
      <w:r w:rsidR="002A0E14" w:rsidRPr="00635238">
        <w:t xml:space="preserve"> </w:t>
      </w:r>
      <w:r w:rsidRPr="00635238">
        <w:t>(ECE/TRANS/WP.15/AC.1/</w:t>
      </w:r>
      <w:r w:rsidR="00273669">
        <w:t>140</w:t>
      </w:r>
      <w:r w:rsidR="00A83D17">
        <w:t xml:space="preserve"> and Add.1</w:t>
      </w:r>
      <w:r w:rsidR="00273669">
        <w:t>-2</w:t>
      </w:r>
      <w:r w:rsidR="002A0E14" w:rsidRPr="00635238">
        <w:t xml:space="preserve"> </w:t>
      </w:r>
      <w:r w:rsidRPr="00635238">
        <w:t>– OTIF/RID/RC/</w:t>
      </w:r>
      <w:r w:rsidR="00892F1E">
        <w:t>2015</w:t>
      </w:r>
      <w:r w:rsidRPr="00635238">
        <w:t>-B</w:t>
      </w:r>
      <w:r w:rsidR="00E1002A">
        <w:t xml:space="preserve"> and Add.1</w:t>
      </w:r>
      <w:r w:rsidR="00273669">
        <w:t>-2</w:t>
      </w:r>
      <w:r w:rsidRPr="00635238">
        <w:t>).</w:t>
      </w:r>
    </w:p>
    <w:p w:rsidR="000D06D4" w:rsidRPr="00635238" w:rsidRDefault="000D06D4" w:rsidP="000D06D4">
      <w:pPr>
        <w:pStyle w:val="SingleTxtG"/>
      </w:pPr>
      <w:r w:rsidRPr="00635238">
        <w:tab/>
        <w:t xml:space="preserve">The following points should be borne in mind: </w:t>
      </w:r>
    </w:p>
    <w:p w:rsidR="000D06D4" w:rsidRPr="00635238" w:rsidRDefault="000D06D4" w:rsidP="000D06D4">
      <w:pPr>
        <w:pStyle w:val="SingleTxtG"/>
      </w:pPr>
      <w:r w:rsidRPr="00635238">
        <w:tab/>
        <w:t>(a)</w:t>
      </w:r>
      <w:r w:rsidRPr="00635238">
        <w:tab/>
        <w:t xml:space="preserve">At its autumn </w:t>
      </w:r>
      <w:r w:rsidR="00A83D17">
        <w:t>201</w:t>
      </w:r>
      <w:r w:rsidR="001213CF">
        <w:t>5</w:t>
      </w:r>
      <w:r w:rsidR="002A0E14" w:rsidRPr="00635238">
        <w:t xml:space="preserve"> </w:t>
      </w:r>
      <w:r w:rsidRPr="00635238">
        <w:t xml:space="preserve">session, the Joint Meeting elected Mr. C. Pfauvadel (France) as Chairman and Mr. H. Rein (Germany) as Vice-Chairman for </w:t>
      </w:r>
      <w:r w:rsidR="00A83D17">
        <w:t>201</w:t>
      </w:r>
      <w:r w:rsidR="001213CF">
        <w:t>6</w:t>
      </w:r>
      <w:r w:rsidRPr="00635238">
        <w:t>;</w:t>
      </w:r>
    </w:p>
    <w:p w:rsidR="000D06D4" w:rsidRPr="00635238" w:rsidRDefault="000D06D4" w:rsidP="000D06D4">
      <w:pPr>
        <w:pStyle w:val="SingleTxtG"/>
      </w:pPr>
      <w:r w:rsidRPr="00635238">
        <w:tab/>
        <w:t>(b)</w:t>
      </w:r>
      <w:r w:rsidRPr="00635238">
        <w:tab/>
      </w:r>
      <w:r w:rsidR="008655BF">
        <w:t>D</w:t>
      </w:r>
      <w:r w:rsidRPr="00635238">
        <w:t>ocuments</w:t>
      </w:r>
      <w:r w:rsidR="008655BF">
        <w:t xml:space="preserve"> of the </w:t>
      </w:r>
      <w:r w:rsidR="008655BF" w:rsidRPr="008655BF">
        <w:t>Economic Commission for Europe</w:t>
      </w:r>
      <w:r w:rsidRPr="00635238">
        <w:t xml:space="preserve"> (other than agendas or reports) with the symbol ECE/TRANS/WP.15/AC.1/ are circulated by the </w:t>
      </w:r>
      <w:r w:rsidRPr="00635238">
        <w:rPr>
          <w:szCs w:val="24"/>
        </w:rPr>
        <w:t>Intergovernmental Organisation for International Carriage by Rail (OTIF)</w:t>
      </w:r>
      <w:r w:rsidRPr="00635238">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rsidR="000D06D4" w:rsidRPr="00635238" w:rsidRDefault="000D06D4" w:rsidP="000D06D4">
      <w:pPr>
        <w:pStyle w:val="SingleTxtG"/>
      </w:pPr>
      <w:r w:rsidRPr="00635238">
        <w:tab/>
        <w:t>(c)</w:t>
      </w:r>
      <w:r w:rsidRPr="00635238">
        <w:tab/>
        <w:t xml:space="preserve">The documentation will be available on the website </w:t>
      </w:r>
      <w:r w:rsidR="008655BF">
        <w:t xml:space="preserve">of the </w:t>
      </w:r>
      <w:r w:rsidR="008655BF" w:rsidRPr="008655BF">
        <w:t>Economic Commission for Europe</w:t>
      </w:r>
      <w:r w:rsidR="008655BF">
        <w:t xml:space="preserve"> </w:t>
      </w:r>
      <w:r w:rsidRPr="00635238">
        <w:t>(www.unece.org/trans/danger/danger.htm) in English, French and Russian;</w:t>
      </w:r>
    </w:p>
    <w:p w:rsidR="000D06D4" w:rsidRPr="00635238" w:rsidRDefault="000D06D4" w:rsidP="000D06D4">
      <w:pPr>
        <w:pStyle w:val="SingleTxtG"/>
      </w:pPr>
      <w:r w:rsidRPr="00635238">
        <w:lastRenderedPageBreak/>
        <w:tab/>
        <w:t>(d)</w:t>
      </w:r>
      <w:r w:rsidRPr="00635238">
        <w:tab/>
        <w:t>The Joint Meeting would, if necessary, like an ad hoc working group to meet outside the times of the plenary session to consider documents concerning standards (item 3), in accordance with the mandate to be decided by the Joint Meeting;</w:t>
      </w:r>
    </w:p>
    <w:p w:rsidR="000D06D4" w:rsidRPr="00635238" w:rsidRDefault="000D06D4" w:rsidP="000D06D4">
      <w:pPr>
        <w:pStyle w:val="SingleTxtG"/>
      </w:pPr>
      <w:r w:rsidRPr="00635238">
        <w:tab/>
        <w:t>(e)</w:t>
      </w:r>
      <w:r w:rsidRPr="00635238">
        <w:tab/>
        <w:t>The Joint Meeting would, if necessary, like an ad hoc working group to meet concurrently with it to consider documents concerning tanks (item 2), after this item have been discussed in plenary;</w:t>
      </w:r>
    </w:p>
    <w:p w:rsidR="000D06D4" w:rsidRDefault="000D06D4" w:rsidP="000D06D4">
      <w:pPr>
        <w:pStyle w:val="SingleTxtG"/>
      </w:pPr>
      <w:r w:rsidRPr="00635238">
        <w:tab/>
        <w:t>(f)</w:t>
      </w:r>
      <w:r w:rsidRPr="00635238">
        <w:tab/>
        <w:t xml:space="preserve">The reading of the report (item </w:t>
      </w:r>
      <w:r w:rsidR="00892F1E">
        <w:t>10</w:t>
      </w:r>
      <w:r w:rsidRPr="00635238">
        <w:t>) is scheduled for Friday morning (</w:t>
      </w:r>
      <w:r w:rsidR="00892F1E">
        <w:t>18</w:t>
      </w:r>
      <w:r w:rsidR="002A0E14" w:rsidRPr="00635238">
        <w:t xml:space="preserve"> </w:t>
      </w:r>
      <w:r w:rsidRPr="00635238">
        <w:t xml:space="preserve">March </w:t>
      </w:r>
      <w:r w:rsidR="00892F1E">
        <w:t>2016</w:t>
      </w:r>
      <w:r w:rsidRPr="00635238">
        <w:t>) without interpretation.</w:t>
      </w:r>
    </w:p>
    <w:p w:rsidR="00A83D17" w:rsidRPr="00A83D17" w:rsidRDefault="00A83D17" w:rsidP="000D06D4">
      <w:pPr>
        <w:pStyle w:val="SingleTxtG"/>
        <w:rPr>
          <w:b/>
        </w:rPr>
      </w:pPr>
      <w:r w:rsidRPr="00A83D17">
        <w:rPr>
          <w:b/>
        </w:rPr>
        <w:tab/>
        <w:t>(g)</w:t>
      </w:r>
      <w:r w:rsidRPr="00A83D17">
        <w:rPr>
          <w:b/>
        </w:rPr>
        <w:tab/>
        <w:t xml:space="preserve">All participants are requested to register before </w:t>
      </w:r>
      <w:r w:rsidR="00892F1E">
        <w:rPr>
          <w:b/>
        </w:rPr>
        <w:t>29</w:t>
      </w:r>
      <w:r w:rsidRPr="00A83D17">
        <w:rPr>
          <w:b/>
        </w:rPr>
        <w:t xml:space="preserve"> </w:t>
      </w:r>
      <w:r w:rsidR="00892F1E">
        <w:rPr>
          <w:b/>
        </w:rPr>
        <w:t>February</w:t>
      </w:r>
      <w:r w:rsidRPr="00A83D17">
        <w:rPr>
          <w:b/>
        </w:rPr>
        <w:t xml:space="preserve"> </w:t>
      </w:r>
      <w:r w:rsidR="00892F1E">
        <w:rPr>
          <w:b/>
        </w:rPr>
        <w:t>2016</w:t>
      </w:r>
      <w:r w:rsidRPr="00A83D17">
        <w:rPr>
          <w:b/>
        </w:rPr>
        <w:t xml:space="preserve"> in accordance with the instructions given in informal document INF.3</w:t>
      </w:r>
    </w:p>
    <w:p w:rsidR="000D06D4" w:rsidRPr="00635238" w:rsidRDefault="000D06D4" w:rsidP="000D06D4">
      <w:pPr>
        <w:pStyle w:val="HChG"/>
      </w:pPr>
      <w:r w:rsidRPr="00635238">
        <w:tab/>
        <w:t>2.</w:t>
      </w:r>
      <w:r w:rsidRPr="00635238">
        <w:tab/>
        <w:t>Tanks</w:t>
      </w:r>
    </w:p>
    <w:tbl>
      <w:tblPr>
        <w:tblW w:w="8505" w:type="dxa"/>
        <w:tblInd w:w="1134" w:type="dxa"/>
        <w:tblLayout w:type="fixed"/>
        <w:tblCellMar>
          <w:left w:w="0" w:type="dxa"/>
          <w:right w:w="0" w:type="dxa"/>
        </w:tblCellMar>
        <w:tblLook w:val="01E0"/>
      </w:tblPr>
      <w:tblGrid>
        <w:gridCol w:w="3641"/>
        <w:gridCol w:w="11"/>
        <w:gridCol w:w="4853"/>
      </w:tblGrid>
      <w:tr w:rsidR="00327AF0" w:rsidRPr="00635238" w:rsidTr="00327AF0">
        <w:tc>
          <w:tcPr>
            <w:tcW w:w="3652" w:type="dxa"/>
            <w:gridSpan w:val="2"/>
          </w:tcPr>
          <w:p w:rsidR="00327AF0" w:rsidRPr="00635238" w:rsidRDefault="000A6343" w:rsidP="000A6343">
            <w:pPr>
              <w:pStyle w:val="SingleTxtG"/>
              <w:tabs>
                <w:tab w:val="left" w:pos="3720"/>
              </w:tabs>
              <w:ind w:left="0" w:right="176"/>
              <w:jc w:val="left"/>
            </w:pPr>
            <w:r>
              <w:t>ECE/TRANS/WP.15/AC.1/2016/11 (Norway)</w:t>
            </w:r>
          </w:p>
        </w:tc>
        <w:tc>
          <w:tcPr>
            <w:tcW w:w="4853" w:type="dxa"/>
          </w:tcPr>
          <w:p w:rsidR="00327AF0" w:rsidRPr="00635238" w:rsidRDefault="000A6343" w:rsidP="004653B3">
            <w:pPr>
              <w:pStyle w:val="SingleTxtG"/>
              <w:spacing w:after="60"/>
              <w:ind w:left="0"/>
              <w:jc w:val="left"/>
            </w:pPr>
            <w:r>
              <w:t>Proposal for amendment for MEGCs and tank containers in chapter 6.8</w:t>
            </w:r>
          </w:p>
        </w:tc>
      </w:tr>
      <w:tr w:rsidR="00A83D17" w:rsidRPr="00635238" w:rsidTr="00327AF0">
        <w:tc>
          <w:tcPr>
            <w:tcW w:w="3641" w:type="dxa"/>
          </w:tcPr>
          <w:p w:rsidR="00A83D17" w:rsidRDefault="000A6343" w:rsidP="000A6343">
            <w:pPr>
              <w:pStyle w:val="SingleTxtG"/>
              <w:spacing w:after="60"/>
              <w:ind w:left="0" w:right="175"/>
              <w:jc w:val="left"/>
            </w:pPr>
            <w:r>
              <w:t>ECE/TRANS/WP.15/AC.1/2016/12 (United Kingdom)</w:t>
            </w:r>
          </w:p>
        </w:tc>
        <w:tc>
          <w:tcPr>
            <w:tcW w:w="4864" w:type="dxa"/>
            <w:gridSpan w:val="2"/>
          </w:tcPr>
          <w:p w:rsidR="00A83D17" w:rsidRPr="00E86C78" w:rsidRDefault="000A6343" w:rsidP="00A83D17">
            <w:pPr>
              <w:pStyle w:val="SingleTxtG"/>
              <w:spacing w:after="60"/>
              <w:ind w:left="0"/>
              <w:jc w:val="left"/>
            </w:pPr>
            <w:r>
              <w:t>Tanks: Pressure test using gas</w:t>
            </w:r>
          </w:p>
        </w:tc>
      </w:tr>
      <w:tr w:rsidR="00A83D17" w:rsidRPr="00A83D17" w:rsidTr="00327AF0">
        <w:tc>
          <w:tcPr>
            <w:tcW w:w="3641" w:type="dxa"/>
          </w:tcPr>
          <w:p w:rsidR="00A83D17" w:rsidRPr="00C26C06" w:rsidRDefault="000A6343" w:rsidP="00A83D17">
            <w:pPr>
              <w:pStyle w:val="SingleTxtG"/>
              <w:spacing w:after="60"/>
              <w:ind w:left="0" w:right="175"/>
              <w:jc w:val="left"/>
            </w:pPr>
            <w:r>
              <w:t>ECE/TRANS/WP.15/AC.1/2016/13 (United Kingdom)</w:t>
            </w:r>
          </w:p>
        </w:tc>
        <w:tc>
          <w:tcPr>
            <w:tcW w:w="4864" w:type="dxa"/>
            <w:gridSpan w:val="2"/>
          </w:tcPr>
          <w:p w:rsidR="00A83D17" w:rsidRPr="00A83D17" w:rsidRDefault="000A6343" w:rsidP="00A83D17">
            <w:pPr>
              <w:pStyle w:val="SingleTxtG"/>
              <w:spacing w:after="60"/>
              <w:ind w:left="0"/>
              <w:jc w:val="left"/>
            </w:pPr>
            <w:r>
              <w:t>Tanks: Informal working group on the inspection and certification of tanks</w:t>
            </w:r>
          </w:p>
        </w:tc>
      </w:tr>
      <w:tr w:rsidR="00A83D17" w:rsidRPr="00A83D17" w:rsidTr="00327AF0">
        <w:tc>
          <w:tcPr>
            <w:tcW w:w="3641" w:type="dxa"/>
          </w:tcPr>
          <w:p w:rsidR="00A83D17" w:rsidRDefault="001D5D23" w:rsidP="001D5D23">
            <w:pPr>
              <w:pStyle w:val="SingleTxtG"/>
              <w:spacing w:after="60"/>
              <w:ind w:left="0" w:right="175"/>
              <w:jc w:val="left"/>
            </w:pPr>
            <w:r>
              <w:t>ECE/TRANS/WP.15/AC.1/2016/17 (Switzerland)</w:t>
            </w:r>
          </w:p>
        </w:tc>
        <w:tc>
          <w:tcPr>
            <w:tcW w:w="4864" w:type="dxa"/>
            <w:gridSpan w:val="2"/>
          </w:tcPr>
          <w:p w:rsidR="00A83D17" w:rsidRPr="00E1002A" w:rsidRDefault="001D5D23" w:rsidP="00A83D17">
            <w:pPr>
              <w:pStyle w:val="SingleTxtG"/>
              <w:spacing w:after="60"/>
              <w:ind w:left="0"/>
              <w:jc w:val="left"/>
            </w:pPr>
            <w:r>
              <w:t xml:space="preserve">Clarification of the definition of </w:t>
            </w:r>
            <w:r w:rsidR="0049004E">
              <w:t>“</w:t>
            </w:r>
            <w:r w:rsidR="0049004E" w:rsidRPr="0049004E">
              <w:t>Maximum working pressure (gauge pressure)</w:t>
            </w:r>
            <w:r w:rsidR="0049004E">
              <w:t>” for tanks</w:t>
            </w:r>
          </w:p>
        </w:tc>
      </w:tr>
    </w:tbl>
    <w:p w:rsidR="000D06D4" w:rsidRPr="00635238" w:rsidRDefault="000D06D4" w:rsidP="000D06D4">
      <w:pPr>
        <w:pStyle w:val="HChG"/>
      </w:pPr>
      <w:r w:rsidRPr="00EF2AB7">
        <w:tab/>
      </w:r>
      <w:r w:rsidRPr="00635238">
        <w:t>3.</w:t>
      </w:r>
      <w:r w:rsidRPr="00635238">
        <w:tab/>
        <w:t>Standards</w:t>
      </w:r>
    </w:p>
    <w:tbl>
      <w:tblPr>
        <w:tblW w:w="8505" w:type="dxa"/>
        <w:tblInd w:w="1134" w:type="dxa"/>
        <w:tblLayout w:type="fixed"/>
        <w:tblCellMar>
          <w:left w:w="0" w:type="dxa"/>
          <w:right w:w="0" w:type="dxa"/>
        </w:tblCellMar>
        <w:tblLook w:val="01E0"/>
      </w:tblPr>
      <w:tblGrid>
        <w:gridCol w:w="3655"/>
        <w:gridCol w:w="4850"/>
      </w:tblGrid>
      <w:tr w:rsidR="00A83D17" w:rsidRPr="00EF2AB7" w:rsidTr="00A36727">
        <w:tc>
          <w:tcPr>
            <w:tcW w:w="3655" w:type="dxa"/>
          </w:tcPr>
          <w:p w:rsidR="00A83D17" w:rsidRPr="003357FD" w:rsidRDefault="00625916" w:rsidP="00A83D17">
            <w:pPr>
              <w:pStyle w:val="SingleTxtG"/>
              <w:tabs>
                <w:tab w:val="left" w:pos="3720"/>
              </w:tabs>
              <w:spacing w:after="60"/>
              <w:ind w:left="0" w:right="176"/>
              <w:jc w:val="left"/>
            </w:pPr>
            <w:r>
              <w:t>ECE/TRANS/WP.15/AC.1/2016/1 (Germany)</w:t>
            </w:r>
          </w:p>
        </w:tc>
        <w:tc>
          <w:tcPr>
            <w:tcW w:w="4850" w:type="dxa"/>
          </w:tcPr>
          <w:p w:rsidR="00A83D17" w:rsidRPr="00EF2AB7" w:rsidRDefault="00625916" w:rsidP="00A83D17">
            <w:pPr>
              <w:pStyle w:val="SingleTxtG"/>
              <w:spacing w:after="60"/>
              <w:ind w:left="0"/>
              <w:jc w:val="left"/>
            </w:pPr>
            <w:r w:rsidRPr="00625916">
              <w:t>New edition of ISO standard 9001</w:t>
            </w:r>
          </w:p>
        </w:tc>
      </w:tr>
      <w:tr w:rsidR="00A83D17" w:rsidRPr="001B796A" w:rsidTr="00A83D17">
        <w:tc>
          <w:tcPr>
            <w:tcW w:w="3655" w:type="dxa"/>
          </w:tcPr>
          <w:p w:rsidR="00A83D17" w:rsidRPr="00EF2AB7" w:rsidRDefault="00A357F4" w:rsidP="00EF2AB7">
            <w:pPr>
              <w:pStyle w:val="SingleTxtG"/>
              <w:tabs>
                <w:tab w:val="left" w:pos="3720"/>
              </w:tabs>
              <w:spacing w:after="60"/>
              <w:ind w:left="0" w:right="176"/>
              <w:jc w:val="left"/>
            </w:pPr>
            <w:r>
              <w:t>ECE/TRANS/WP.15/AC.1/2016/5 (CEN)</w:t>
            </w:r>
          </w:p>
        </w:tc>
        <w:tc>
          <w:tcPr>
            <w:tcW w:w="4850" w:type="dxa"/>
          </w:tcPr>
          <w:p w:rsidR="00A83D17" w:rsidRPr="001B796A" w:rsidRDefault="00A357F4" w:rsidP="00A83D17">
            <w:pPr>
              <w:pStyle w:val="SingleTxtG"/>
              <w:spacing w:after="60"/>
              <w:ind w:left="0"/>
              <w:jc w:val="left"/>
            </w:pPr>
            <w:r>
              <w:t>Information on work in progress in CEN</w:t>
            </w:r>
          </w:p>
        </w:tc>
      </w:tr>
    </w:tbl>
    <w:p w:rsidR="000D06D4" w:rsidRPr="00635238" w:rsidRDefault="000D06D4" w:rsidP="000D06D4">
      <w:pPr>
        <w:pStyle w:val="HChG"/>
      </w:pPr>
      <w:r w:rsidRPr="00EF2AB7">
        <w:tab/>
      </w:r>
      <w:r w:rsidRPr="00635238">
        <w:t>4.</w:t>
      </w:r>
      <w:r w:rsidRPr="00635238">
        <w:tab/>
        <w:t>Interpretation of RID/ADR/ADN</w:t>
      </w:r>
    </w:p>
    <w:p w:rsidR="0049004E" w:rsidRDefault="0049004E" w:rsidP="0049004E">
      <w:pPr>
        <w:pStyle w:val="SingleTxtG"/>
      </w:pPr>
      <w:r>
        <w:tab/>
        <w:t>No document has been submitted under this agenda item.</w:t>
      </w:r>
    </w:p>
    <w:p w:rsidR="000D06D4" w:rsidRPr="00635238" w:rsidRDefault="000D06D4" w:rsidP="000D06D4">
      <w:pPr>
        <w:pStyle w:val="HChG"/>
      </w:pPr>
      <w:r w:rsidRPr="00635238">
        <w:tab/>
        <w:t>5.</w:t>
      </w:r>
      <w:r w:rsidRPr="00635238">
        <w:tab/>
        <w:t>Proposals for amendments to RID/ADR/ADN</w:t>
      </w:r>
    </w:p>
    <w:p w:rsidR="000D06D4" w:rsidRPr="00635238" w:rsidRDefault="000D06D4" w:rsidP="000D06D4">
      <w:pPr>
        <w:pStyle w:val="H1G"/>
      </w:pPr>
      <w:r w:rsidRPr="00635238">
        <w:tab/>
        <w:t>(a)</w:t>
      </w:r>
      <w:r w:rsidRPr="00635238">
        <w:tab/>
        <w:t>Pending issues</w:t>
      </w:r>
    </w:p>
    <w:tbl>
      <w:tblPr>
        <w:tblW w:w="8505" w:type="dxa"/>
        <w:tblInd w:w="1134" w:type="dxa"/>
        <w:tblLayout w:type="fixed"/>
        <w:tblCellMar>
          <w:left w:w="0" w:type="dxa"/>
          <w:right w:w="0" w:type="dxa"/>
        </w:tblCellMar>
        <w:tblLook w:val="01E0"/>
      </w:tblPr>
      <w:tblGrid>
        <w:gridCol w:w="3655"/>
        <w:gridCol w:w="4850"/>
      </w:tblGrid>
      <w:tr w:rsidR="00A83D17" w:rsidRPr="00635238" w:rsidTr="00625916">
        <w:trPr>
          <w:cantSplit/>
        </w:trPr>
        <w:tc>
          <w:tcPr>
            <w:tcW w:w="3655" w:type="dxa"/>
          </w:tcPr>
          <w:p w:rsidR="00A83D17" w:rsidRPr="0006515F" w:rsidRDefault="00625916" w:rsidP="00625916">
            <w:pPr>
              <w:pStyle w:val="SingleTxtG"/>
              <w:tabs>
                <w:tab w:val="left" w:pos="3720"/>
              </w:tabs>
              <w:ind w:left="0" w:right="176"/>
              <w:jc w:val="left"/>
            </w:pPr>
            <w:r>
              <w:t>ECE/TRANS/WP.15/AC.1/2016/2 (CEFIC)</w:t>
            </w:r>
          </w:p>
        </w:tc>
        <w:tc>
          <w:tcPr>
            <w:tcW w:w="4850" w:type="dxa"/>
          </w:tcPr>
          <w:p w:rsidR="00A83D17" w:rsidRPr="0006515F" w:rsidRDefault="00625916" w:rsidP="00A83D17">
            <w:pPr>
              <w:pStyle w:val="SingleTxtG"/>
              <w:spacing w:after="60"/>
              <w:ind w:left="0"/>
              <w:jc w:val="left"/>
            </w:pPr>
            <w:r w:rsidRPr="00625916">
              <w:t>Updating of references to European Union instruments (toxic substances; corrosive substances; substances hazardous to the aquatic environment)</w:t>
            </w:r>
          </w:p>
        </w:tc>
      </w:tr>
      <w:tr w:rsidR="00F84E9E" w:rsidRPr="00EF2AB7" w:rsidTr="00625916">
        <w:trPr>
          <w:cantSplit/>
        </w:trPr>
        <w:tc>
          <w:tcPr>
            <w:tcW w:w="3655" w:type="dxa"/>
          </w:tcPr>
          <w:p w:rsidR="00F84E9E" w:rsidRPr="0082323D" w:rsidRDefault="00F84E9E" w:rsidP="00F84E9E">
            <w:pPr>
              <w:pStyle w:val="SingleTxtG"/>
              <w:tabs>
                <w:tab w:val="left" w:pos="3720"/>
              </w:tabs>
              <w:ind w:left="0" w:right="176"/>
              <w:jc w:val="left"/>
            </w:pPr>
            <w:r>
              <w:t>ECE/TRANS/WP.15/AC.1/2016/15 (Switzerland)</w:t>
            </w:r>
          </w:p>
        </w:tc>
        <w:tc>
          <w:tcPr>
            <w:tcW w:w="4850" w:type="dxa"/>
          </w:tcPr>
          <w:p w:rsidR="00F84E9E" w:rsidRPr="001B796A" w:rsidRDefault="00F84E9E" w:rsidP="00F84E9E">
            <w:pPr>
              <w:pStyle w:val="SingleTxtG"/>
              <w:spacing w:after="60"/>
              <w:ind w:left="0"/>
              <w:jc w:val="left"/>
            </w:pPr>
            <w:r>
              <w:t>Transport categories and tunnel codes for UN Nos. 3166, 3171, 3528 to 3530</w:t>
            </w:r>
          </w:p>
        </w:tc>
      </w:tr>
      <w:tr w:rsidR="00F438D4" w:rsidRPr="00EF2AB7" w:rsidTr="00625916">
        <w:trPr>
          <w:cantSplit/>
        </w:trPr>
        <w:tc>
          <w:tcPr>
            <w:tcW w:w="3655" w:type="dxa"/>
          </w:tcPr>
          <w:p w:rsidR="00F438D4" w:rsidRPr="001B796A" w:rsidRDefault="00F438D4" w:rsidP="003E6E5A">
            <w:pPr>
              <w:pStyle w:val="SingleTxtG"/>
              <w:spacing w:after="60"/>
              <w:ind w:left="0" w:right="175"/>
              <w:jc w:val="left"/>
            </w:pPr>
            <w:r>
              <w:t>ECE/TRANS/WP.15/AC.1/2016/16 (Switzerland)</w:t>
            </w:r>
          </w:p>
        </w:tc>
        <w:tc>
          <w:tcPr>
            <w:tcW w:w="4850" w:type="dxa"/>
          </w:tcPr>
          <w:p w:rsidR="00F438D4" w:rsidRPr="001B796A" w:rsidRDefault="00F438D4" w:rsidP="00F438D4">
            <w:pPr>
              <w:pStyle w:val="SingleTxtG"/>
              <w:spacing w:after="60"/>
              <w:ind w:left="0"/>
              <w:jc w:val="left"/>
            </w:pPr>
            <w:r>
              <w:t>Adopted texts for 2017- 1.1.3.2 and 1.1.3.3 and special provisions 363 and 666</w:t>
            </w:r>
          </w:p>
        </w:tc>
      </w:tr>
      <w:tr w:rsidR="00E54C6F" w:rsidRPr="00EF2AB7" w:rsidTr="00625916">
        <w:trPr>
          <w:cantSplit/>
        </w:trPr>
        <w:tc>
          <w:tcPr>
            <w:tcW w:w="3655" w:type="dxa"/>
          </w:tcPr>
          <w:p w:rsidR="00E54C6F" w:rsidRDefault="00E54C6F" w:rsidP="00E54C6F">
            <w:pPr>
              <w:pStyle w:val="SingleTxtG"/>
              <w:spacing w:after="60"/>
              <w:ind w:left="0" w:right="175"/>
              <w:jc w:val="left"/>
            </w:pPr>
            <w:r>
              <w:lastRenderedPageBreak/>
              <w:t>ECE/TRANS/WP.15/AC.1/2016/18 (Austria)</w:t>
            </w:r>
          </w:p>
        </w:tc>
        <w:tc>
          <w:tcPr>
            <w:tcW w:w="4850" w:type="dxa"/>
          </w:tcPr>
          <w:p w:rsidR="00E54C6F" w:rsidRDefault="00E54C6F" w:rsidP="00F438D4">
            <w:pPr>
              <w:pStyle w:val="SingleTxtG"/>
              <w:spacing w:after="60"/>
              <w:ind w:left="0"/>
              <w:jc w:val="left"/>
            </w:pPr>
            <w:r w:rsidRPr="00E54C6F">
              <w:t>Marking and ventilation in accordance with 5.5.3.3.3 of RID/ADR/ADN 2017</w:t>
            </w:r>
          </w:p>
        </w:tc>
      </w:tr>
    </w:tbl>
    <w:p w:rsidR="000D06D4" w:rsidRPr="00635238" w:rsidRDefault="000D06D4" w:rsidP="000D06D4">
      <w:pPr>
        <w:pStyle w:val="H1G"/>
      </w:pPr>
      <w:r w:rsidRPr="00EF2AB7">
        <w:tab/>
      </w:r>
      <w:r w:rsidRPr="00635238">
        <w:t>(b)</w:t>
      </w:r>
      <w:r w:rsidRPr="00635238">
        <w:tab/>
        <w:t>New proposals</w:t>
      </w:r>
    </w:p>
    <w:tbl>
      <w:tblPr>
        <w:tblW w:w="8505" w:type="dxa"/>
        <w:tblInd w:w="1134" w:type="dxa"/>
        <w:tblLayout w:type="fixed"/>
        <w:tblCellMar>
          <w:left w:w="0" w:type="dxa"/>
          <w:right w:w="0" w:type="dxa"/>
        </w:tblCellMar>
        <w:tblLook w:val="01E0"/>
      </w:tblPr>
      <w:tblGrid>
        <w:gridCol w:w="3641"/>
        <w:gridCol w:w="11"/>
        <w:gridCol w:w="4853"/>
      </w:tblGrid>
      <w:tr w:rsidR="00A83D17" w:rsidRPr="00EF2AB7" w:rsidTr="00F76876">
        <w:trPr>
          <w:cantSplit/>
        </w:trPr>
        <w:tc>
          <w:tcPr>
            <w:tcW w:w="3641" w:type="dxa"/>
          </w:tcPr>
          <w:p w:rsidR="00A83D17" w:rsidRPr="0006515F" w:rsidRDefault="00A357F4" w:rsidP="00A357F4">
            <w:pPr>
              <w:pStyle w:val="SingleTxtG"/>
              <w:spacing w:after="60"/>
              <w:ind w:left="0" w:right="175"/>
              <w:jc w:val="left"/>
            </w:pPr>
            <w:r>
              <w:t>ECE/TRANS/WP.15/AC.1/2016/3 (EASA)</w:t>
            </w:r>
          </w:p>
        </w:tc>
        <w:tc>
          <w:tcPr>
            <w:tcW w:w="4864" w:type="dxa"/>
            <w:gridSpan w:val="2"/>
          </w:tcPr>
          <w:p w:rsidR="00A83D17" w:rsidRPr="00E1002A" w:rsidRDefault="00A357F4" w:rsidP="00A83D17">
            <w:pPr>
              <w:pStyle w:val="SingleTxtG"/>
              <w:spacing w:after="60"/>
              <w:ind w:left="0"/>
              <w:jc w:val="left"/>
            </w:pPr>
            <w:r>
              <w:t>Dangerous goods safety adviser: proposals for new sections and amendments concerning training and dangerous goods safety adviser</w:t>
            </w:r>
          </w:p>
        </w:tc>
      </w:tr>
      <w:tr w:rsidR="00A83D17" w:rsidRPr="00635238" w:rsidTr="00F76876">
        <w:trPr>
          <w:cantSplit/>
        </w:trPr>
        <w:tc>
          <w:tcPr>
            <w:tcW w:w="3652" w:type="dxa"/>
            <w:gridSpan w:val="2"/>
          </w:tcPr>
          <w:p w:rsidR="00A83D17" w:rsidRPr="00E1002A" w:rsidRDefault="00A357F4" w:rsidP="00A357F4">
            <w:pPr>
              <w:pStyle w:val="SingleTxtG"/>
              <w:spacing w:after="60"/>
              <w:ind w:left="0" w:right="175"/>
              <w:jc w:val="left"/>
            </w:pPr>
            <w:r>
              <w:t>ECE/TRANS/WP.15/AC.1/2016/4 (ISO)</w:t>
            </w:r>
          </w:p>
        </w:tc>
        <w:tc>
          <w:tcPr>
            <w:tcW w:w="4853" w:type="dxa"/>
          </w:tcPr>
          <w:p w:rsidR="00A83D17" w:rsidRPr="00E1002A" w:rsidRDefault="00A357F4" w:rsidP="00A83D17">
            <w:pPr>
              <w:pStyle w:val="SingleTxtG"/>
              <w:spacing w:after="60"/>
              <w:ind w:left="0"/>
              <w:jc w:val="left"/>
            </w:pPr>
            <w:r>
              <w:t>Amendment of P200 and P206</w:t>
            </w:r>
          </w:p>
        </w:tc>
      </w:tr>
      <w:tr w:rsidR="00A357F4" w:rsidRPr="00635238" w:rsidTr="00F76876">
        <w:trPr>
          <w:cantSplit/>
        </w:trPr>
        <w:tc>
          <w:tcPr>
            <w:tcW w:w="3652" w:type="dxa"/>
            <w:gridSpan w:val="2"/>
          </w:tcPr>
          <w:p w:rsidR="00A357F4" w:rsidRDefault="00A357F4" w:rsidP="00A357F4">
            <w:pPr>
              <w:pStyle w:val="SingleTxtG"/>
              <w:spacing w:after="60"/>
              <w:ind w:left="0" w:right="175"/>
              <w:jc w:val="left"/>
            </w:pPr>
            <w:r>
              <w:t>ECE/TRANS/WP.15/AC.1/2016/6 (Spain)</w:t>
            </w:r>
          </w:p>
        </w:tc>
        <w:tc>
          <w:tcPr>
            <w:tcW w:w="4853" w:type="dxa"/>
          </w:tcPr>
          <w:p w:rsidR="00A357F4" w:rsidRDefault="00A357F4" w:rsidP="00A83D17">
            <w:pPr>
              <w:pStyle w:val="SingleTxtG"/>
              <w:spacing w:after="60"/>
              <w:ind w:left="0"/>
              <w:jc w:val="left"/>
            </w:pPr>
            <w:r>
              <w:rPr>
                <w:lang w:val="en-US"/>
              </w:rPr>
              <w:t>Carriage in bulk under BK or VC codes</w:t>
            </w:r>
          </w:p>
        </w:tc>
      </w:tr>
      <w:tr w:rsidR="00A357F4" w:rsidRPr="00635238" w:rsidTr="00F76876">
        <w:trPr>
          <w:cantSplit/>
        </w:trPr>
        <w:tc>
          <w:tcPr>
            <w:tcW w:w="3652" w:type="dxa"/>
            <w:gridSpan w:val="2"/>
          </w:tcPr>
          <w:p w:rsidR="00A357F4" w:rsidRDefault="00A357F4" w:rsidP="00A357F4">
            <w:pPr>
              <w:pStyle w:val="SingleTxtG"/>
              <w:spacing w:after="60"/>
              <w:ind w:left="0" w:right="175"/>
              <w:jc w:val="left"/>
            </w:pPr>
            <w:r>
              <w:t>ECE/TRANS/WP.15/AC.1/2016/7 (EIGA)</w:t>
            </w:r>
          </w:p>
        </w:tc>
        <w:tc>
          <w:tcPr>
            <w:tcW w:w="4853" w:type="dxa"/>
          </w:tcPr>
          <w:p w:rsidR="00A357F4" w:rsidRDefault="00A357F4" w:rsidP="00A83D17">
            <w:pPr>
              <w:pStyle w:val="SingleTxtG"/>
              <w:spacing w:after="60"/>
              <w:ind w:left="0"/>
              <w:jc w:val="left"/>
              <w:rPr>
                <w:lang w:val="en-US"/>
              </w:rPr>
            </w:pPr>
            <w:r>
              <w:t>Amendment to 4.1.1.17 concerning pressure receptacles</w:t>
            </w:r>
          </w:p>
        </w:tc>
      </w:tr>
      <w:tr w:rsidR="004C4835" w:rsidRPr="00635238" w:rsidTr="00F76876">
        <w:trPr>
          <w:cantSplit/>
        </w:trPr>
        <w:tc>
          <w:tcPr>
            <w:tcW w:w="3652" w:type="dxa"/>
            <w:gridSpan w:val="2"/>
          </w:tcPr>
          <w:p w:rsidR="004C4835" w:rsidRDefault="004C4835" w:rsidP="003E6E5A">
            <w:pPr>
              <w:pStyle w:val="SingleTxtG"/>
              <w:spacing w:after="60"/>
              <w:ind w:left="0" w:right="175"/>
              <w:jc w:val="left"/>
            </w:pPr>
            <w:r>
              <w:t>ECE/TRANS/WP.15/AC.1/2016/14 (France)</w:t>
            </w:r>
          </w:p>
        </w:tc>
        <w:tc>
          <w:tcPr>
            <w:tcW w:w="4853" w:type="dxa"/>
          </w:tcPr>
          <w:p w:rsidR="004C4835" w:rsidRDefault="004C4835" w:rsidP="004C4835">
            <w:pPr>
              <w:pStyle w:val="SingleTxtG"/>
              <w:spacing w:after="60"/>
              <w:ind w:left="0"/>
              <w:jc w:val="left"/>
            </w:pPr>
            <w:r>
              <w:t>Indication on o</w:t>
            </w:r>
            <w:r w:rsidRPr="004C4835">
              <w:t>range-coloured plate</w:t>
            </w:r>
            <w:r>
              <w:t>s</w:t>
            </w:r>
            <w:r w:rsidRPr="004C4835">
              <w:t xml:space="preserve"> </w:t>
            </w:r>
            <w:r>
              <w:t>required in 5.3.2 for radioactive materials</w:t>
            </w:r>
          </w:p>
        </w:tc>
      </w:tr>
    </w:tbl>
    <w:p w:rsidR="000D06D4" w:rsidRPr="00635238" w:rsidRDefault="000D06D4" w:rsidP="000D06D4">
      <w:pPr>
        <w:pStyle w:val="HChG"/>
      </w:pPr>
      <w:r w:rsidRPr="00635238">
        <w:tab/>
        <w:t>6.</w:t>
      </w:r>
      <w:r w:rsidRPr="00635238">
        <w:tab/>
        <w:t>Reports of informal working groups</w:t>
      </w:r>
    </w:p>
    <w:tbl>
      <w:tblPr>
        <w:tblW w:w="8505" w:type="dxa"/>
        <w:tblInd w:w="1134" w:type="dxa"/>
        <w:tblLayout w:type="fixed"/>
        <w:tblCellMar>
          <w:left w:w="0" w:type="dxa"/>
          <w:right w:w="0" w:type="dxa"/>
        </w:tblCellMar>
        <w:tblLook w:val="01E0"/>
      </w:tblPr>
      <w:tblGrid>
        <w:gridCol w:w="3661"/>
        <w:gridCol w:w="4844"/>
      </w:tblGrid>
      <w:tr w:rsidR="00A83D17" w:rsidRPr="00EF2AB7" w:rsidTr="00A83D17">
        <w:tc>
          <w:tcPr>
            <w:tcW w:w="3661" w:type="dxa"/>
          </w:tcPr>
          <w:p w:rsidR="00A83D17" w:rsidRPr="00E1002A" w:rsidRDefault="004765D9" w:rsidP="004765D9">
            <w:pPr>
              <w:pStyle w:val="SingleTxtG"/>
              <w:spacing w:after="60"/>
              <w:ind w:left="0" w:right="175"/>
              <w:jc w:val="left"/>
            </w:pPr>
            <w:r>
              <w:t>ECE/TRANS/WP.15/AC.1/2016/9 (France)</w:t>
            </w:r>
          </w:p>
        </w:tc>
        <w:tc>
          <w:tcPr>
            <w:tcW w:w="4844" w:type="dxa"/>
          </w:tcPr>
          <w:p w:rsidR="00A83D17" w:rsidRPr="00EF2AB7" w:rsidRDefault="004765D9" w:rsidP="00A83D17">
            <w:pPr>
              <w:pStyle w:val="SingleTxtG"/>
              <w:spacing w:after="60"/>
              <w:ind w:left="0"/>
              <w:jc w:val="left"/>
              <w:rPr>
                <w:bCs/>
              </w:rPr>
            </w:pPr>
            <w:r>
              <w:t>Report of the informal working group on telematics (Bordeaux, 6 – 8 October 2015)</w:t>
            </w:r>
          </w:p>
        </w:tc>
      </w:tr>
    </w:tbl>
    <w:p w:rsidR="000D06D4" w:rsidRPr="00635238" w:rsidRDefault="000D06D4" w:rsidP="00F76876">
      <w:pPr>
        <w:pStyle w:val="HChG"/>
        <w:keepNext w:val="0"/>
        <w:keepLines w:val="0"/>
      </w:pPr>
      <w:r w:rsidRPr="00EF2AB7">
        <w:tab/>
      </w:r>
      <w:r w:rsidRPr="00635238">
        <w:t>7.</w:t>
      </w:r>
      <w:r w:rsidRPr="00635238">
        <w:tab/>
      </w:r>
      <w:r w:rsidR="00EF2AB7">
        <w:t>Accidents and risk management</w:t>
      </w:r>
    </w:p>
    <w:p w:rsidR="004B3358" w:rsidRDefault="004B3358" w:rsidP="004B3358">
      <w:pPr>
        <w:pStyle w:val="SingleTxtG"/>
      </w:pPr>
      <w:r>
        <w:tab/>
        <w:t>No document has been submitted under this agenda item.</w:t>
      </w:r>
    </w:p>
    <w:p w:rsidR="000D06D4" w:rsidRDefault="000D06D4" w:rsidP="000D06D4">
      <w:pPr>
        <w:pStyle w:val="HChG"/>
      </w:pPr>
      <w:r w:rsidRPr="00C26C06">
        <w:tab/>
      </w:r>
      <w:r w:rsidRPr="00635238">
        <w:t>8.</w:t>
      </w:r>
      <w:r w:rsidRPr="00635238">
        <w:tab/>
      </w:r>
      <w:r w:rsidR="00EF2AB7">
        <w:t>Future work</w:t>
      </w:r>
    </w:p>
    <w:p w:rsidR="0049004E" w:rsidRDefault="0049004E" w:rsidP="0049004E">
      <w:pPr>
        <w:pStyle w:val="SingleTxtG"/>
      </w:pPr>
      <w:r>
        <w:tab/>
        <w:t>No document has been submitted under this agenda item.</w:t>
      </w:r>
    </w:p>
    <w:p w:rsidR="000D06D4" w:rsidRPr="00635238" w:rsidRDefault="000D06D4" w:rsidP="00F46E71">
      <w:pPr>
        <w:pStyle w:val="HChG"/>
        <w:spacing w:before="240"/>
      </w:pPr>
      <w:r w:rsidRPr="00EF2AB7">
        <w:tab/>
      </w:r>
      <w:r w:rsidRPr="00635238">
        <w:t>9.</w:t>
      </w:r>
      <w:r w:rsidRPr="00635238">
        <w:tab/>
      </w:r>
      <w:r w:rsidR="001213CF">
        <w:t>Any other business</w:t>
      </w:r>
    </w:p>
    <w:tbl>
      <w:tblPr>
        <w:tblW w:w="8505" w:type="dxa"/>
        <w:tblInd w:w="1134" w:type="dxa"/>
        <w:tblLayout w:type="fixed"/>
        <w:tblCellMar>
          <w:left w:w="0" w:type="dxa"/>
          <w:right w:w="0" w:type="dxa"/>
        </w:tblCellMar>
        <w:tblLook w:val="01E0"/>
      </w:tblPr>
      <w:tblGrid>
        <w:gridCol w:w="3661"/>
        <w:gridCol w:w="4844"/>
      </w:tblGrid>
      <w:tr w:rsidR="003B4E53" w:rsidRPr="003B4E53" w:rsidTr="004765D9">
        <w:trPr>
          <w:cantSplit/>
        </w:trPr>
        <w:tc>
          <w:tcPr>
            <w:tcW w:w="3644" w:type="dxa"/>
          </w:tcPr>
          <w:p w:rsidR="003B4E53" w:rsidRPr="007C02B9" w:rsidRDefault="004765D9" w:rsidP="004765D9">
            <w:pPr>
              <w:pStyle w:val="SingleTxtG"/>
              <w:spacing w:after="60"/>
              <w:ind w:left="0" w:right="175"/>
              <w:jc w:val="left"/>
            </w:pPr>
            <w:r>
              <w:t>ECE/TRANS/WP.15/AC.1/2016/8 (EIGA)</w:t>
            </w:r>
          </w:p>
        </w:tc>
        <w:tc>
          <w:tcPr>
            <w:tcW w:w="4822" w:type="dxa"/>
          </w:tcPr>
          <w:p w:rsidR="003B4E53" w:rsidRPr="00C26C06" w:rsidRDefault="004765D9" w:rsidP="003746CC">
            <w:pPr>
              <w:pStyle w:val="SingleTxtG"/>
              <w:spacing w:after="60"/>
              <w:ind w:left="0"/>
              <w:jc w:val="left"/>
              <w:rPr>
                <w:bCs/>
              </w:rPr>
            </w:pPr>
            <w:r>
              <w:t>Carriage of pressure receptacles approved by the Department of Transportation of the United States of America (DOT)</w:t>
            </w:r>
          </w:p>
        </w:tc>
      </w:tr>
      <w:tr w:rsidR="003B4E53" w:rsidRPr="003B4E53" w:rsidTr="004765D9">
        <w:trPr>
          <w:cantSplit/>
        </w:trPr>
        <w:tc>
          <w:tcPr>
            <w:tcW w:w="3644" w:type="dxa"/>
          </w:tcPr>
          <w:p w:rsidR="003B4E53" w:rsidRPr="007C02B9" w:rsidRDefault="004765D9" w:rsidP="004765D9">
            <w:pPr>
              <w:pStyle w:val="SingleTxtG"/>
              <w:spacing w:after="60"/>
              <w:ind w:left="0" w:right="175"/>
              <w:jc w:val="left"/>
            </w:pPr>
            <w:r>
              <w:t>ECE/TRANS/WP.15/AC.1/2016/10 (Romania)</w:t>
            </w:r>
          </w:p>
        </w:tc>
        <w:tc>
          <w:tcPr>
            <w:tcW w:w="4822" w:type="dxa"/>
          </w:tcPr>
          <w:p w:rsidR="003B4E53" w:rsidRPr="00C26C06" w:rsidRDefault="004765D9" w:rsidP="003746CC">
            <w:pPr>
              <w:pStyle w:val="SingleTxtG"/>
              <w:spacing w:after="60"/>
              <w:ind w:left="0"/>
              <w:jc w:val="left"/>
              <w:rPr>
                <w:bCs/>
              </w:rPr>
            </w:pPr>
            <w:r>
              <w:t>Definitions of reference steel and mild steel</w:t>
            </w:r>
          </w:p>
        </w:tc>
      </w:tr>
    </w:tbl>
    <w:p w:rsidR="003B4E53" w:rsidRDefault="003B4E53" w:rsidP="00F46E71">
      <w:pPr>
        <w:pStyle w:val="HChG"/>
        <w:spacing w:before="240"/>
      </w:pPr>
      <w:r w:rsidRPr="00C26C06">
        <w:tab/>
      </w:r>
      <w:r>
        <w:t>10</w:t>
      </w:r>
      <w:r w:rsidRPr="00635238">
        <w:t>.</w:t>
      </w:r>
      <w:r w:rsidRPr="00635238">
        <w:tab/>
      </w:r>
      <w:r>
        <w:t>Adoption of the report</w:t>
      </w:r>
    </w:p>
    <w:p w:rsidR="003B4E53" w:rsidRDefault="003B4E53" w:rsidP="003B4E53">
      <w:pPr>
        <w:pStyle w:val="SingleTxtG"/>
        <w:ind w:firstLine="561"/>
      </w:pPr>
      <w:r w:rsidRPr="00635238">
        <w:t>In accordance with established practice, the Joint Meeting will adopt the report of the session on the basis of a draft established by the secretariat.</w:t>
      </w:r>
    </w:p>
    <w:p w:rsidR="000D06D4" w:rsidRPr="00635238" w:rsidRDefault="000D06D4" w:rsidP="000D06D4">
      <w:pPr>
        <w:pStyle w:val="SingleTxtG"/>
        <w:spacing w:before="240" w:after="0"/>
        <w:jc w:val="center"/>
        <w:rPr>
          <w:u w:val="single"/>
        </w:rPr>
      </w:pPr>
      <w:r w:rsidRPr="00635238">
        <w:rPr>
          <w:u w:val="single"/>
        </w:rPr>
        <w:tab/>
      </w:r>
      <w:r w:rsidRPr="00635238">
        <w:rPr>
          <w:u w:val="single"/>
        </w:rPr>
        <w:tab/>
      </w:r>
      <w:r w:rsidRPr="00635238">
        <w:rPr>
          <w:u w:val="single"/>
        </w:rPr>
        <w:tab/>
      </w:r>
    </w:p>
    <w:sectPr w:rsidR="000D06D4" w:rsidRPr="00635238" w:rsidSect="00BC07F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6D" w:rsidRDefault="00A4716D"/>
  </w:endnote>
  <w:endnote w:type="continuationSeparator" w:id="0">
    <w:p w:rsidR="00A4716D" w:rsidRDefault="00A4716D"/>
  </w:endnote>
  <w:endnote w:type="continuationNotice" w:id="1">
    <w:p w:rsidR="00A4716D" w:rsidRDefault="00A471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B7" w:rsidRPr="00BC07FF" w:rsidRDefault="00C72BB5" w:rsidP="00BC07FF">
    <w:pPr>
      <w:pStyle w:val="Pieddepage"/>
      <w:tabs>
        <w:tab w:val="right" w:pos="9638"/>
      </w:tabs>
      <w:rPr>
        <w:sz w:val="18"/>
      </w:rPr>
    </w:pPr>
    <w:r w:rsidRPr="00BC07FF">
      <w:rPr>
        <w:b/>
        <w:sz w:val="18"/>
      </w:rPr>
      <w:fldChar w:fldCharType="begin"/>
    </w:r>
    <w:r w:rsidR="00EF2AB7" w:rsidRPr="00BC07FF">
      <w:rPr>
        <w:b/>
        <w:sz w:val="18"/>
      </w:rPr>
      <w:instrText xml:space="preserve"> PAGE  \* MERGEFORMAT </w:instrText>
    </w:r>
    <w:r w:rsidRPr="00BC07FF">
      <w:rPr>
        <w:b/>
        <w:sz w:val="18"/>
      </w:rPr>
      <w:fldChar w:fldCharType="separate"/>
    </w:r>
    <w:r w:rsidR="008B5E74">
      <w:rPr>
        <w:b/>
        <w:noProof/>
        <w:sz w:val="18"/>
      </w:rPr>
      <w:t>2</w:t>
    </w:r>
    <w:r w:rsidRPr="00BC07FF">
      <w:rPr>
        <w:b/>
        <w:sz w:val="18"/>
      </w:rPr>
      <w:fldChar w:fldCharType="end"/>
    </w:r>
    <w:r w:rsidR="00EF2AB7">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B7" w:rsidRPr="00BC07FF" w:rsidRDefault="00EF2AB7" w:rsidP="00BC07FF">
    <w:pPr>
      <w:pStyle w:val="Pieddepage"/>
      <w:tabs>
        <w:tab w:val="right" w:pos="9638"/>
      </w:tabs>
      <w:rPr>
        <w:b/>
        <w:sz w:val="18"/>
      </w:rPr>
    </w:pPr>
    <w:r>
      <w:tab/>
    </w:r>
    <w:r w:rsidR="00C72BB5" w:rsidRPr="00BC07FF">
      <w:rPr>
        <w:b/>
        <w:sz w:val="18"/>
      </w:rPr>
      <w:fldChar w:fldCharType="begin"/>
    </w:r>
    <w:r w:rsidRPr="00BC07FF">
      <w:rPr>
        <w:b/>
        <w:sz w:val="18"/>
      </w:rPr>
      <w:instrText xml:space="preserve"> PAGE  \* MERGEFORMAT </w:instrText>
    </w:r>
    <w:r w:rsidR="00C72BB5" w:rsidRPr="00BC07FF">
      <w:rPr>
        <w:b/>
        <w:sz w:val="18"/>
      </w:rPr>
      <w:fldChar w:fldCharType="separate"/>
    </w:r>
    <w:r w:rsidR="008B5E74">
      <w:rPr>
        <w:b/>
        <w:noProof/>
        <w:sz w:val="18"/>
      </w:rPr>
      <w:t>3</w:t>
    </w:r>
    <w:r w:rsidR="00C72BB5" w:rsidRPr="00BC07FF">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6D" w:rsidRPr="000B175B" w:rsidRDefault="00A4716D" w:rsidP="000B175B">
      <w:pPr>
        <w:tabs>
          <w:tab w:val="right" w:pos="2155"/>
        </w:tabs>
        <w:spacing w:after="80"/>
        <w:ind w:left="680"/>
        <w:rPr>
          <w:u w:val="single"/>
        </w:rPr>
      </w:pPr>
      <w:r>
        <w:rPr>
          <w:u w:val="single"/>
        </w:rPr>
        <w:tab/>
      </w:r>
    </w:p>
  </w:footnote>
  <w:footnote w:type="continuationSeparator" w:id="0">
    <w:p w:rsidR="00A4716D" w:rsidRPr="00FC68B7" w:rsidRDefault="00A4716D" w:rsidP="00FC68B7">
      <w:pPr>
        <w:tabs>
          <w:tab w:val="left" w:pos="2155"/>
        </w:tabs>
        <w:spacing w:after="80"/>
        <w:ind w:left="680"/>
        <w:rPr>
          <w:u w:val="single"/>
        </w:rPr>
      </w:pPr>
      <w:r>
        <w:rPr>
          <w:u w:val="single"/>
        </w:rPr>
        <w:tab/>
      </w:r>
    </w:p>
  </w:footnote>
  <w:footnote w:type="continuationNotice" w:id="1">
    <w:p w:rsidR="00A4716D" w:rsidRDefault="00A471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B7" w:rsidRPr="00BC07FF" w:rsidRDefault="001213CF">
    <w:pPr>
      <w:pStyle w:val="En-tte"/>
    </w:pPr>
    <w:r>
      <w:t>ECE/TRANS/WP.15/AC.1/141</w:t>
    </w:r>
    <w:r w:rsidR="00EF2AB7">
      <w:t>/Add.1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B7" w:rsidRPr="00BC07FF" w:rsidRDefault="001213CF" w:rsidP="00BC07FF">
    <w:pPr>
      <w:pStyle w:val="En-tte"/>
      <w:jc w:val="right"/>
    </w:pPr>
    <w:r>
      <w:t>ECE/TRANS/WP.15/AC.1/141</w:t>
    </w:r>
    <w:r w:rsidR="00EF2AB7">
      <w:t>/Add.1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rsids>
    <w:rsidRoot w:val="00C629A0"/>
    <w:rsid w:val="00046B1F"/>
    <w:rsid w:val="00050F6B"/>
    <w:rsid w:val="00057E97"/>
    <w:rsid w:val="000646F4"/>
    <w:rsid w:val="00072C8C"/>
    <w:rsid w:val="000733B5"/>
    <w:rsid w:val="00081815"/>
    <w:rsid w:val="000931C0"/>
    <w:rsid w:val="000A6343"/>
    <w:rsid w:val="000B0595"/>
    <w:rsid w:val="000B175B"/>
    <w:rsid w:val="000B3A0F"/>
    <w:rsid w:val="000B4EF7"/>
    <w:rsid w:val="000C2C03"/>
    <w:rsid w:val="000C2D2E"/>
    <w:rsid w:val="000D06D4"/>
    <w:rsid w:val="000D3A0B"/>
    <w:rsid w:val="000E0415"/>
    <w:rsid w:val="000E2A49"/>
    <w:rsid w:val="00104E8A"/>
    <w:rsid w:val="001103AA"/>
    <w:rsid w:val="0011666B"/>
    <w:rsid w:val="001213CF"/>
    <w:rsid w:val="00152614"/>
    <w:rsid w:val="00155631"/>
    <w:rsid w:val="00165F3A"/>
    <w:rsid w:val="0019208A"/>
    <w:rsid w:val="001A2625"/>
    <w:rsid w:val="001B4B04"/>
    <w:rsid w:val="001C45F0"/>
    <w:rsid w:val="001C6663"/>
    <w:rsid w:val="001C7895"/>
    <w:rsid w:val="001D0C8C"/>
    <w:rsid w:val="001D1419"/>
    <w:rsid w:val="001D26DF"/>
    <w:rsid w:val="001D3A03"/>
    <w:rsid w:val="001D5D23"/>
    <w:rsid w:val="001E7B67"/>
    <w:rsid w:val="00202DA8"/>
    <w:rsid w:val="00211E0B"/>
    <w:rsid w:val="00222EDB"/>
    <w:rsid w:val="00235F0E"/>
    <w:rsid w:val="00237E67"/>
    <w:rsid w:val="0024772E"/>
    <w:rsid w:val="00267F5F"/>
    <w:rsid w:val="00273669"/>
    <w:rsid w:val="002758DE"/>
    <w:rsid w:val="00286B4D"/>
    <w:rsid w:val="002A0E14"/>
    <w:rsid w:val="002D19FA"/>
    <w:rsid w:val="002D4643"/>
    <w:rsid w:val="002F175C"/>
    <w:rsid w:val="002F7980"/>
    <w:rsid w:val="003026E7"/>
    <w:rsid w:val="00302E18"/>
    <w:rsid w:val="00303BD5"/>
    <w:rsid w:val="003229D8"/>
    <w:rsid w:val="00326B5E"/>
    <w:rsid w:val="00327AF0"/>
    <w:rsid w:val="00352709"/>
    <w:rsid w:val="003619B5"/>
    <w:rsid w:val="00365763"/>
    <w:rsid w:val="00371178"/>
    <w:rsid w:val="003746CC"/>
    <w:rsid w:val="00382EB5"/>
    <w:rsid w:val="00392E47"/>
    <w:rsid w:val="00396478"/>
    <w:rsid w:val="003A6810"/>
    <w:rsid w:val="003B37BF"/>
    <w:rsid w:val="003B4E53"/>
    <w:rsid w:val="003C2CC4"/>
    <w:rsid w:val="003C3A1E"/>
    <w:rsid w:val="003D1847"/>
    <w:rsid w:val="003D4B23"/>
    <w:rsid w:val="003E130E"/>
    <w:rsid w:val="00400C7E"/>
    <w:rsid w:val="00410C89"/>
    <w:rsid w:val="00414DDD"/>
    <w:rsid w:val="00422E03"/>
    <w:rsid w:val="00426B9B"/>
    <w:rsid w:val="004325CB"/>
    <w:rsid w:val="00442A83"/>
    <w:rsid w:val="0045495B"/>
    <w:rsid w:val="004561E5"/>
    <w:rsid w:val="004649B0"/>
    <w:rsid w:val="004653B3"/>
    <w:rsid w:val="004765D9"/>
    <w:rsid w:val="0048397A"/>
    <w:rsid w:val="00485CBB"/>
    <w:rsid w:val="004866B7"/>
    <w:rsid w:val="0049004E"/>
    <w:rsid w:val="004B3358"/>
    <w:rsid w:val="004C2461"/>
    <w:rsid w:val="004C4835"/>
    <w:rsid w:val="004C7462"/>
    <w:rsid w:val="004E77B2"/>
    <w:rsid w:val="00504B2D"/>
    <w:rsid w:val="0052136D"/>
    <w:rsid w:val="0052775E"/>
    <w:rsid w:val="005412C6"/>
    <w:rsid w:val="005420F2"/>
    <w:rsid w:val="005628B6"/>
    <w:rsid w:val="00574120"/>
    <w:rsid w:val="005941EC"/>
    <w:rsid w:val="0059724D"/>
    <w:rsid w:val="005B3DB3"/>
    <w:rsid w:val="005B4E13"/>
    <w:rsid w:val="005C342F"/>
    <w:rsid w:val="005D1238"/>
    <w:rsid w:val="005D5B7B"/>
    <w:rsid w:val="005E0526"/>
    <w:rsid w:val="005F7B75"/>
    <w:rsid w:val="006001EE"/>
    <w:rsid w:val="00602CE6"/>
    <w:rsid w:val="00605042"/>
    <w:rsid w:val="00611FC4"/>
    <w:rsid w:val="006176FB"/>
    <w:rsid w:val="00625916"/>
    <w:rsid w:val="00630A41"/>
    <w:rsid w:val="00635238"/>
    <w:rsid w:val="00640B26"/>
    <w:rsid w:val="00652D0A"/>
    <w:rsid w:val="00662B79"/>
    <w:rsid w:val="00662BB6"/>
    <w:rsid w:val="00676606"/>
    <w:rsid w:val="00684C21"/>
    <w:rsid w:val="006A2530"/>
    <w:rsid w:val="006C3589"/>
    <w:rsid w:val="006D37AF"/>
    <w:rsid w:val="006D51D0"/>
    <w:rsid w:val="006D5FB9"/>
    <w:rsid w:val="006E564B"/>
    <w:rsid w:val="006E7191"/>
    <w:rsid w:val="00703577"/>
    <w:rsid w:val="00705894"/>
    <w:rsid w:val="007117BE"/>
    <w:rsid w:val="00717DE6"/>
    <w:rsid w:val="0072632A"/>
    <w:rsid w:val="007327D5"/>
    <w:rsid w:val="007354E2"/>
    <w:rsid w:val="00743C05"/>
    <w:rsid w:val="007629C8"/>
    <w:rsid w:val="0077047D"/>
    <w:rsid w:val="00771A1B"/>
    <w:rsid w:val="007B6BA5"/>
    <w:rsid w:val="007C02B9"/>
    <w:rsid w:val="007C3390"/>
    <w:rsid w:val="007C4F4B"/>
    <w:rsid w:val="007C66A6"/>
    <w:rsid w:val="007E01E9"/>
    <w:rsid w:val="007E63F3"/>
    <w:rsid w:val="007F6611"/>
    <w:rsid w:val="007F7864"/>
    <w:rsid w:val="00811920"/>
    <w:rsid w:val="00815AD0"/>
    <w:rsid w:val="008242D7"/>
    <w:rsid w:val="008257B1"/>
    <w:rsid w:val="00825DE9"/>
    <w:rsid w:val="00832082"/>
    <w:rsid w:val="00832334"/>
    <w:rsid w:val="00843767"/>
    <w:rsid w:val="00851391"/>
    <w:rsid w:val="008655BF"/>
    <w:rsid w:val="008679D9"/>
    <w:rsid w:val="00881AE4"/>
    <w:rsid w:val="008878DE"/>
    <w:rsid w:val="00892F1E"/>
    <w:rsid w:val="008979B1"/>
    <w:rsid w:val="008A6B25"/>
    <w:rsid w:val="008A6C4F"/>
    <w:rsid w:val="008B2335"/>
    <w:rsid w:val="008B5E74"/>
    <w:rsid w:val="008E0678"/>
    <w:rsid w:val="008E46F5"/>
    <w:rsid w:val="008F31D2"/>
    <w:rsid w:val="00915435"/>
    <w:rsid w:val="00917FDE"/>
    <w:rsid w:val="009223CA"/>
    <w:rsid w:val="00940F93"/>
    <w:rsid w:val="009760F3"/>
    <w:rsid w:val="00976CFB"/>
    <w:rsid w:val="00977A64"/>
    <w:rsid w:val="00996E8E"/>
    <w:rsid w:val="009A0830"/>
    <w:rsid w:val="009A0E8D"/>
    <w:rsid w:val="009B26E7"/>
    <w:rsid w:val="00A00697"/>
    <w:rsid w:val="00A00A3F"/>
    <w:rsid w:val="00A01489"/>
    <w:rsid w:val="00A07EDD"/>
    <w:rsid w:val="00A3026E"/>
    <w:rsid w:val="00A31B60"/>
    <w:rsid w:val="00A338F1"/>
    <w:rsid w:val="00A357F4"/>
    <w:rsid w:val="00A35BE0"/>
    <w:rsid w:val="00A36727"/>
    <w:rsid w:val="00A452A0"/>
    <w:rsid w:val="00A4716D"/>
    <w:rsid w:val="00A6129C"/>
    <w:rsid w:val="00A72F22"/>
    <w:rsid w:val="00A7360F"/>
    <w:rsid w:val="00A748A6"/>
    <w:rsid w:val="00A7497B"/>
    <w:rsid w:val="00A75179"/>
    <w:rsid w:val="00A769F4"/>
    <w:rsid w:val="00A776B4"/>
    <w:rsid w:val="00A83D17"/>
    <w:rsid w:val="00A94361"/>
    <w:rsid w:val="00AA293C"/>
    <w:rsid w:val="00B30179"/>
    <w:rsid w:val="00B37D4A"/>
    <w:rsid w:val="00B421C1"/>
    <w:rsid w:val="00B55C71"/>
    <w:rsid w:val="00B56E4A"/>
    <w:rsid w:val="00B56E9C"/>
    <w:rsid w:val="00B64B1F"/>
    <w:rsid w:val="00B6553F"/>
    <w:rsid w:val="00B77D05"/>
    <w:rsid w:val="00B81206"/>
    <w:rsid w:val="00B81E12"/>
    <w:rsid w:val="00BA0716"/>
    <w:rsid w:val="00BC07FF"/>
    <w:rsid w:val="00BC3FA0"/>
    <w:rsid w:val="00BC74E9"/>
    <w:rsid w:val="00BE15CC"/>
    <w:rsid w:val="00BE719F"/>
    <w:rsid w:val="00BF68A8"/>
    <w:rsid w:val="00C11A03"/>
    <w:rsid w:val="00C22C0C"/>
    <w:rsid w:val="00C26C06"/>
    <w:rsid w:val="00C334B2"/>
    <w:rsid w:val="00C4527F"/>
    <w:rsid w:val="00C463DD"/>
    <w:rsid w:val="00C4724C"/>
    <w:rsid w:val="00C47C05"/>
    <w:rsid w:val="00C629A0"/>
    <w:rsid w:val="00C64629"/>
    <w:rsid w:val="00C67377"/>
    <w:rsid w:val="00C72BB5"/>
    <w:rsid w:val="00C745C3"/>
    <w:rsid w:val="00C80ADD"/>
    <w:rsid w:val="00C91B2E"/>
    <w:rsid w:val="00C96DF2"/>
    <w:rsid w:val="00CB3E03"/>
    <w:rsid w:val="00CD4AA6"/>
    <w:rsid w:val="00CD6893"/>
    <w:rsid w:val="00CE3AAA"/>
    <w:rsid w:val="00CE4A8F"/>
    <w:rsid w:val="00D2031B"/>
    <w:rsid w:val="00D248B6"/>
    <w:rsid w:val="00D25FE2"/>
    <w:rsid w:val="00D43252"/>
    <w:rsid w:val="00D47EEA"/>
    <w:rsid w:val="00D6530A"/>
    <w:rsid w:val="00D7344D"/>
    <w:rsid w:val="00D773DF"/>
    <w:rsid w:val="00D95303"/>
    <w:rsid w:val="00D978C6"/>
    <w:rsid w:val="00DA3C1C"/>
    <w:rsid w:val="00DD01EF"/>
    <w:rsid w:val="00E046DF"/>
    <w:rsid w:val="00E1002A"/>
    <w:rsid w:val="00E173F7"/>
    <w:rsid w:val="00E228CC"/>
    <w:rsid w:val="00E27346"/>
    <w:rsid w:val="00E54C6F"/>
    <w:rsid w:val="00E71BC8"/>
    <w:rsid w:val="00E7260F"/>
    <w:rsid w:val="00E73F5D"/>
    <w:rsid w:val="00E77E4E"/>
    <w:rsid w:val="00E90634"/>
    <w:rsid w:val="00E96630"/>
    <w:rsid w:val="00E968E8"/>
    <w:rsid w:val="00EA0531"/>
    <w:rsid w:val="00ED7A2A"/>
    <w:rsid w:val="00EF1D7F"/>
    <w:rsid w:val="00EF2AB7"/>
    <w:rsid w:val="00F103EF"/>
    <w:rsid w:val="00F31E5F"/>
    <w:rsid w:val="00F438D4"/>
    <w:rsid w:val="00F46E71"/>
    <w:rsid w:val="00F6100A"/>
    <w:rsid w:val="00F73F14"/>
    <w:rsid w:val="00F76876"/>
    <w:rsid w:val="00F84E9E"/>
    <w:rsid w:val="00F93781"/>
    <w:rsid w:val="00FA7D6D"/>
    <w:rsid w:val="00FB390F"/>
    <w:rsid w:val="00FB613B"/>
    <w:rsid w:val="00FC68B7"/>
    <w:rsid w:val="00FD3F98"/>
    <w:rsid w:val="00FD67D2"/>
    <w:rsid w:val="00FE106A"/>
    <w:rsid w:val="00FF145D"/>
    <w:rsid w:val="00FF500E"/>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D06D4"/>
    <w:rPr>
      <w:b/>
      <w:sz w:val="2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C72BB5"/>
    <w:rPr>
      <w:rFonts w:cs="Courier New"/>
    </w:rPr>
  </w:style>
  <w:style w:type="paragraph" w:styleId="Corpsdetexte">
    <w:name w:val="Body Text"/>
    <w:basedOn w:val="Normal"/>
    <w:next w:val="Normal"/>
    <w:semiHidden/>
    <w:rsid w:val="00C72BB5"/>
  </w:style>
  <w:style w:type="paragraph" w:styleId="Retraitcorpsdetexte">
    <w:name w:val="Body Text Indent"/>
    <w:basedOn w:val="Normal"/>
    <w:semiHidden/>
    <w:rsid w:val="00C72BB5"/>
    <w:pPr>
      <w:spacing w:after="120"/>
      <w:ind w:left="283"/>
    </w:pPr>
  </w:style>
  <w:style w:type="paragraph" w:styleId="Normalcentr">
    <w:name w:val="Block Text"/>
    <w:basedOn w:val="Normal"/>
    <w:semiHidden/>
    <w:rsid w:val="00C72B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C72BB5"/>
    <w:rPr>
      <w:sz w:val="6"/>
    </w:rPr>
  </w:style>
  <w:style w:type="paragraph" w:styleId="Commentaire">
    <w:name w:val="annotation text"/>
    <w:basedOn w:val="Normal"/>
    <w:semiHidden/>
    <w:rsid w:val="00C72BB5"/>
  </w:style>
  <w:style w:type="character" w:styleId="Numrodeligne">
    <w:name w:val="line number"/>
    <w:semiHidden/>
    <w:rsid w:val="00C72B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4B335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HChGChar">
    <w:name w:val="111111"/>
    <w:pPr>
      <w:numPr>
        <w:numId w:val="11"/>
      </w:numPr>
    </w:pPr>
  </w:style>
</w:styles>
</file>

<file path=word/webSettings.xml><?xml version="1.0" encoding="utf-8"?>
<w:webSettings xmlns:r="http://schemas.openxmlformats.org/officeDocument/2006/relationships" xmlns:w="http://schemas.openxmlformats.org/wordprocessingml/2006/main">
  <w:divs>
    <w:div w:id="993333170">
      <w:bodyDiv w:val="1"/>
      <w:marLeft w:val="0"/>
      <w:marRight w:val="0"/>
      <w:marTop w:val="0"/>
      <w:marBottom w:val="0"/>
      <w:divBdr>
        <w:top w:val="none" w:sz="0" w:space="0" w:color="auto"/>
        <w:left w:val="none" w:sz="0" w:space="0" w:color="auto"/>
        <w:bottom w:val="none" w:sz="0" w:space="0" w:color="auto"/>
        <w:right w:val="none" w:sz="0" w:space="0" w:color="auto"/>
      </w:divBdr>
    </w:div>
    <w:div w:id="1207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4201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Maison</cp:lastModifiedBy>
  <cp:revision>2</cp:revision>
  <cp:lastPrinted>2015-12-24T07:40:00Z</cp:lastPrinted>
  <dcterms:created xsi:type="dcterms:W3CDTF">2015-12-24T07:40:00Z</dcterms:created>
  <dcterms:modified xsi:type="dcterms:W3CDTF">2015-12-24T07:40:00Z</dcterms:modified>
</cp:coreProperties>
</file>