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C6E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C6E00" w:rsidP="006C6E00">
            <w:pPr>
              <w:jc w:val="right"/>
            </w:pPr>
            <w:r w:rsidRPr="006C6E00">
              <w:rPr>
                <w:sz w:val="40"/>
              </w:rPr>
              <w:t>ECE</w:t>
            </w:r>
            <w:r>
              <w:t>/TRANS/WP.15/2016/14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C6E00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C6E00" w:rsidRDefault="006C6E00" w:rsidP="006C6E00">
            <w:pPr>
              <w:spacing w:line="240" w:lineRule="exact"/>
            </w:pPr>
            <w:r>
              <w:t>22 août 2016</w:t>
            </w:r>
          </w:p>
          <w:p w:rsidR="006C6E00" w:rsidRDefault="006C6E00" w:rsidP="006C6E00">
            <w:pPr>
              <w:spacing w:line="240" w:lineRule="exact"/>
            </w:pPr>
            <w:r>
              <w:t>Français</w:t>
            </w:r>
          </w:p>
          <w:p w:rsidR="006C6E00" w:rsidRPr="00DB58B5" w:rsidRDefault="006C6E00" w:rsidP="006C6E0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  <w:bookmarkStart w:id="0" w:name="_GoBack"/>
      <w:bookmarkEnd w:id="0"/>
    </w:p>
    <w:p w:rsidR="006C6E00" w:rsidRPr="009E01B8" w:rsidRDefault="006C6E00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6C6E00" w:rsidRPr="00992778" w:rsidRDefault="006C6E00" w:rsidP="00E85C74">
      <w:pPr>
        <w:spacing w:before="120"/>
        <w:rPr>
          <w:b/>
        </w:rPr>
      </w:pPr>
      <w:r>
        <w:rPr>
          <w:b/>
        </w:rPr>
        <w:t>101</w:t>
      </w:r>
      <w:r w:rsidRPr="006C6E00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:rsidR="006C6E00" w:rsidRDefault="006C6E00" w:rsidP="00E85C74">
      <w:r>
        <w:t xml:space="preserve">Genève, </w:t>
      </w:r>
      <w:r w:rsidRPr="004919D7">
        <w:t>8</w:t>
      </w:r>
      <w:r>
        <w:t>-</w:t>
      </w:r>
      <w:r w:rsidRPr="004919D7">
        <w:t>11 novembre</w:t>
      </w:r>
      <w:r w:rsidRPr="004919D7">
        <w:rPr>
          <w:rFonts w:eastAsia="SimSun"/>
        </w:rPr>
        <w:t xml:space="preserve"> 2016 </w:t>
      </w:r>
    </w:p>
    <w:p w:rsidR="006C6E00" w:rsidRDefault="006C6E00" w:rsidP="00E85C74">
      <w:r>
        <w:t>Point 5 a)</w:t>
      </w:r>
      <w:r w:rsidRPr="00B93E72">
        <w:t xml:space="preserve"> de l’ordre du jour provisoire</w:t>
      </w:r>
    </w:p>
    <w:p w:rsidR="00F9573C" w:rsidRDefault="006C6E00" w:rsidP="006C6E00">
      <w:pPr>
        <w:spacing w:line="240" w:lineRule="auto"/>
      </w:pPr>
      <w:r w:rsidRPr="004919D7">
        <w:rPr>
          <w:b/>
        </w:rPr>
        <w:t>Propositions d</w:t>
      </w:r>
      <w:r>
        <w:rPr>
          <w:b/>
        </w:rPr>
        <w:t>’</w:t>
      </w:r>
      <w:r w:rsidRPr="004919D7">
        <w:rPr>
          <w:b/>
        </w:rPr>
        <w:t>amendement aux annexes A et B de l</w:t>
      </w:r>
      <w:r>
        <w:rPr>
          <w:b/>
        </w:rPr>
        <w:t>’</w:t>
      </w:r>
      <w:r w:rsidRPr="004919D7">
        <w:rPr>
          <w:b/>
        </w:rPr>
        <w:t>ADR</w:t>
      </w:r>
      <w:r>
        <w:rPr>
          <w:b/>
        </w:rPr>
        <w:t> </w:t>
      </w:r>
      <w:proofErr w:type="gramStart"/>
      <w:r w:rsidRPr="004919D7">
        <w:rPr>
          <w:b/>
        </w:rPr>
        <w:t>:</w:t>
      </w:r>
      <w:proofErr w:type="gramEnd"/>
      <w:r>
        <w:rPr>
          <w:b/>
        </w:rPr>
        <w:br/>
      </w:r>
      <w:r w:rsidRPr="004919D7">
        <w:rPr>
          <w:b/>
        </w:rPr>
        <w:t>construction et agrément des véhicules</w:t>
      </w:r>
    </w:p>
    <w:p w:rsidR="006C6E00" w:rsidRPr="004919D7" w:rsidRDefault="006C6E00" w:rsidP="006C6E00">
      <w:pPr>
        <w:pStyle w:val="HChG"/>
      </w:pPr>
      <w:r w:rsidRPr="004919D7">
        <w:tab/>
      </w:r>
      <w:r w:rsidRPr="004919D7">
        <w:tab/>
        <w:t>Modification du tableau du 9.2.1.1</w:t>
      </w:r>
    </w:p>
    <w:p w:rsidR="006C6E00" w:rsidRDefault="006C6E00" w:rsidP="006C6E00">
      <w:pPr>
        <w:pStyle w:val="H1G"/>
      </w:pPr>
      <w:r w:rsidRPr="004919D7">
        <w:tab/>
      </w:r>
      <w:r w:rsidRPr="004919D7">
        <w:tab/>
        <w:t xml:space="preserve">Communication du Gouvernement </w:t>
      </w:r>
      <w:r>
        <w:t>néerlandais</w:t>
      </w:r>
      <w:r w:rsidRPr="00927F14">
        <w:rPr>
          <w:rStyle w:val="Appelnotedebasdep"/>
          <w:b w:val="0"/>
        </w:rPr>
        <w:footnoteReference w:id="2"/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6C6E00" w:rsidTr="00BC4078">
        <w:trPr>
          <w:jc w:val="center"/>
        </w:trPr>
        <w:tc>
          <w:tcPr>
            <w:tcW w:w="9637" w:type="dxa"/>
            <w:shd w:val="clear" w:color="auto" w:fill="auto"/>
          </w:tcPr>
          <w:p w:rsidR="006C6E00" w:rsidRPr="000001E7" w:rsidRDefault="006C6E00" w:rsidP="00BC4078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6C6E00" w:rsidTr="00BC4078">
        <w:trPr>
          <w:jc w:val="center"/>
        </w:trPr>
        <w:tc>
          <w:tcPr>
            <w:tcW w:w="9637" w:type="dxa"/>
            <w:shd w:val="clear" w:color="auto" w:fill="auto"/>
          </w:tcPr>
          <w:p w:rsidR="006C6E00" w:rsidRDefault="006C6E00" w:rsidP="00BC4078">
            <w:pPr>
              <w:pStyle w:val="SingleTxtG"/>
              <w:ind w:left="2552" w:hanging="2268"/>
            </w:pPr>
            <w:r w:rsidRPr="00304F32">
              <w:rPr>
                <w:b/>
                <w:szCs w:val="24"/>
              </w:rPr>
              <w:t xml:space="preserve">Résumé </w:t>
            </w:r>
            <w:r w:rsidRPr="00304F32">
              <w:rPr>
                <w:b/>
                <w:lang w:val="fr-FR"/>
              </w:rPr>
              <w:t>analytique</w:t>
            </w:r>
            <w:r>
              <w:rPr>
                <w:b/>
                <w:lang w:val="fr-FR"/>
              </w:rPr>
              <w:t> </w:t>
            </w:r>
            <w:r w:rsidRPr="00304F32">
              <w:rPr>
                <w:b/>
                <w:szCs w:val="24"/>
              </w:rPr>
              <w:t>:</w:t>
            </w:r>
            <w:r w:rsidRPr="00F42BB6">
              <w:rPr>
                <w:szCs w:val="24"/>
              </w:rPr>
              <w:tab/>
            </w:r>
            <w:r w:rsidRPr="004919D7">
              <w:rPr>
                <w:szCs w:val="22"/>
              </w:rPr>
              <w:t>L</w:t>
            </w:r>
            <w:r>
              <w:rPr>
                <w:szCs w:val="22"/>
              </w:rPr>
              <w:t>a nouvelle</w:t>
            </w:r>
            <w:r w:rsidRPr="004919D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prescription </w:t>
            </w:r>
            <w:r w:rsidRPr="004919D7">
              <w:rPr>
                <w:szCs w:val="22"/>
              </w:rPr>
              <w:t>9.2.7 de l</w:t>
            </w:r>
            <w:r>
              <w:rPr>
                <w:szCs w:val="22"/>
              </w:rPr>
              <w:t>’</w:t>
            </w:r>
            <w:r w:rsidRPr="004919D7">
              <w:rPr>
                <w:szCs w:val="22"/>
              </w:rPr>
              <w:t>ADR concernant les « autres risques dus aux carburants », introduit dans l</w:t>
            </w:r>
            <w:r>
              <w:rPr>
                <w:szCs w:val="22"/>
              </w:rPr>
              <w:t>’</w:t>
            </w:r>
            <w:r w:rsidRPr="004919D7">
              <w:rPr>
                <w:szCs w:val="22"/>
              </w:rPr>
              <w:t>ADR de 2017, ne figure pas dans le tableau du 9.2.1.1.</w:t>
            </w:r>
          </w:p>
        </w:tc>
      </w:tr>
      <w:tr w:rsidR="006C6E00" w:rsidTr="00BC4078">
        <w:trPr>
          <w:jc w:val="center"/>
        </w:trPr>
        <w:tc>
          <w:tcPr>
            <w:tcW w:w="9637" w:type="dxa"/>
            <w:shd w:val="clear" w:color="auto" w:fill="auto"/>
          </w:tcPr>
          <w:p w:rsidR="006C6E00" w:rsidRDefault="006C6E00" w:rsidP="00BC4078">
            <w:pPr>
              <w:pStyle w:val="SingleTxtG"/>
              <w:ind w:left="2552" w:hanging="2268"/>
            </w:pPr>
            <w:r w:rsidRPr="00D3080E">
              <w:rPr>
                <w:b/>
                <w:szCs w:val="24"/>
              </w:rPr>
              <w:t>Mesure à prendre</w:t>
            </w:r>
            <w:r>
              <w:rPr>
                <w:b/>
                <w:szCs w:val="24"/>
              </w:rPr>
              <w:t> </w:t>
            </w:r>
            <w:r w:rsidRPr="00F42BB6">
              <w:rPr>
                <w:b/>
                <w:szCs w:val="24"/>
              </w:rPr>
              <w:t>:</w:t>
            </w:r>
            <w:r w:rsidRPr="00F42BB6">
              <w:rPr>
                <w:b/>
                <w:szCs w:val="24"/>
              </w:rPr>
              <w:tab/>
            </w:r>
            <w:r w:rsidRPr="004919D7">
              <w:t>Ajouter une nouvelle ligne pour le 9.2.7 dans le tableau du 9.2.1.1</w:t>
            </w:r>
            <w:r>
              <w:t>.</w:t>
            </w:r>
          </w:p>
        </w:tc>
      </w:tr>
      <w:tr w:rsidR="006C6E00" w:rsidTr="00BC4078">
        <w:trPr>
          <w:jc w:val="center"/>
        </w:trPr>
        <w:tc>
          <w:tcPr>
            <w:tcW w:w="9637" w:type="dxa"/>
            <w:shd w:val="clear" w:color="auto" w:fill="auto"/>
          </w:tcPr>
          <w:p w:rsidR="006C6E00" w:rsidRDefault="006C6E00" w:rsidP="006C6E00">
            <w:pPr>
              <w:pStyle w:val="SingleTxtG"/>
              <w:ind w:left="2552" w:hanging="2268"/>
            </w:pPr>
            <w:r w:rsidRPr="00304F32">
              <w:rPr>
                <w:b/>
                <w:szCs w:val="24"/>
              </w:rPr>
              <w:t xml:space="preserve">Documents de </w:t>
            </w:r>
            <w:r w:rsidRPr="00304F32">
              <w:rPr>
                <w:b/>
                <w:lang w:val="fr-FR"/>
              </w:rPr>
              <w:t>référence</w:t>
            </w:r>
            <w:r>
              <w:rPr>
                <w:b/>
                <w:lang w:val="fr-FR"/>
              </w:rPr>
              <w:t> </w:t>
            </w:r>
            <w:r w:rsidRPr="00304F32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4919D7">
              <w:rPr>
                <w:szCs w:val="22"/>
              </w:rPr>
              <w:t>ECE/TRANS/WP.15/2015/17 et ECE/TRANS/WP.15/230, par</w:t>
            </w:r>
            <w:r>
              <w:rPr>
                <w:szCs w:val="22"/>
              </w:rPr>
              <w:t>. </w:t>
            </w:r>
            <w:r w:rsidRPr="004919D7">
              <w:rPr>
                <w:szCs w:val="22"/>
              </w:rPr>
              <w:t>39.</w:t>
            </w:r>
          </w:p>
        </w:tc>
      </w:tr>
      <w:tr w:rsidR="006C6E00" w:rsidTr="00BC4078">
        <w:trPr>
          <w:jc w:val="center"/>
        </w:trPr>
        <w:tc>
          <w:tcPr>
            <w:tcW w:w="9637" w:type="dxa"/>
            <w:shd w:val="clear" w:color="auto" w:fill="auto"/>
          </w:tcPr>
          <w:p w:rsidR="006C6E00" w:rsidRDefault="006C6E00" w:rsidP="00BC4078"/>
        </w:tc>
      </w:tr>
    </w:tbl>
    <w:p w:rsidR="006C6E00" w:rsidRPr="004919D7" w:rsidRDefault="006C6E00" w:rsidP="006C6E00">
      <w:pPr>
        <w:pStyle w:val="HChG"/>
        <w:rPr>
          <w:rFonts w:eastAsiaTheme="minorEastAsia"/>
          <w:lang w:eastAsia="zh-CN"/>
        </w:rPr>
      </w:pPr>
      <w:r w:rsidRPr="004919D7">
        <w:rPr>
          <w:rFonts w:eastAsiaTheme="minorEastAsia"/>
          <w:lang w:eastAsia="zh-CN"/>
        </w:rPr>
        <w:tab/>
      </w:r>
      <w:r w:rsidRPr="004919D7">
        <w:rPr>
          <w:rFonts w:eastAsiaTheme="minorEastAsia"/>
          <w:lang w:eastAsia="zh-CN"/>
        </w:rPr>
        <w:tab/>
        <w:t>Introduction</w:t>
      </w:r>
    </w:p>
    <w:p w:rsidR="006C6E00" w:rsidRPr="004919D7" w:rsidRDefault="006C6E00" w:rsidP="006C6E00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 w:rsidRPr="004919D7">
        <w:rPr>
          <w:rFonts w:eastAsiaTheme="minorEastAsia"/>
          <w:lang w:eastAsia="zh-CN"/>
        </w:rPr>
        <w:t>À la 99</w:t>
      </w:r>
      <w:r w:rsidRPr="004919D7">
        <w:rPr>
          <w:rFonts w:eastAsiaTheme="minorEastAsia"/>
          <w:vertAlign w:val="superscript"/>
          <w:lang w:eastAsia="zh-CN"/>
        </w:rPr>
        <w:t>e</w:t>
      </w:r>
      <w:r>
        <w:rPr>
          <w:rFonts w:eastAsiaTheme="minorEastAsia"/>
          <w:lang w:eastAsia="zh-CN"/>
        </w:rPr>
        <w:t> </w:t>
      </w:r>
      <w:r w:rsidRPr="004919D7">
        <w:rPr>
          <w:rFonts w:eastAsiaTheme="minorEastAsia"/>
          <w:lang w:eastAsia="zh-CN"/>
        </w:rPr>
        <w:t xml:space="preserve">session </w:t>
      </w:r>
      <w:r>
        <w:rPr>
          <w:rFonts w:eastAsiaTheme="minorEastAsia"/>
          <w:lang w:eastAsia="zh-CN"/>
        </w:rPr>
        <w:t>du Groupe de travail, de nouvelles prescriptions relatives à</w:t>
      </w:r>
      <w:r w:rsidR="00927F14">
        <w:rPr>
          <w:rFonts w:eastAsiaTheme="minorEastAsia"/>
          <w:lang w:eastAsia="zh-CN"/>
        </w:rPr>
        <w:t> </w:t>
      </w:r>
      <w:r>
        <w:rPr>
          <w:rFonts w:eastAsiaTheme="minorEastAsia"/>
          <w:lang w:eastAsia="zh-CN"/>
        </w:rPr>
        <w:t>l’utilisation de combustibles gazeux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ont été ajoutées dans le chapitre 9.2.</w:t>
      </w:r>
    </w:p>
    <w:p w:rsidR="006C6E00" w:rsidRDefault="006C6E00" w:rsidP="006C6E00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Dans le </w:t>
      </w:r>
      <w:r w:rsidRPr="004919D7">
        <w:rPr>
          <w:rFonts w:eastAsiaTheme="minorEastAsia"/>
          <w:lang w:eastAsia="zh-CN"/>
        </w:rPr>
        <w:t>9.2.1.1</w:t>
      </w:r>
      <w:r>
        <w:rPr>
          <w:rFonts w:eastAsiaTheme="minorEastAsia"/>
          <w:lang w:eastAsia="zh-CN"/>
        </w:rPr>
        <w:t>, un</w:t>
      </w:r>
      <w:r w:rsidRPr="004919D7">
        <w:rPr>
          <w:rFonts w:eastAsiaTheme="minorEastAsia"/>
          <w:lang w:eastAsia="zh-CN"/>
        </w:rPr>
        <w:t xml:space="preserve"> table</w:t>
      </w:r>
      <w:r>
        <w:rPr>
          <w:rFonts w:eastAsiaTheme="minorEastAsia"/>
          <w:lang w:eastAsia="zh-CN"/>
        </w:rPr>
        <w:t>au indique l’applicabilité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des prescriptions données au chapitre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9.2 pour les </w:t>
      </w:r>
      <w:r w:rsidRPr="004919D7">
        <w:rPr>
          <w:rFonts w:eastAsiaTheme="minorEastAsia"/>
          <w:lang w:eastAsia="zh-CN"/>
        </w:rPr>
        <w:t xml:space="preserve">véhicules </w:t>
      </w:r>
      <w:r>
        <w:rPr>
          <w:rFonts w:eastAsiaTheme="minorEastAsia"/>
          <w:lang w:eastAsia="zh-CN"/>
        </w:rPr>
        <w:t>destinés au transport de matières présentant un risque particulier. Il semblerait que l’ajout de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la nouvelle prescription </w:t>
      </w:r>
      <w:r w:rsidRPr="004919D7">
        <w:rPr>
          <w:rFonts w:eastAsiaTheme="minorEastAsia"/>
          <w:lang w:eastAsia="zh-CN"/>
        </w:rPr>
        <w:t xml:space="preserve">9.2.7 </w:t>
      </w:r>
      <w:r>
        <w:rPr>
          <w:rFonts w:eastAsiaTheme="minorEastAsia"/>
          <w:lang w:eastAsia="zh-CN"/>
        </w:rPr>
        <w:t>dans le tableau ait été omis</w:t>
      </w:r>
      <w:r w:rsidRPr="004919D7">
        <w:rPr>
          <w:rFonts w:eastAsiaTheme="minorEastAsia"/>
          <w:lang w:eastAsia="zh-CN"/>
        </w:rPr>
        <w:t>.</w:t>
      </w:r>
    </w:p>
    <w:p w:rsidR="006C6E00" w:rsidRPr="004919D7" w:rsidRDefault="006C6E00" w:rsidP="006C6E00">
      <w:pPr>
        <w:pStyle w:val="HChG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br w:type="page"/>
      </w:r>
      <w:r w:rsidRPr="004919D7">
        <w:rPr>
          <w:rFonts w:eastAsiaTheme="minorEastAsia"/>
          <w:lang w:eastAsia="zh-CN"/>
        </w:rPr>
        <w:lastRenderedPageBreak/>
        <w:tab/>
      </w:r>
      <w:r w:rsidRPr="004919D7">
        <w:rPr>
          <w:rFonts w:eastAsiaTheme="minorEastAsia"/>
          <w:lang w:eastAsia="zh-CN"/>
        </w:rPr>
        <w:tab/>
        <w:t>Proposition</w:t>
      </w:r>
    </w:p>
    <w:p w:rsidR="006C6E00" w:rsidRDefault="006C6E00" w:rsidP="006C6E00">
      <w:pPr>
        <w:pStyle w:val="SingleTxtG"/>
        <w:numPr>
          <w:ilvl w:val="0"/>
          <w:numId w:val="15"/>
        </w:numPr>
        <w:ind w:left="1134" w:firstLine="0"/>
      </w:pPr>
      <w:r w:rsidRPr="004919D7">
        <w:rPr>
          <w:rFonts w:eastAsiaTheme="minorEastAsia"/>
          <w:lang w:eastAsia="zh-CN"/>
        </w:rPr>
        <w:t>Modifier le tableau du 9.2.1.1 de l</w:t>
      </w:r>
      <w:r>
        <w:rPr>
          <w:rFonts w:eastAsiaTheme="minorEastAsia"/>
          <w:lang w:eastAsia="zh-CN"/>
        </w:rPr>
        <w:t>’</w:t>
      </w:r>
      <w:r w:rsidRPr="004919D7">
        <w:rPr>
          <w:rFonts w:eastAsiaTheme="minorEastAsia"/>
          <w:lang w:eastAsia="zh-CN"/>
        </w:rPr>
        <w:t>ADR en y ajoutant une nouvelle ligne libellée comme suit</w:t>
      </w:r>
      <w:r>
        <w:rPr>
          <w:rFonts w:eastAsiaTheme="minorEastAsia"/>
          <w:lang w:eastAsia="zh-CN"/>
        </w:rPr>
        <w:t> </w:t>
      </w:r>
      <w:r w:rsidRPr="004919D7">
        <w:rPr>
          <w:rFonts w:eastAsiaTheme="minorEastAsia"/>
          <w:lang w:eastAsia="zh-CN"/>
        </w:rPr>
        <w:t>:</w:t>
      </w:r>
    </w:p>
    <w:tbl>
      <w:tblPr>
        <w:tblStyle w:val="Grilledutableau"/>
        <w:tblW w:w="9639" w:type="dxa"/>
        <w:jc w:val="center"/>
        <w:tblLook w:val="04A0"/>
      </w:tblPr>
      <w:tblGrid>
        <w:gridCol w:w="868"/>
        <w:gridCol w:w="2954"/>
        <w:gridCol w:w="890"/>
        <w:gridCol w:w="796"/>
        <w:gridCol w:w="984"/>
        <w:gridCol w:w="889"/>
        <w:gridCol w:w="2258"/>
      </w:tblGrid>
      <w:tr w:rsidR="001149C1" w:rsidRPr="001149C1" w:rsidTr="001149C1">
        <w:trPr>
          <w:jc w:val="center"/>
        </w:trPr>
        <w:tc>
          <w:tcPr>
            <w:tcW w:w="3652" w:type="dxa"/>
            <w:gridSpan w:val="2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</w:p>
        </w:tc>
        <w:tc>
          <w:tcPr>
            <w:tcW w:w="3402" w:type="dxa"/>
            <w:gridSpan w:val="4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VÉHICULES</w:t>
            </w:r>
          </w:p>
        </w:tc>
        <w:tc>
          <w:tcPr>
            <w:tcW w:w="2158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REMARQUES</w:t>
            </w:r>
          </w:p>
        </w:tc>
      </w:tr>
      <w:tr w:rsidR="001149C1" w:rsidRPr="001149C1" w:rsidTr="001149C1">
        <w:trPr>
          <w:jc w:val="center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SPÉCIFICATIONS TECHNIQUES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EX/II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EX/III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FL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AT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</w:p>
        </w:tc>
      </w:tr>
      <w:tr w:rsidR="001149C1" w:rsidRPr="001149C1" w:rsidTr="001149C1">
        <w:trPr>
          <w:jc w:val="center"/>
        </w:trPr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</w:p>
        </w:tc>
      </w:tr>
      <w:tr w:rsidR="001149C1" w:rsidRPr="001149C1" w:rsidTr="001149C1">
        <w:trPr>
          <w:jc w:val="center"/>
        </w:trPr>
        <w:tc>
          <w:tcPr>
            <w:tcW w:w="829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9.2.7</w:t>
            </w:r>
          </w:p>
        </w:tc>
        <w:tc>
          <w:tcPr>
            <w:tcW w:w="2823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Prévention des autres risques dus aux carburants</w:t>
            </w:r>
          </w:p>
        </w:tc>
        <w:tc>
          <w:tcPr>
            <w:tcW w:w="851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</w:p>
        </w:tc>
        <w:tc>
          <w:tcPr>
            <w:tcW w:w="761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</w:p>
        </w:tc>
        <w:tc>
          <w:tcPr>
            <w:tcW w:w="940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>X</w:t>
            </w:r>
            <w:r w:rsidRPr="001149C1">
              <w:rPr>
                <w:rFonts w:eastAsiaTheme="minorEastAsia"/>
                <w:vertAlign w:val="superscript"/>
                <w:lang w:eastAsia="zh-CN"/>
              </w:rPr>
              <w:t>(y)</w:t>
            </w:r>
          </w:p>
        </w:tc>
        <w:tc>
          <w:tcPr>
            <w:tcW w:w="850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lang w:eastAsia="zh-CN"/>
              </w:rPr>
              <w:t xml:space="preserve">X </w:t>
            </w:r>
            <w:r w:rsidRPr="001149C1">
              <w:rPr>
                <w:rFonts w:eastAsiaTheme="minorEastAsia"/>
                <w:vertAlign w:val="superscript"/>
                <w:lang w:eastAsia="zh-CN"/>
              </w:rPr>
              <w:t>(y)</w:t>
            </w:r>
          </w:p>
        </w:tc>
        <w:tc>
          <w:tcPr>
            <w:tcW w:w="2158" w:type="dxa"/>
          </w:tcPr>
          <w:p w:rsidR="00847D75" w:rsidRPr="001149C1" w:rsidRDefault="00847D75" w:rsidP="001149C1">
            <w:pPr>
              <w:suppressAutoHyphens w:val="0"/>
              <w:spacing w:before="60" w:after="60" w:line="240" w:lineRule="auto"/>
              <w:ind w:left="113" w:right="113"/>
              <w:rPr>
                <w:rFonts w:eastAsiaTheme="minorEastAsia"/>
                <w:lang w:eastAsia="zh-CN"/>
              </w:rPr>
            </w:pPr>
            <w:r w:rsidRPr="001149C1">
              <w:rPr>
                <w:rFonts w:eastAsiaTheme="minorEastAsia"/>
                <w:vertAlign w:val="superscript"/>
                <w:lang w:eastAsia="zh-CN"/>
              </w:rPr>
              <w:t xml:space="preserve">(y) </w:t>
            </w:r>
            <w:r w:rsidRPr="001149C1">
              <w:rPr>
                <w:rFonts w:eastAsiaTheme="minorEastAsia"/>
                <w:lang w:eastAsia="zh-CN"/>
              </w:rPr>
              <w:t>Applicable aux véhicules à moteur immatriculés pour la première fois (ou mis en service, si l’immatriculation n’est pas obligatoire) à partir du 1</w:t>
            </w:r>
            <w:r w:rsidRPr="001149C1">
              <w:rPr>
                <w:rFonts w:eastAsiaTheme="minorEastAsia"/>
                <w:vertAlign w:val="superscript"/>
                <w:lang w:eastAsia="zh-CN"/>
              </w:rPr>
              <w:t>er</w:t>
            </w:r>
            <w:r w:rsidRPr="001149C1">
              <w:rPr>
                <w:rFonts w:eastAsiaTheme="minorEastAsia"/>
                <w:lang w:eastAsia="zh-CN"/>
              </w:rPr>
              <w:t> juillet 2017.</w:t>
            </w:r>
          </w:p>
        </w:tc>
      </w:tr>
    </w:tbl>
    <w:p w:rsidR="00847D75" w:rsidRPr="004919D7" w:rsidRDefault="00847D75" w:rsidP="00847D75">
      <w:pPr>
        <w:pStyle w:val="HChG"/>
        <w:rPr>
          <w:rFonts w:eastAsiaTheme="minorEastAsia"/>
          <w:lang w:eastAsia="zh-CN"/>
        </w:rPr>
      </w:pPr>
      <w:r w:rsidRPr="004919D7">
        <w:rPr>
          <w:rFonts w:eastAsiaTheme="minorEastAsia"/>
          <w:lang w:eastAsia="zh-CN"/>
        </w:rPr>
        <w:tab/>
      </w:r>
      <w:r w:rsidRPr="004919D7">
        <w:rPr>
          <w:rFonts w:eastAsiaTheme="minorEastAsia"/>
          <w:lang w:eastAsia="zh-CN"/>
        </w:rPr>
        <w:tab/>
        <w:t>Justification</w:t>
      </w:r>
    </w:p>
    <w:p w:rsidR="00847D75" w:rsidRPr="004919D7" w:rsidRDefault="00847D75" w:rsidP="00847D75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Pour des raisons de cohérence, la nouvelle prescription du </w:t>
      </w:r>
      <w:r w:rsidRPr="004919D7">
        <w:rPr>
          <w:rFonts w:eastAsiaTheme="minorEastAsia"/>
          <w:lang w:eastAsia="zh-CN"/>
        </w:rPr>
        <w:t>9.2.7</w:t>
      </w:r>
      <w:r>
        <w:rPr>
          <w:rFonts w:eastAsiaTheme="minorEastAsia"/>
          <w:lang w:eastAsia="zh-CN"/>
        </w:rPr>
        <w:t xml:space="preserve"> doit être ajoutée au tableau du </w:t>
      </w:r>
      <w:r w:rsidRPr="004919D7">
        <w:rPr>
          <w:rFonts w:eastAsiaTheme="minorEastAsia"/>
          <w:lang w:eastAsia="zh-CN"/>
        </w:rPr>
        <w:t xml:space="preserve">9.2.1.1. </w:t>
      </w:r>
      <w:r>
        <w:rPr>
          <w:rFonts w:eastAsiaTheme="minorEastAsia"/>
          <w:lang w:eastAsia="zh-CN"/>
        </w:rPr>
        <w:t>Cet ajout a été omis lors de l’élaboration de l’</w:t>
      </w:r>
      <w:r w:rsidRPr="004919D7">
        <w:rPr>
          <w:rFonts w:eastAsiaTheme="minorEastAsia"/>
          <w:lang w:eastAsia="zh-CN"/>
        </w:rPr>
        <w:t xml:space="preserve">ADR </w:t>
      </w:r>
      <w:r>
        <w:rPr>
          <w:rFonts w:eastAsiaTheme="minorEastAsia"/>
          <w:lang w:eastAsia="zh-CN"/>
        </w:rPr>
        <w:t xml:space="preserve">de </w:t>
      </w:r>
      <w:r w:rsidRPr="004919D7">
        <w:rPr>
          <w:rFonts w:eastAsiaTheme="minorEastAsia"/>
          <w:lang w:eastAsia="zh-CN"/>
        </w:rPr>
        <w:t>2017.</w:t>
      </w:r>
    </w:p>
    <w:p w:rsidR="00847D75" w:rsidRPr="004919D7" w:rsidRDefault="00847D75" w:rsidP="00847D75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Il n’est pas autorisé d’utiliser des combustibles gazeux dans les véhicules</w:t>
      </w:r>
      <w:r w:rsidRPr="004919D7">
        <w:rPr>
          <w:rFonts w:eastAsiaTheme="minorEastAsia"/>
          <w:lang w:eastAsia="zh-CN"/>
        </w:rPr>
        <w:t xml:space="preserve"> EX (</w:t>
      </w:r>
      <w:r>
        <w:rPr>
          <w:rFonts w:eastAsiaTheme="minorEastAsia"/>
          <w:lang w:eastAsia="zh-CN"/>
        </w:rPr>
        <w:t>voir le</w:t>
      </w:r>
      <w:r w:rsidRPr="004919D7">
        <w:rPr>
          <w:rFonts w:eastAsiaTheme="minorEastAsia"/>
          <w:lang w:eastAsia="zh-CN"/>
        </w:rPr>
        <w:t xml:space="preserve"> 9.2.4.4). </w:t>
      </w:r>
      <w:r>
        <w:rPr>
          <w:rFonts w:eastAsiaTheme="minorEastAsia"/>
          <w:lang w:eastAsia="zh-CN"/>
        </w:rPr>
        <w:t>Il convient donc de n’ajouter aucun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« X »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dans les colonnes du tableau correspondant à ces véhicules</w:t>
      </w:r>
      <w:r w:rsidRPr="004919D7">
        <w:rPr>
          <w:rFonts w:eastAsiaTheme="minorEastAsia"/>
          <w:lang w:eastAsia="zh-CN"/>
        </w:rPr>
        <w:t>.</w:t>
      </w:r>
    </w:p>
    <w:p w:rsidR="00847D75" w:rsidRPr="004919D7" w:rsidRDefault="00847D75" w:rsidP="00847D75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 risque visé par le</w:t>
      </w:r>
      <w:r w:rsidRPr="004919D7">
        <w:rPr>
          <w:rFonts w:eastAsiaTheme="minorEastAsia"/>
          <w:lang w:eastAsia="zh-CN"/>
        </w:rPr>
        <w:t xml:space="preserve"> 9.2.7 </w:t>
      </w:r>
      <w:r>
        <w:rPr>
          <w:rFonts w:eastAsiaTheme="minorEastAsia"/>
          <w:lang w:eastAsia="zh-CN"/>
        </w:rPr>
        <w:t>est l’endommagement du chargement en raison d’un refroidissement dû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à une fuite de gaz naturel liquéfié (GNL) réfrigéré provoquée par un défaut du système d’injection et non une réaction particulière avec une matière donnée</w:t>
      </w:r>
      <w:r w:rsidRPr="004919D7">
        <w:rPr>
          <w:rFonts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Aussi le</w:t>
      </w:r>
      <w:r w:rsidRPr="004919D7">
        <w:rPr>
          <w:rFonts w:eastAsiaTheme="minorEastAsia"/>
          <w:lang w:eastAsia="zh-CN"/>
        </w:rPr>
        <w:t xml:space="preserve"> 9.2.7 </w:t>
      </w:r>
      <w:r>
        <w:rPr>
          <w:rFonts w:eastAsiaTheme="minorEastAsia"/>
          <w:lang w:eastAsia="zh-CN"/>
        </w:rPr>
        <w:t>est-il applicable aussi bien aux véhicules</w:t>
      </w:r>
      <w:r w:rsidRPr="004919D7">
        <w:rPr>
          <w:rFonts w:eastAsiaTheme="minorEastAsia"/>
          <w:lang w:eastAsia="zh-CN"/>
        </w:rPr>
        <w:t xml:space="preserve"> AT </w:t>
      </w:r>
      <w:r>
        <w:rPr>
          <w:rFonts w:eastAsiaTheme="minorEastAsia"/>
          <w:lang w:eastAsia="zh-CN"/>
        </w:rPr>
        <w:t xml:space="preserve">que </w:t>
      </w:r>
      <w:r w:rsidRPr="004919D7">
        <w:rPr>
          <w:rFonts w:eastAsiaTheme="minorEastAsia"/>
          <w:lang w:eastAsia="zh-CN"/>
        </w:rPr>
        <w:t xml:space="preserve">FL </w:t>
      </w:r>
      <w:r>
        <w:rPr>
          <w:rFonts w:eastAsiaTheme="minorEastAsia"/>
          <w:lang w:eastAsia="zh-CN"/>
        </w:rPr>
        <w:t>et il convient donc d’ajouter un « </w:t>
      </w:r>
      <w:r w:rsidRPr="004919D7">
        <w:rPr>
          <w:rFonts w:eastAsiaTheme="minorEastAsia"/>
          <w:lang w:eastAsia="zh-CN"/>
        </w:rPr>
        <w:t>X</w:t>
      </w:r>
      <w:r>
        <w:rPr>
          <w:rFonts w:eastAsiaTheme="minorEastAsia"/>
          <w:lang w:eastAsia="zh-CN"/>
        </w:rPr>
        <w:t> » dans les colonnes correspondantes.</w:t>
      </w:r>
    </w:p>
    <w:p w:rsidR="00847D75" w:rsidRPr="004919D7" w:rsidRDefault="00847D75" w:rsidP="00847D75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La mesure transitoire spécifiée dans la colonne « Remarques » est applicable à ces deux catégories de véhicules.</w:t>
      </w:r>
    </w:p>
    <w:p w:rsidR="00847D75" w:rsidRPr="004919D7" w:rsidRDefault="00847D75" w:rsidP="00847D75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Les limitations spécifiées concernant l’utilisation de combustibles gazeux ne s’appliquent pas aux véhicules AT</w:t>
      </w:r>
      <w:r w:rsidRPr="004919D7">
        <w:rPr>
          <w:rFonts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Il se peut que les véhicules AT</w:t>
      </w:r>
      <w:r w:rsidRPr="004919D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aient déjà été immatriculés en tant que véhicules fonctionnant au GNL avant l’entrée en vigueur de l’</w:t>
      </w:r>
      <w:r w:rsidRPr="004919D7">
        <w:rPr>
          <w:rFonts w:eastAsiaTheme="minorEastAsia"/>
          <w:lang w:eastAsia="zh-CN"/>
        </w:rPr>
        <w:t xml:space="preserve">ADR </w:t>
      </w:r>
      <w:r>
        <w:rPr>
          <w:rFonts w:eastAsiaTheme="minorEastAsia"/>
          <w:lang w:eastAsia="zh-CN"/>
        </w:rPr>
        <w:t>de 2017.</w:t>
      </w:r>
    </w:p>
    <w:p w:rsidR="00847D75" w:rsidRPr="004919D7" w:rsidRDefault="00847D75" w:rsidP="00847D75">
      <w:pPr>
        <w:pStyle w:val="SingleTxtG"/>
        <w:numPr>
          <w:ilvl w:val="0"/>
          <w:numId w:val="15"/>
        </w:numPr>
        <w:ind w:left="113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Les véhicules </w:t>
      </w:r>
      <w:r w:rsidRPr="004919D7">
        <w:rPr>
          <w:rFonts w:eastAsiaTheme="minorEastAsia"/>
          <w:lang w:eastAsia="zh-CN"/>
        </w:rPr>
        <w:t xml:space="preserve">FL </w:t>
      </w:r>
      <w:r>
        <w:rPr>
          <w:rFonts w:eastAsiaTheme="minorEastAsia"/>
          <w:lang w:eastAsia="zh-CN"/>
        </w:rPr>
        <w:t xml:space="preserve">pleinement conformes au Règlement ONU </w:t>
      </w:r>
      <w:r w:rsidR="00401A52">
        <w:rPr>
          <w:rFonts w:eastAsia="MS Mincho"/>
          <w:szCs w:val="22"/>
          <w:lang w:eastAsia="zh-CN"/>
        </w:rPr>
        <w:t>No</w:t>
      </w:r>
      <w:r>
        <w:rPr>
          <w:rFonts w:eastAsiaTheme="minorEastAsia"/>
          <w:lang w:eastAsia="zh-CN"/>
        </w:rPr>
        <w:t> </w:t>
      </w:r>
      <w:r w:rsidRPr="004919D7">
        <w:rPr>
          <w:rFonts w:eastAsiaTheme="minorEastAsia"/>
          <w:lang w:eastAsia="zh-CN"/>
        </w:rPr>
        <w:t xml:space="preserve">110 </w:t>
      </w:r>
      <w:r>
        <w:rPr>
          <w:rFonts w:eastAsiaTheme="minorEastAsia"/>
          <w:lang w:eastAsia="zh-CN"/>
        </w:rPr>
        <w:t>qui sont immatriculés avant l’entrée en vigueur de l’</w:t>
      </w:r>
      <w:r w:rsidRPr="004919D7">
        <w:rPr>
          <w:rFonts w:eastAsiaTheme="minorEastAsia"/>
          <w:lang w:eastAsia="zh-CN"/>
        </w:rPr>
        <w:t xml:space="preserve">ADR </w:t>
      </w:r>
      <w:r>
        <w:rPr>
          <w:rFonts w:eastAsiaTheme="minorEastAsia"/>
          <w:lang w:eastAsia="zh-CN"/>
        </w:rPr>
        <w:t xml:space="preserve">de </w:t>
      </w:r>
      <w:r w:rsidRPr="004919D7">
        <w:rPr>
          <w:rFonts w:eastAsiaTheme="minorEastAsia"/>
          <w:lang w:eastAsia="zh-CN"/>
        </w:rPr>
        <w:t xml:space="preserve">2017 </w:t>
      </w:r>
      <w:r>
        <w:rPr>
          <w:rFonts w:eastAsiaTheme="minorEastAsia"/>
          <w:lang w:eastAsia="zh-CN"/>
        </w:rPr>
        <w:t>ne sont visés par aucune limitation à leur utilisation.</w:t>
      </w:r>
    </w:p>
    <w:p w:rsidR="006C6E00" w:rsidRDefault="00847D75" w:rsidP="00847D75">
      <w:pPr>
        <w:pStyle w:val="SingleTxtG"/>
        <w:numPr>
          <w:ilvl w:val="0"/>
          <w:numId w:val="15"/>
        </w:numPr>
        <w:ind w:left="1134" w:firstLine="0"/>
      </w:pPr>
      <w:r>
        <w:rPr>
          <w:rFonts w:eastAsiaTheme="minorEastAsia"/>
          <w:lang w:eastAsia="zh-CN"/>
        </w:rPr>
        <w:t>Ces véhicules</w:t>
      </w:r>
      <w:r w:rsidRPr="004919D7">
        <w:rPr>
          <w:rFonts w:eastAsiaTheme="minorEastAsia"/>
          <w:lang w:eastAsia="zh-CN"/>
        </w:rPr>
        <w:t xml:space="preserve"> AT </w:t>
      </w:r>
      <w:r>
        <w:rPr>
          <w:rFonts w:eastAsiaTheme="minorEastAsia"/>
          <w:lang w:eastAsia="zh-CN"/>
        </w:rPr>
        <w:t xml:space="preserve">et </w:t>
      </w:r>
      <w:r w:rsidRPr="004919D7">
        <w:rPr>
          <w:rFonts w:eastAsiaTheme="minorEastAsia"/>
          <w:lang w:eastAsia="zh-CN"/>
        </w:rPr>
        <w:t xml:space="preserve">FL </w:t>
      </w:r>
      <w:r>
        <w:rPr>
          <w:rFonts w:eastAsiaTheme="minorEastAsia"/>
          <w:lang w:eastAsia="zh-CN"/>
        </w:rPr>
        <w:t>pouvant ne pas être conformes au 9.2.7 ou ne pas avoir été homologués au titre de cette prescription, une mesure transitoire semble appropriée</w:t>
      </w:r>
      <w:r w:rsidRPr="004919D7">
        <w:rPr>
          <w:rFonts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Étant donné que le</w:t>
      </w:r>
      <w:r w:rsidRPr="004919D7">
        <w:rPr>
          <w:rFonts w:eastAsiaTheme="minorEastAsia"/>
          <w:lang w:eastAsia="zh-CN"/>
        </w:rPr>
        <w:t xml:space="preserve"> 9.2.7 </w:t>
      </w:r>
      <w:r>
        <w:rPr>
          <w:rFonts w:eastAsiaTheme="minorEastAsia"/>
          <w:lang w:eastAsia="zh-CN"/>
        </w:rPr>
        <w:t>sera déjà</w:t>
      </w:r>
      <w:r w:rsidRPr="004919D7">
        <w:rPr>
          <w:rFonts w:eastAsiaTheme="minorEastAsia"/>
          <w:lang w:eastAsia="zh-CN"/>
        </w:rPr>
        <w:t xml:space="preserve"> applicable </w:t>
      </w:r>
      <w:r>
        <w:rPr>
          <w:rFonts w:eastAsiaTheme="minorEastAsia"/>
          <w:lang w:eastAsia="zh-CN"/>
        </w:rPr>
        <w:t xml:space="preserve">aux véhicules </w:t>
      </w:r>
      <w:r w:rsidRPr="004919D7">
        <w:rPr>
          <w:rFonts w:eastAsiaTheme="minorEastAsia"/>
          <w:lang w:eastAsia="zh-CN"/>
        </w:rPr>
        <w:t xml:space="preserve">AT </w:t>
      </w:r>
      <w:r>
        <w:rPr>
          <w:rFonts w:eastAsiaTheme="minorEastAsia"/>
          <w:lang w:eastAsia="zh-CN"/>
        </w:rPr>
        <w:t xml:space="preserve">et </w:t>
      </w:r>
      <w:r w:rsidRPr="004919D7">
        <w:rPr>
          <w:rFonts w:eastAsiaTheme="minorEastAsia"/>
          <w:lang w:eastAsia="zh-CN"/>
        </w:rPr>
        <w:t xml:space="preserve">FL </w:t>
      </w:r>
      <w:r>
        <w:rPr>
          <w:rFonts w:eastAsiaTheme="minorEastAsia"/>
          <w:lang w:eastAsia="zh-CN"/>
        </w:rPr>
        <w:t>depuis le 1</w:t>
      </w:r>
      <w:r w:rsidRPr="00035DC3">
        <w:rPr>
          <w:rFonts w:eastAsiaTheme="minorEastAsia"/>
          <w:vertAlign w:val="superscript"/>
          <w:lang w:eastAsia="zh-CN"/>
        </w:rPr>
        <w:t>er</w:t>
      </w:r>
      <w:r>
        <w:rPr>
          <w:rFonts w:eastAsiaTheme="minorEastAsia"/>
          <w:lang w:eastAsia="zh-CN"/>
        </w:rPr>
        <w:t xml:space="preserve"> juillet </w:t>
      </w:r>
      <w:r w:rsidRPr="004919D7">
        <w:rPr>
          <w:rFonts w:eastAsiaTheme="minorEastAsia"/>
          <w:lang w:eastAsia="zh-CN"/>
        </w:rPr>
        <w:t>2017</w:t>
      </w:r>
      <w:r>
        <w:rPr>
          <w:rFonts w:eastAsiaTheme="minorEastAsia"/>
          <w:lang w:eastAsia="zh-CN"/>
        </w:rPr>
        <w:t>, aucune mesure transitoire ne s’impose pour la période allant du 1</w:t>
      </w:r>
      <w:r w:rsidRPr="00035DC3">
        <w:rPr>
          <w:rFonts w:eastAsiaTheme="minorEastAsia"/>
          <w:vertAlign w:val="superscript"/>
          <w:lang w:eastAsia="zh-CN"/>
        </w:rPr>
        <w:t>er</w:t>
      </w:r>
      <w:r>
        <w:rPr>
          <w:rFonts w:eastAsiaTheme="minorEastAsia"/>
          <w:lang w:eastAsia="zh-CN"/>
        </w:rPr>
        <w:t> juillet 2017 au 1</w:t>
      </w:r>
      <w:r w:rsidRPr="00035DC3">
        <w:rPr>
          <w:rFonts w:eastAsiaTheme="minorEastAsia"/>
          <w:vertAlign w:val="superscript"/>
          <w:lang w:eastAsia="zh-CN"/>
        </w:rPr>
        <w:t>er</w:t>
      </w:r>
      <w:r>
        <w:rPr>
          <w:rFonts w:eastAsiaTheme="minorEastAsia"/>
          <w:lang w:eastAsia="zh-CN"/>
        </w:rPr>
        <w:t> juillet 2019.</w:t>
      </w:r>
    </w:p>
    <w:p w:rsidR="006C6E00" w:rsidRPr="00847D75" w:rsidRDefault="00847D75" w:rsidP="00847D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6E00" w:rsidRPr="00847D75" w:rsidSect="006C6E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7A" w:rsidRDefault="00D7267A" w:rsidP="00F95C08">
      <w:pPr>
        <w:spacing w:line="240" w:lineRule="auto"/>
      </w:pPr>
    </w:p>
  </w:endnote>
  <w:endnote w:type="continuationSeparator" w:id="0">
    <w:p w:rsidR="00D7267A" w:rsidRPr="00AC3823" w:rsidRDefault="00D7267A" w:rsidP="00AC3823">
      <w:pPr>
        <w:pStyle w:val="Pieddepage"/>
      </w:pPr>
    </w:p>
  </w:endnote>
  <w:endnote w:type="continuationNotice" w:id="1">
    <w:p w:rsidR="00D7267A" w:rsidRDefault="00D7267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0" w:rsidRPr="006C6E00" w:rsidRDefault="00B519A1" w:rsidP="006C6E00">
    <w:pPr>
      <w:pStyle w:val="Pieddepage"/>
      <w:tabs>
        <w:tab w:val="right" w:pos="9638"/>
      </w:tabs>
    </w:pPr>
    <w:r w:rsidRPr="006C6E00">
      <w:rPr>
        <w:b/>
        <w:sz w:val="18"/>
      </w:rPr>
      <w:fldChar w:fldCharType="begin"/>
    </w:r>
    <w:r w:rsidR="006C6E00" w:rsidRPr="006C6E00">
      <w:rPr>
        <w:b/>
        <w:sz w:val="18"/>
      </w:rPr>
      <w:instrText xml:space="preserve"> PAGE  \* MERGEFORMAT </w:instrText>
    </w:r>
    <w:r w:rsidRPr="006C6E00">
      <w:rPr>
        <w:b/>
        <w:sz w:val="18"/>
      </w:rPr>
      <w:fldChar w:fldCharType="separate"/>
    </w:r>
    <w:r w:rsidR="00F11000">
      <w:rPr>
        <w:b/>
        <w:noProof/>
        <w:sz w:val="18"/>
      </w:rPr>
      <w:t>2</w:t>
    </w:r>
    <w:r w:rsidRPr="006C6E00">
      <w:rPr>
        <w:b/>
        <w:sz w:val="18"/>
      </w:rPr>
      <w:fldChar w:fldCharType="end"/>
    </w:r>
    <w:r w:rsidR="006C6E00">
      <w:rPr>
        <w:b/>
        <w:sz w:val="18"/>
      </w:rPr>
      <w:tab/>
    </w:r>
    <w:r w:rsidR="006C6E00">
      <w:t>GE.16-14506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0" w:rsidRPr="006C6E00" w:rsidRDefault="006C6E00" w:rsidP="006C6E00">
    <w:pPr>
      <w:pStyle w:val="Pieddepage"/>
      <w:tabs>
        <w:tab w:val="right" w:pos="9638"/>
      </w:tabs>
      <w:rPr>
        <w:b/>
        <w:sz w:val="18"/>
      </w:rPr>
    </w:pPr>
    <w:r>
      <w:t>GE.16-14506</w:t>
    </w:r>
    <w:r>
      <w:tab/>
    </w:r>
    <w:r w:rsidR="00B519A1" w:rsidRPr="006C6E00">
      <w:rPr>
        <w:b/>
        <w:sz w:val="18"/>
      </w:rPr>
      <w:fldChar w:fldCharType="begin"/>
    </w:r>
    <w:r w:rsidRPr="006C6E00">
      <w:rPr>
        <w:b/>
        <w:sz w:val="18"/>
      </w:rPr>
      <w:instrText xml:space="preserve"> PAGE  \* MERGEFORMAT </w:instrText>
    </w:r>
    <w:r w:rsidR="00B519A1" w:rsidRPr="006C6E00">
      <w:rPr>
        <w:b/>
        <w:sz w:val="18"/>
      </w:rPr>
      <w:fldChar w:fldCharType="separate"/>
    </w:r>
    <w:r w:rsidR="00F11000">
      <w:rPr>
        <w:b/>
        <w:noProof/>
        <w:sz w:val="18"/>
      </w:rPr>
      <w:t>3</w:t>
    </w:r>
    <w:r w:rsidR="00B519A1" w:rsidRPr="006C6E00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6C6E00" w:rsidRDefault="006C6E00" w:rsidP="006C6E0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16-14506  (F)</w:t>
    </w:r>
    <w:r w:rsidR="00927F14">
      <w:rPr>
        <w:sz w:val="20"/>
      </w:rPr>
      <w:t xml:space="preserve">    230916    270916</w:t>
    </w:r>
    <w:r>
      <w:rPr>
        <w:sz w:val="20"/>
      </w:rPr>
      <w:br/>
    </w:r>
    <w:r w:rsidRPr="006C6E00">
      <w:rPr>
        <w:rFonts w:ascii="C39T30Lfz" w:hAnsi="C39T30Lfz"/>
        <w:sz w:val="56"/>
      </w:rPr>
      <w:t></w:t>
    </w:r>
    <w:r w:rsidRPr="006C6E00">
      <w:rPr>
        <w:rFonts w:ascii="C39T30Lfz" w:hAnsi="C39T30Lfz"/>
        <w:sz w:val="56"/>
      </w:rPr>
      <w:t></w:t>
    </w:r>
    <w:r w:rsidRPr="006C6E00">
      <w:rPr>
        <w:rFonts w:ascii="C39T30Lfz" w:hAnsi="C39T30Lfz"/>
        <w:sz w:val="56"/>
      </w:rPr>
      <w:t></w:t>
    </w:r>
    <w:r w:rsidRPr="006C6E00">
      <w:rPr>
        <w:rFonts w:ascii="C39T30Lfz" w:hAnsi="C39T30Lfz"/>
        <w:sz w:val="56"/>
      </w:rPr>
      <w:t></w:t>
    </w:r>
    <w:r w:rsidRPr="006C6E00">
      <w:rPr>
        <w:rFonts w:ascii="C39T30Lfz" w:hAnsi="C39T30Lfz"/>
        <w:sz w:val="56"/>
      </w:rPr>
      <w:t></w:t>
    </w:r>
    <w:r w:rsidRPr="006C6E00">
      <w:rPr>
        <w:rFonts w:ascii="C39T30Lfz" w:hAnsi="C39T30Lfz"/>
        <w:sz w:val="56"/>
      </w:rPr>
      <w:t></w:t>
    </w:r>
    <w:r w:rsidRPr="006C6E00">
      <w:rPr>
        <w:rFonts w:ascii="C39T30Lfz" w:hAnsi="C39T30Lfz"/>
        <w:sz w:val="56"/>
      </w:rPr>
      <w:t></w:t>
    </w:r>
    <w:r w:rsidRPr="006C6E00">
      <w:rPr>
        <w:rFonts w:ascii="C39T30Lfz" w:hAnsi="C39T30Lfz"/>
        <w:sz w:val="56"/>
      </w:rPr>
      <w:t></w:t>
    </w:r>
    <w:r w:rsidRPr="006C6E00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2016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6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7A" w:rsidRPr="00AC3823" w:rsidRDefault="00D7267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267A" w:rsidRPr="00AC3823" w:rsidRDefault="00D7267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267A" w:rsidRPr="00AC3823" w:rsidRDefault="00D7267A">
      <w:pPr>
        <w:spacing w:line="240" w:lineRule="auto"/>
        <w:rPr>
          <w:sz w:val="2"/>
          <w:szCs w:val="2"/>
        </w:rPr>
      </w:pPr>
    </w:p>
  </w:footnote>
  <w:footnote w:id="2">
    <w:p w:rsidR="006C6E00" w:rsidRDefault="006C6E00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color w:val="000000"/>
          <w:lang w:eastAsia="en-GB"/>
        </w:rPr>
        <w:t>Conformément au programme de travail du Comité des transports intérieurs pour la période 2016</w:t>
      </w:r>
      <w:r>
        <w:rPr>
          <w:color w:val="000000"/>
          <w:lang w:eastAsia="en-GB"/>
        </w:rPr>
        <w:noBreakHyphen/>
        <w:t>2017 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0" w:rsidRPr="006C6E00" w:rsidRDefault="006C6E00">
    <w:pPr>
      <w:pStyle w:val="En-tte"/>
    </w:pPr>
    <w:r>
      <w:t>ECE/TRANS/WP.15/2016/14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00" w:rsidRPr="006C6E00" w:rsidRDefault="006C6E00" w:rsidP="006C6E00">
    <w:pPr>
      <w:pStyle w:val="En-tte"/>
      <w:jc w:val="right"/>
    </w:pPr>
    <w:r>
      <w:t>ECE/TRANS/WP.15/2016/14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B0844"/>
    <w:multiLevelType w:val="hybridMultilevel"/>
    <w:tmpl w:val="85A22736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6DF52E3D"/>
    <w:multiLevelType w:val="hybridMultilevel"/>
    <w:tmpl w:val="A3743610"/>
    <w:lvl w:ilvl="0" w:tplc="344E0E7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5145793"/>
    <w:multiLevelType w:val="hybridMultilevel"/>
    <w:tmpl w:val="A3743610"/>
    <w:lvl w:ilvl="0" w:tplc="344E0E7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CF0DC3"/>
    <w:rsid w:val="00017F94"/>
    <w:rsid w:val="00023842"/>
    <w:rsid w:val="000334F9"/>
    <w:rsid w:val="0007796D"/>
    <w:rsid w:val="000B7790"/>
    <w:rsid w:val="00111F2F"/>
    <w:rsid w:val="001149C1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1A52"/>
    <w:rsid w:val="004205B7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F3E11"/>
    <w:rsid w:val="006C6E00"/>
    <w:rsid w:val="0071601D"/>
    <w:rsid w:val="00725CF1"/>
    <w:rsid w:val="007A62E6"/>
    <w:rsid w:val="007F20FA"/>
    <w:rsid w:val="0080684C"/>
    <w:rsid w:val="00847D75"/>
    <w:rsid w:val="00871C75"/>
    <w:rsid w:val="008776DC"/>
    <w:rsid w:val="00927F14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519A1"/>
    <w:rsid w:val="00B765F7"/>
    <w:rsid w:val="00BA0CA9"/>
    <w:rsid w:val="00C02897"/>
    <w:rsid w:val="00CF0DC3"/>
    <w:rsid w:val="00D3439C"/>
    <w:rsid w:val="00D7267A"/>
    <w:rsid w:val="00DB1831"/>
    <w:rsid w:val="00DD3BFD"/>
    <w:rsid w:val="00DF6678"/>
    <w:rsid w:val="00E85C74"/>
    <w:rsid w:val="00EA6547"/>
    <w:rsid w:val="00EF2E22"/>
    <w:rsid w:val="00F11000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C6E0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C6E00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C6E0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C6E0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ECE/TRANS/WP.15/2016/14</vt:lpstr>
    </vt:vector>
  </TitlesOfParts>
  <Company>DCM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ECE/TRANS/WP.15/2016/14</dc:title>
  <dc:subject>Final</dc:subject>
  <dc:creator>Fabienne Crelier</dc:creator>
  <cp:lastModifiedBy>Maison</cp:lastModifiedBy>
  <cp:revision>2</cp:revision>
  <cp:lastPrinted>2016-09-27T06:32:00Z</cp:lastPrinted>
  <dcterms:created xsi:type="dcterms:W3CDTF">2016-09-27T12:45:00Z</dcterms:created>
  <dcterms:modified xsi:type="dcterms:W3CDTF">2016-09-27T12:45:00Z</dcterms:modified>
</cp:coreProperties>
</file>