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479C1">
              <w:fldChar w:fldCharType="begin"/>
            </w:r>
            <w:r w:rsidR="007479C1">
              <w:instrText xml:space="preserve"> FILLIN  "Введите символ после ЕCE/"  \* MERGEFORMAT </w:instrText>
            </w:r>
            <w:r w:rsidR="007479C1">
              <w:fldChar w:fldCharType="separate"/>
            </w:r>
            <w:r w:rsidR="00491516">
              <w:t>ADN/38</w:t>
            </w:r>
            <w:r w:rsidR="007479C1">
              <w:fldChar w:fldCharType="end"/>
            </w:r>
            <w:r w:rsidR="00491516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479C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491516" w:rsidP="007B199D">
            <w:r>
              <w:rPr>
                <w:lang w:val="en-US"/>
              </w:rPr>
              <w:t>31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479C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91516" w:rsidRDefault="00491516" w:rsidP="006F3859">
      <w:pPr>
        <w:spacing w:before="120" w:line="240" w:lineRule="auto"/>
        <w:rPr>
          <w:b/>
          <w:bCs/>
        </w:rPr>
      </w:pPr>
      <w:r w:rsidRPr="00491516">
        <w:rPr>
          <w:b/>
          <w:bCs/>
        </w:rPr>
        <w:t xml:space="preserve">Административный комитет Европейского соглашения </w:t>
      </w:r>
      <w:r w:rsidRPr="00491516">
        <w:rPr>
          <w:b/>
          <w:bCs/>
        </w:rPr>
        <w:br/>
        <w:t xml:space="preserve">о международной перевозке опасных грузов </w:t>
      </w:r>
      <w:r w:rsidRPr="00491516">
        <w:rPr>
          <w:b/>
          <w:bCs/>
        </w:rPr>
        <w:br/>
        <w:t>по внутренним водным путям (ВОПОГ)</w:t>
      </w:r>
    </w:p>
    <w:p w:rsidR="00491516" w:rsidRPr="00491516" w:rsidRDefault="00491516" w:rsidP="00491516">
      <w:pPr>
        <w:spacing w:before="120" w:line="240" w:lineRule="auto"/>
        <w:rPr>
          <w:b/>
          <w:bCs/>
        </w:rPr>
      </w:pPr>
      <w:r w:rsidRPr="00491516">
        <w:rPr>
          <w:b/>
          <w:bCs/>
        </w:rPr>
        <w:t>Семнадцатая сессия</w:t>
      </w:r>
    </w:p>
    <w:p w:rsidR="00491516" w:rsidRDefault="00491516" w:rsidP="00491516">
      <w:pPr>
        <w:spacing w:line="240" w:lineRule="auto"/>
      </w:pPr>
      <w:r w:rsidRPr="00491516">
        <w:t>Женева, 26 августа 2016</w:t>
      </w:r>
      <w:r>
        <w:t xml:space="preserve"> </w:t>
      </w:r>
      <w:r w:rsidRPr="00491516">
        <w:t>года</w:t>
      </w:r>
    </w:p>
    <w:p w:rsidR="00491516" w:rsidRPr="00491516" w:rsidRDefault="00491516" w:rsidP="00491516">
      <w:pPr>
        <w:pStyle w:val="HChGR"/>
        <w:rPr>
          <w:bCs/>
          <w:vertAlign w:val="superscript"/>
        </w:rPr>
      </w:pPr>
      <w:r w:rsidRPr="00491516">
        <w:tab/>
      </w:r>
      <w:r w:rsidRPr="00491516">
        <w:tab/>
        <w:t xml:space="preserve">Доклад Административного комитета Европейского соглашения о международной перевозке опасных </w:t>
      </w:r>
      <w:r w:rsidRPr="00491516">
        <w:br/>
        <w:t xml:space="preserve">грузов по внутренним водным путям о работе </w:t>
      </w:r>
      <w:r w:rsidRPr="00491516">
        <w:br/>
        <w:t>его семнадцатой сессии</w:t>
      </w:r>
      <w:r w:rsidRPr="0049151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91516" w:rsidRDefault="00491516" w:rsidP="00491516">
      <w:pPr>
        <w:pStyle w:val="SingleTxtGR"/>
        <w:rPr>
          <w:bCs/>
          <w:lang w:val="en-US"/>
        </w:rPr>
      </w:pPr>
      <w:r w:rsidRPr="00491516">
        <w:rPr>
          <w:b/>
        </w:rPr>
        <w:br w:type="page"/>
      </w:r>
    </w:p>
    <w:p w:rsidR="004F0543" w:rsidRDefault="004F0543" w:rsidP="004F0543">
      <w:pPr>
        <w:pStyle w:val="SingleTxtGR"/>
        <w:suppressAutoHyphens/>
        <w:ind w:left="0" w:right="0"/>
        <w:jc w:val="left"/>
        <w:rPr>
          <w:bCs/>
          <w:sz w:val="28"/>
          <w:lang w:val="en-US"/>
        </w:rPr>
      </w:pPr>
      <w:r>
        <w:rPr>
          <w:bCs/>
          <w:sz w:val="28"/>
          <w:lang w:val="en-US"/>
        </w:rPr>
        <w:lastRenderedPageBreak/>
        <w:t>Содержание</w:t>
      </w:r>
    </w:p>
    <w:p w:rsidR="004F0543" w:rsidRDefault="004F0543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  <w:rPr>
          <w:bCs/>
          <w:lang w:val="en-US"/>
        </w:rPr>
      </w:pPr>
      <w:r>
        <w:rPr>
          <w:bCs/>
          <w:i/>
          <w:sz w:val="18"/>
          <w:lang w:val="en-US"/>
        </w:rPr>
        <w:tab/>
        <w:t>Пункты</w:t>
      </w:r>
      <w:r>
        <w:rPr>
          <w:bCs/>
          <w:i/>
          <w:sz w:val="18"/>
          <w:lang w:val="en-US"/>
        </w:rPr>
        <w:tab/>
        <w:t>Стр.</w:t>
      </w:r>
    </w:p>
    <w:p w:rsidR="004F0543" w:rsidRDefault="004F0543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  <w:lang w:val="en-US"/>
        </w:rPr>
        <w:tab/>
        <w:t>I</w:t>
      </w:r>
      <w:r w:rsidRPr="006E5522">
        <w:rPr>
          <w:bCs/>
        </w:rPr>
        <w:t>.</w:t>
      </w:r>
      <w:r w:rsidRPr="006E5522">
        <w:rPr>
          <w:bCs/>
        </w:rPr>
        <w:tab/>
      </w:r>
      <w:r>
        <w:rPr>
          <w:bCs/>
        </w:rPr>
        <w:t>Введение</w:t>
      </w:r>
      <w:r>
        <w:rPr>
          <w:bCs/>
        </w:rPr>
        <w:tab/>
      </w:r>
      <w:r>
        <w:rPr>
          <w:bCs/>
        </w:rPr>
        <w:tab/>
      </w:r>
      <w:r w:rsidR="006E5522">
        <w:rPr>
          <w:bCs/>
        </w:rPr>
        <w:t>1–3</w:t>
      </w:r>
      <w:r>
        <w:rPr>
          <w:bCs/>
        </w:rPr>
        <w:tab/>
      </w:r>
      <w:r w:rsidR="00F20B43">
        <w:rPr>
          <w:bCs/>
        </w:rPr>
        <w:t>3</w:t>
      </w:r>
    </w:p>
    <w:p w:rsidR="004F0543" w:rsidRPr="00A83549" w:rsidRDefault="006F3859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 w:rsidRPr="00A83549">
        <w:rPr>
          <w:bCs/>
        </w:rPr>
        <w:tab/>
        <w:t>II.</w:t>
      </w:r>
      <w:r w:rsidRPr="00A83549">
        <w:rPr>
          <w:bCs/>
        </w:rPr>
        <w:tab/>
        <w:t>Утверждение повестки дня (пункт 1 повестки дня)</w:t>
      </w:r>
      <w:r w:rsidRPr="00A83549">
        <w:rPr>
          <w:bCs/>
        </w:rPr>
        <w:tab/>
      </w:r>
      <w:r w:rsidRPr="00A83549">
        <w:rPr>
          <w:bCs/>
        </w:rPr>
        <w:tab/>
      </w:r>
      <w:r w:rsidR="006E5522">
        <w:rPr>
          <w:bCs/>
        </w:rPr>
        <w:t>4</w:t>
      </w:r>
      <w:r w:rsidRPr="00A83549">
        <w:rPr>
          <w:bCs/>
        </w:rPr>
        <w:tab/>
      </w:r>
      <w:r w:rsidR="00F20B43">
        <w:rPr>
          <w:bCs/>
        </w:rPr>
        <w:t>3</w:t>
      </w:r>
    </w:p>
    <w:p w:rsidR="006F3859" w:rsidRPr="00A83549" w:rsidRDefault="006F3859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 w:rsidRPr="00A83549">
        <w:rPr>
          <w:bCs/>
        </w:rPr>
        <w:tab/>
      </w:r>
      <w:r w:rsidR="00491516" w:rsidRPr="00A83549">
        <w:rPr>
          <w:bCs/>
        </w:rPr>
        <w:t>III.</w:t>
      </w:r>
      <w:r w:rsidR="00491516" w:rsidRPr="00A83549">
        <w:rPr>
          <w:bCs/>
        </w:rPr>
        <w:tab/>
        <w:t xml:space="preserve">Состояние Европейского соглашения о международной перевозке </w:t>
      </w:r>
      <w:r w:rsidR="00A83549">
        <w:rPr>
          <w:bCs/>
        </w:rPr>
        <w:br/>
      </w:r>
      <w:r w:rsidR="00A83549">
        <w:rPr>
          <w:bCs/>
        </w:rPr>
        <w:tab/>
      </w:r>
      <w:r w:rsidR="00A83549">
        <w:rPr>
          <w:bCs/>
        </w:rPr>
        <w:tab/>
      </w:r>
      <w:r w:rsidR="00491516" w:rsidRPr="00A83549">
        <w:rPr>
          <w:bCs/>
        </w:rPr>
        <w:t xml:space="preserve">опасных грузов по внутренним водным путям (ВОПОГ) </w:t>
      </w:r>
      <w:r w:rsidR="00A83549">
        <w:rPr>
          <w:bCs/>
        </w:rPr>
        <w:br/>
      </w:r>
      <w:r w:rsidR="00A83549">
        <w:rPr>
          <w:bCs/>
        </w:rPr>
        <w:tab/>
      </w:r>
      <w:r w:rsidR="00A83549">
        <w:rPr>
          <w:bCs/>
        </w:rPr>
        <w:tab/>
      </w:r>
      <w:r w:rsidR="00491516" w:rsidRPr="00A83549">
        <w:rPr>
          <w:bCs/>
        </w:rPr>
        <w:t>(пункт 2 повестки дня)</w:t>
      </w:r>
      <w:r w:rsidR="00A83549">
        <w:rPr>
          <w:bCs/>
        </w:rPr>
        <w:tab/>
      </w:r>
      <w:r w:rsidR="00A83549">
        <w:rPr>
          <w:bCs/>
        </w:rPr>
        <w:tab/>
      </w:r>
      <w:r w:rsidR="006E5522">
        <w:rPr>
          <w:bCs/>
        </w:rPr>
        <w:t>5</w:t>
      </w:r>
      <w:r w:rsidR="00A83549">
        <w:rPr>
          <w:bCs/>
        </w:rPr>
        <w:tab/>
      </w:r>
      <w:r w:rsidR="00F20B43">
        <w:rPr>
          <w:bCs/>
        </w:rPr>
        <w:t>3</w:t>
      </w:r>
    </w:p>
    <w:p w:rsidR="006F3859" w:rsidRDefault="00A83549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 w:rsidR="00491516" w:rsidRPr="00A83549">
        <w:rPr>
          <w:bCs/>
        </w:rPr>
        <w:t>IV.</w:t>
      </w:r>
      <w:r w:rsidR="00491516" w:rsidRPr="00A83549">
        <w:rPr>
          <w:bCs/>
        </w:rPr>
        <w:tab/>
        <w:t xml:space="preserve">Вопросы, относящиеся к осуществлению ВОПОГ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491516" w:rsidRPr="00A83549">
        <w:rPr>
          <w:bCs/>
        </w:rPr>
        <w:t>(пункт 3 повестки дня)</w:t>
      </w:r>
      <w:r>
        <w:rPr>
          <w:bCs/>
        </w:rPr>
        <w:tab/>
      </w:r>
      <w:r>
        <w:rPr>
          <w:bCs/>
        </w:rPr>
        <w:tab/>
      </w:r>
      <w:r w:rsidR="006E5522">
        <w:rPr>
          <w:bCs/>
        </w:rPr>
        <w:t>7–10</w:t>
      </w:r>
      <w:r>
        <w:rPr>
          <w:bCs/>
        </w:rPr>
        <w:tab/>
      </w:r>
      <w:r w:rsidR="00F20B43">
        <w:rPr>
          <w:bCs/>
        </w:rPr>
        <w:t>3</w:t>
      </w:r>
    </w:p>
    <w:p w:rsidR="006F3859" w:rsidRPr="00A83549" w:rsidRDefault="00A83549" w:rsidP="004F054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F3859" w:rsidRPr="00A83549">
        <w:rPr>
          <w:bCs/>
        </w:rPr>
        <w:t>А.</w:t>
      </w:r>
      <w:r w:rsidR="006F3859" w:rsidRPr="00A83549">
        <w:rPr>
          <w:bCs/>
        </w:rPr>
        <w:tab/>
        <w:t>Классификационные общества</w:t>
      </w:r>
      <w:r>
        <w:rPr>
          <w:bCs/>
        </w:rPr>
        <w:tab/>
      </w:r>
      <w:r>
        <w:rPr>
          <w:bCs/>
        </w:rPr>
        <w:tab/>
      </w:r>
      <w:r w:rsidR="006E5522">
        <w:rPr>
          <w:bCs/>
        </w:rPr>
        <w:t>7</w:t>
      </w:r>
      <w:r>
        <w:rPr>
          <w:bCs/>
        </w:rPr>
        <w:tab/>
      </w:r>
      <w:r w:rsidR="00F20B43">
        <w:rPr>
          <w:bCs/>
        </w:rPr>
        <w:t>3</w:t>
      </w:r>
    </w:p>
    <w:p w:rsidR="00491516" w:rsidRPr="00A83549" w:rsidRDefault="00A83549" w:rsidP="00A8354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91516" w:rsidRPr="00A83549">
        <w:rPr>
          <w:bCs/>
        </w:rPr>
        <w:t>B.</w:t>
      </w:r>
      <w:r w:rsidR="00491516" w:rsidRPr="00A83549">
        <w:rPr>
          <w:bCs/>
        </w:rPr>
        <w:tab/>
        <w:t>Специальные разрешения, отступления и эквивалентные</w:t>
      </w:r>
      <w:r w:rsidR="00F20B43">
        <w:rPr>
          <w:bCs/>
        </w:rPr>
        <w:br/>
      </w:r>
      <w:r w:rsidR="00F20B43">
        <w:rPr>
          <w:bCs/>
        </w:rPr>
        <w:tab/>
      </w:r>
      <w:r w:rsidR="00F20B43">
        <w:rPr>
          <w:bCs/>
        </w:rPr>
        <w:tab/>
      </w:r>
      <w:r w:rsidR="00F20B43">
        <w:rPr>
          <w:bCs/>
        </w:rPr>
        <w:tab/>
      </w:r>
      <w:r w:rsidR="00491516" w:rsidRPr="00A83549">
        <w:rPr>
          <w:bCs/>
        </w:rPr>
        <w:t>аналоги</w:t>
      </w:r>
      <w:r>
        <w:rPr>
          <w:bCs/>
        </w:rPr>
        <w:tab/>
      </w:r>
      <w:r>
        <w:rPr>
          <w:bCs/>
        </w:rPr>
        <w:tab/>
      </w:r>
      <w:r w:rsidR="006E5522">
        <w:rPr>
          <w:bCs/>
        </w:rPr>
        <w:t>8–9</w:t>
      </w:r>
      <w:r>
        <w:rPr>
          <w:bCs/>
        </w:rPr>
        <w:tab/>
      </w:r>
      <w:r w:rsidR="00F20B43">
        <w:rPr>
          <w:bCs/>
        </w:rPr>
        <w:t>4</w:t>
      </w:r>
    </w:p>
    <w:p w:rsidR="006F3859" w:rsidRPr="00A83549" w:rsidRDefault="006F3859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 w:rsidRPr="006F3859">
        <w:rPr>
          <w:bCs/>
        </w:rPr>
        <w:tab/>
      </w:r>
      <w:r w:rsidR="00A83549">
        <w:rPr>
          <w:bCs/>
        </w:rPr>
        <w:tab/>
      </w:r>
      <w:r w:rsidR="00A83549">
        <w:rPr>
          <w:bCs/>
        </w:rPr>
        <w:tab/>
      </w:r>
      <w:r w:rsidRPr="006F3859">
        <w:rPr>
          <w:bCs/>
        </w:rPr>
        <w:t>1.</w:t>
      </w:r>
      <w:r w:rsidRPr="006F3859">
        <w:rPr>
          <w:bCs/>
        </w:rPr>
        <w:tab/>
      </w:r>
      <w:r w:rsidR="00491516" w:rsidRPr="00A83549">
        <w:rPr>
          <w:bCs/>
        </w:rPr>
        <w:t>Временное отступление для судна-толкача «Donau»</w:t>
      </w:r>
      <w:r w:rsidR="00C27A60">
        <w:rPr>
          <w:bCs/>
        </w:rPr>
        <w:tab/>
      </w:r>
      <w:r w:rsidR="00C27A60">
        <w:rPr>
          <w:bCs/>
        </w:rPr>
        <w:tab/>
        <w:t>8</w:t>
      </w:r>
      <w:r w:rsidR="00C27A60">
        <w:rPr>
          <w:bCs/>
        </w:rPr>
        <w:tab/>
      </w:r>
      <w:r w:rsidR="00F20B43">
        <w:rPr>
          <w:bCs/>
        </w:rPr>
        <w:t>4</w:t>
      </w:r>
    </w:p>
    <w:p w:rsidR="006F3859" w:rsidRPr="00A83549" w:rsidRDefault="00A83549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 w:rsidRPr="00A8354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3549">
        <w:rPr>
          <w:bCs/>
        </w:rPr>
        <w:t>2.</w:t>
      </w:r>
      <w:r w:rsidRPr="00A83549">
        <w:rPr>
          <w:bCs/>
        </w:rPr>
        <w:tab/>
        <w:t xml:space="preserve">Специальное разрешение на перевозку танкерами </w:t>
      </w:r>
      <w:r w:rsidR="006E5522">
        <w:rPr>
          <w:bCs/>
        </w:rPr>
        <w:br/>
      </w:r>
      <w:r w:rsidR="006E5522">
        <w:rPr>
          <w:bCs/>
        </w:rPr>
        <w:tab/>
      </w:r>
      <w:r w:rsidR="006E5522">
        <w:rPr>
          <w:bCs/>
        </w:rPr>
        <w:tab/>
      </w:r>
      <w:r w:rsidR="006E5522">
        <w:rPr>
          <w:bCs/>
        </w:rPr>
        <w:tab/>
      </w:r>
      <w:r w:rsidR="006E5522">
        <w:rPr>
          <w:bCs/>
        </w:rPr>
        <w:tab/>
      </w:r>
      <w:r w:rsidRPr="00A83549">
        <w:rPr>
          <w:bCs/>
        </w:rPr>
        <w:t xml:space="preserve">№ ООН 1148 спирта диацетонового из Бельгии </w:t>
      </w:r>
      <w:r w:rsidR="006E5522">
        <w:rPr>
          <w:bCs/>
        </w:rPr>
        <w:br/>
      </w:r>
      <w:r w:rsidR="006E5522">
        <w:rPr>
          <w:bCs/>
        </w:rPr>
        <w:tab/>
      </w:r>
      <w:r w:rsidR="006E5522">
        <w:rPr>
          <w:bCs/>
        </w:rPr>
        <w:tab/>
      </w:r>
      <w:r w:rsidR="006E5522">
        <w:rPr>
          <w:bCs/>
        </w:rPr>
        <w:tab/>
      </w:r>
      <w:r w:rsidR="006E5522">
        <w:rPr>
          <w:bCs/>
        </w:rPr>
        <w:tab/>
      </w:r>
      <w:r w:rsidRPr="00A83549">
        <w:rPr>
          <w:bCs/>
        </w:rPr>
        <w:t>в Нидерланды</w:t>
      </w:r>
      <w:r w:rsidR="006E5522">
        <w:rPr>
          <w:bCs/>
        </w:rPr>
        <w:tab/>
      </w:r>
      <w:r w:rsidR="006E5522">
        <w:rPr>
          <w:bCs/>
        </w:rPr>
        <w:tab/>
      </w:r>
      <w:r w:rsidR="00C27A60">
        <w:rPr>
          <w:bCs/>
        </w:rPr>
        <w:t>9</w:t>
      </w:r>
      <w:r w:rsidR="006E5522">
        <w:rPr>
          <w:bCs/>
        </w:rPr>
        <w:tab/>
      </w:r>
      <w:r w:rsidR="00F20B43">
        <w:rPr>
          <w:bCs/>
        </w:rPr>
        <w:t>4</w:t>
      </w:r>
    </w:p>
    <w:p w:rsidR="00A83549" w:rsidRPr="00A83549" w:rsidRDefault="006E5522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3549" w:rsidRPr="00A83549">
        <w:rPr>
          <w:bCs/>
        </w:rPr>
        <w:t>C.</w:t>
      </w:r>
      <w:r w:rsidR="00A83549" w:rsidRPr="00A83549">
        <w:rPr>
          <w:bCs/>
        </w:rPr>
        <w:tab/>
        <w:t>Различные уведомления</w:t>
      </w:r>
      <w:r>
        <w:rPr>
          <w:bCs/>
        </w:rPr>
        <w:tab/>
      </w:r>
      <w:r>
        <w:rPr>
          <w:bCs/>
        </w:rPr>
        <w:tab/>
      </w:r>
      <w:r w:rsidR="00C27A60">
        <w:rPr>
          <w:bCs/>
        </w:rPr>
        <w:t>10</w:t>
      </w:r>
      <w:r>
        <w:rPr>
          <w:bCs/>
        </w:rPr>
        <w:tab/>
      </w:r>
      <w:r w:rsidR="00F20B43">
        <w:rPr>
          <w:bCs/>
        </w:rPr>
        <w:t>4</w:t>
      </w:r>
    </w:p>
    <w:p w:rsidR="00A83549" w:rsidRPr="00A83549" w:rsidRDefault="006E5522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 w:rsidR="00A83549" w:rsidRPr="00A83549">
        <w:rPr>
          <w:bCs/>
        </w:rPr>
        <w:t>V.</w:t>
      </w:r>
      <w:r w:rsidR="00A83549" w:rsidRPr="00A83549">
        <w:rPr>
          <w:bCs/>
        </w:rPr>
        <w:tab/>
        <w:t>Работа Комитета по вопросам безопасности (пункт 4 повестки дня)</w:t>
      </w:r>
      <w:r>
        <w:rPr>
          <w:bCs/>
        </w:rPr>
        <w:tab/>
      </w:r>
      <w:r>
        <w:rPr>
          <w:bCs/>
        </w:rPr>
        <w:tab/>
      </w:r>
      <w:r w:rsidR="00C27A60">
        <w:rPr>
          <w:bCs/>
        </w:rPr>
        <w:t>11–12</w:t>
      </w:r>
      <w:r>
        <w:rPr>
          <w:bCs/>
        </w:rPr>
        <w:tab/>
      </w:r>
      <w:r w:rsidR="00F20B43">
        <w:rPr>
          <w:bCs/>
        </w:rPr>
        <w:t>4</w:t>
      </w:r>
    </w:p>
    <w:p w:rsidR="00A83549" w:rsidRPr="00A83549" w:rsidRDefault="006E5522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 w:rsidR="00A83549" w:rsidRPr="00A83549">
        <w:rPr>
          <w:bCs/>
        </w:rPr>
        <w:t>VI.</w:t>
      </w:r>
      <w:r w:rsidR="00A83549" w:rsidRPr="00A83549">
        <w:rPr>
          <w:bCs/>
        </w:rPr>
        <w:tab/>
        <w:t>Программа работы и расписание совещаний (пункт 5 повестки дня)</w:t>
      </w:r>
      <w:r>
        <w:rPr>
          <w:bCs/>
        </w:rPr>
        <w:tab/>
      </w:r>
      <w:r>
        <w:rPr>
          <w:bCs/>
        </w:rPr>
        <w:tab/>
      </w:r>
      <w:r w:rsidR="00C27A60">
        <w:rPr>
          <w:bCs/>
        </w:rPr>
        <w:t>13</w:t>
      </w:r>
      <w:r>
        <w:rPr>
          <w:bCs/>
        </w:rPr>
        <w:tab/>
      </w:r>
      <w:r w:rsidR="00F20B43">
        <w:rPr>
          <w:bCs/>
        </w:rPr>
        <w:t>5</w:t>
      </w:r>
    </w:p>
    <w:p w:rsidR="00A83549" w:rsidRPr="006E5522" w:rsidRDefault="006E5522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 w:rsidR="00A83549" w:rsidRPr="00A83549">
        <w:rPr>
          <w:bCs/>
        </w:rPr>
        <w:t>VII.</w:t>
      </w:r>
      <w:r w:rsidR="00A83549" w:rsidRPr="00A83549">
        <w:rPr>
          <w:bCs/>
        </w:rPr>
        <w:tab/>
        <w:t>Прочие вопросы (пункт 6 повестки дня)</w:t>
      </w:r>
      <w:r>
        <w:rPr>
          <w:bCs/>
        </w:rPr>
        <w:tab/>
      </w:r>
      <w:r>
        <w:rPr>
          <w:bCs/>
        </w:rPr>
        <w:tab/>
      </w:r>
      <w:r w:rsidR="00C27A60">
        <w:rPr>
          <w:bCs/>
        </w:rPr>
        <w:t>14</w:t>
      </w:r>
      <w:r>
        <w:rPr>
          <w:bCs/>
        </w:rPr>
        <w:tab/>
      </w:r>
      <w:r w:rsidR="00F20B43">
        <w:rPr>
          <w:bCs/>
        </w:rPr>
        <w:t>5</w:t>
      </w:r>
    </w:p>
    <w:p w:rsidR="00A83549" w:rsidRDefault="006E5522" w:rsidP="006F385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 w:rsidRPr="006E5522">
        <w:rPr>
          <w:bCs/>
        </w:rPr>
        <w:tab/>
      </w:r>
      <w:r w:rsidR="00A83549" w:rsidRPr="006E5522">
        <w:rPr>
          <w:bCs/>
        </w:rPr>
        <w:t>VIII.</w:t>
      </w:r>
      <w:r w:rsidR="00A83549" w:rsidRPr="006E5522">
        <w:rPr>
          <w:bCs/>
        </w:rPr>
        <w:tab/>
        <w:t>Утверждение доклада (пункт 7 повестки дня)</w:t>
      </w:r>
      <w:r>
        <w:rPr>
          <w:bCs/>
        </w:rPr>
        <w:tab/>
      </w:r>
      <w:r>
        <w:rPr>
          <w:bCs/>
        </w:rPr>
        <w:tab/>
      </w:r>
      <w:r w:rsidR="00C27A60">
        <w:rPr>
          <w:bCs/>
        </w:rPr>
        <w:t>15</w:t>
      </w:r>
      <w:r>
        <w:rPr>
          <w:bCs/>
        </w:rPr>
        <w:tab/>
      </w:r>
      <w:r w:rsidR="00F20B43">
        <w:rPr>
          <w:bCs/>
        </w:rPr>
        <w:t>5</w:t>
      </w:r>
    </w:p>
    <w:p w:rsidR="006E5522" w:rsidRDefault="006E5522" w:rsidP="006E55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  <w:t>Приложение</w:t>
      </w:r>
    </w:p>
    <w:p w:rsidR="006E5522" w:rsidRPr="004F0543" w:rsidRDefault="006E5522" w:rsidP="00C27A6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89"/>
          <w:tab w:val="right" w:pos="8929"/>
          <w:tab w:val="right" w:pos="9638"/>
        </w:tabs>
        <w:suppressAutoHyphens/>
        <w:ind w:left="0" w:right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91516" w:rsidRPr="006E5522">
        <w:rPr>
          <w:bCs/>
        </w:rPr>
        <w:t>Решение Административного комитета ВОПОГ в</w:t>
      </w:r>
      <w:r w:rsidRPr="006E5522">
        <w:rPr>
          <w:bCs/>
        </w:rPr>
        <w:t> </w:t>
      </w:r>
      <w:r w:rsidR="00491516" w:rsidRPr="006E5522">
        <w:rPr>
          <w:bCs/>
        </w:rPr>
        <w:t xml:space="preserve">отношении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491516" w:rsidRPr="006E5522">
        <w:rPr>
          <w:bCs/>
        </w:rPr>
        <w:t xml:space="preserve">использования системы пожаротушения, генерирующей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491516" w:rsidRPr="006E5522">
        <w:rPr>
          <w:bCs/>
        </w:rPr>
        <w:t>сухой аэрозоль (Fire Pro),</w:t>
      </w:r>
      <w:r>
        <w:rPr>
          <w:bCs/>
        </w:rPr>
        <w:t xml:space="preserve"> </w:t>
      </w:r>
      <w:r w:rsidR="00491516" w:rsidRPr="006E5522">
        <w:rPr>
          <w:bCs/>
        </w:rPr>
        <w:t>на судне-толкаче «DONAU» (06105358)</w:t>
      </w:r>
      <w:r>
        <w:rPr>
          <w:bCs/>
        </w:rPr>
        <w:tab/>
      </w:r>
      <w:r w:rsidR="009B6121">
        <w:rPr>
          <w:bCs/>
        </w:rPr>
        <w:tab/>
      </w:r>
      <w:r w:rsidR="00C27A60">
        <w:rPr>
          <w:bCs/>
        </w:rPr>
        <w:tab/>
      </w:r>
      <w:r w:rsidR="00F20B43">
        <w:rPr>
          <w:bCs/>
        </w:rPr>
        <w:t>6</w:t>
      </w:r>
    </w:p>
    <w:p w:rsidR="00491516" w:rsidRDefault="00491516" w:rsidP="004F0543">
      <w:pPr>
        <w:pStyle w:val="HChGR"/>
      </w:pPr>
      <w:r w:rsidRPr="00491516">
        <w:br w:type="page"/>
      </w:r>
      <w:r w:rsidRPr="00491516">
        <w:lastRenderedPageBreak/>
        <w:tab/>
        <w:t>I.</w:t>
      </w:r>
      <w:r w:rsidRPr="00491516">
        <w:tab/>
        <w:t>Участники</w:t>
      </w:r>
    </w:p>
    <w:p w:rsidR="00491516" w:rsidRPr="00491516" w:rsidRDefault="00491516" w:rsidP="00491516">
      <w:pPr>
        <w:pStyle w:val="SingleTxtGR"/>
        <w:rPr>
          <w:bCs/>
        </w:rPr>
      </w:pPr>
      <w:r w:rsidRPr="00491516">
        <w:rPr>
          <w:bCs/>
        </w:rPr>
        <w:t>1.</w:t>
      </w:r>
      <w:r w:rsidRPr="00491516">
        <w:rPr>
          <w:bCs/>
        </w:rP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семнадцатую сессию в Женеве 26 августа 2016</w:t>
      </w:r>
      <w:r>
        <w:rPr>
          <w:bCs/>
        </w:rPr>
        <w:t xml:space="preserve"> </w:t>
      </w:r>
      <w:r w:rsidRPr="00491516">
        <w:rPr>
          <w:bCs/>
        </w:rPr>
        <w:t>года</w:t>
      </w:r>
      <w:r w:rsidRPr="00491516">
        <w:t xml:space="preserve"> под руководством Председателя г-на Х. Райна (Германия) и заместителя Председателя г-на Б. Биркльхубера (Австрия).</w:t>
      </w:r>
      <w:r w:rsidRPr="00491516">
        <w:rPr>
          <w:bCs/>
        </w:rPr>
        <w:t xml:space="preserve"> В работе сессии приняли участие представители следующих Договаривающихся сторон: Австрии, Бельгии, Болгарии, Германии, Люксембурга, Нидерландов, Российской Федерации, Румынии, Сербии, Украины, Франции, Хорватии и Швейцарии.</w:t>
      </w:r>
    </w:p>
    <w:p w:rsidR="00491516" w:rsidRPr="00491516" w:rsidRDefault="00491516" w:rsidP="00491516">
      <w:pPr>
        <w:pStyle w:val="SingleTxtGR"/>
        <w:rPr>
          <w:bCs/>
        </w:rPr>
      </w:pPr>
      <w:r w:rsidRPr="00491516">
        <w:rPr>
          <w:bCs/>
        </w:rPr>
        <w:t>2.</w:t>
      </w:r>
      <w:r w:rsidRPr="00491516">
        <w:rPr>
          <w:bCs/>
        </w:rPr>
        <w:tab/>
        <w:t>Административный комитет отметил, что необходимый для принятия решений кворум, составляющий половину Договаривающихся сторон, достигнут.</w:t>
      </w:r>
    </w:p>
    <w:p w:rsidR="00491516" w:rsidRDefault="00491516" w:rsidP="00491516">
      <w:pPr>
        <w:pStyle w:val="SingleTxtGR"/>
        <w:rPr>
          <w:bCs/>
        </w:rPr>
      </w:pPr>
      <w:r w:rsidRPr="00491516">
        <w:rPr>
          <w:bCs/>
        </w:rPr>
        <w:t>3.</w:t>
      </w:r>
      <w:r w:rsidRPr="00491516">
        <w:rPr>
          <w:bCs/>
        </w:rPr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:rsidR="00491516" w:rsidRDefault="00491516" w:rsidP="004F0543">
      <w:pPr>
        <w:pStyle w:val="HChGR"/>
      </w:pPr>
      <w:r w:rsidRPr="00491516">
        <w:tab/>
        <w:t>II.</w:t>
      </w:r>
      <w:r w:rsidRPr="00491516">
        <w:tab/>
        <w:t>Утверждение повестки дня (пункт 1 повестки дня)</w:t>
      </w:r>
    </w:p>
    <w:p w:rsidR="00491516" w:rsidRPr="00491516" w:rsidRDefault="00491516" w:rsidP="00491516">
      <w:pPr>
        <w:pStyle w:val="SingleTxtGR"/>
        <w:rPr>
          <w:bCs/>
        </w:rPr>
      </w:pPr>
      <w:r w:rsidRPr="00491516">
        <w:rPr>
          <w:bCs/>
          <w:i/>
          <w:iCs/>
        </w:rPr>
        <w:t>Документ</w:t>
      </w:r>
      <w:r w:rsidR="0019783A">
        <w:rPr>
          <w:bCs/>
          <w:i/>
          <w:iCs/>
        </w:rPr>
        <w:t>ы</w:t>
      </w:r>
      <w:r w:rsidRPr="00491516">
        <w:rPr>
          <w:bCs/>
          <w:i/>
          <w:iCs/>
        </w:rPr>
        <w:t>:</w:t>
      </w:r>
      <w:r w:rsidRPr="00491516">
        <w:rPr>
          <w:bCs/>
        </w:rPr>
        <w:tab/>
        <w:t>ECE/ADN/37 и Add.1</w:t>
      </w:r>
    </w:p>
    <w:p w:rsidR="00491516" w:rsidRDefault="00491516" w:rsidP="00491516">
      <w:pPr>
        <w:pStyle w:val="SingleTxtGR"/>
        <w:rPr>
          <w:bCs/>
        </w:rPr>
      </w:pPr>
      <w:r w:rsidRPr="00491516">
        <w:rPr>
          <w:bCs/>
        </w:rPr>
        <w:t>4.</w:t>
      </w:r>
      <w:r w:rsidRPr="00491516">
        <w:rPr>
          <w:bCs/>
        </w:rPr>
        <w:tab/>
        <w:t>Административный комитет утвердил повестку дня, подготовленную секретариатом.</w:t>
      </w:r>
    </w:p>
    <w:p w:rsidR="00491516" w:rsidRDefault="00491516" w:rsidP="004F0543">
      <w:pPr>
        <w:pStyle w:val="HChGR"/>
      </w:pPr>
      <w:r w:rsidRPr="00491516">
        <w:tab/>
        <w:t>III.</w:t>
      </w:r>
      <w:r w:rsidRPr="00491516">
        <w:tab/>
        <w:t>Состояние Европейского соглашения о</w:t>
      </w:r>
      <w:r w:rsidR="00692D1B">
        <w:t> </w:t>
      </w:r>
      <w:r w:rsidRPr="00491516">
        <w:t>международной пере</w:t>
      </w:r>
      <w:r w:rsidR="00692D1B">
        <w:t>возке опасных грузов по </w:t>
      </w:r>
      <w:r w:rsidRPr="00491516">
        <w:t>внутренним водным путям</w:t>
      </w:r>
      <w:r>
        <w:t xml:space="preserve"> </w:t>
      </w:r>
      <w:r w:rsidRPr="00491516">
        <w:t xml:space="preserve">(ВОПОГ) </w:t>
      </w:r>
      <w:r w:rsidR="00692D1B">
        <w:br/>
      </w:r>
      <w:r w:rsidRPr="00491516">
        <w:t>(пункт 2 повестки дня)</w:t>
      </w:r>
    </w:p>
    <w:p w:rsidR="00491516" w:rsidRDefault="00491516" w:rsidP="00491516">
      <w:pPr>
        <w:pStyle w:val="SingleTxtGR"/>
        <w:rPr>
          <w:bCs/>
        </w:rPr>
      </w:pPr>
      <w:r w:rsidRPr="00491516">
        <w:rPr>
          <w:bCs/>
        </w:rPr>
        <w:t>5.</w:t>
      </w:r>
      <w:r w:rsidRPr="00491516">
        <w:rPr>
          <w:bCs/>
        </w:rP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491516" w:rsidRDefault="00491516" w:rsidP="004F0543">
      <w:pPr>
        <w:pStyle w:val="HChGR"/>
      </w:pPr>
      <w:r w:rsidRPr="00491516">
        <w:tab/>
        <w:t>IV.</w:t>
      </w:r>
      <w:r w:rsidRPr="00491516">
        <w:tab/>
        <w:t xml:space="preserve">Вопросы, относящиеся к осуществлению ВОПОГ </w:t>
      </w:r>
      <w:r w:rsidRPr="00491516">
        <w:br/>
        <w:t>(пункт 3 повестки дня)</w:t>
      </w:r>
    </w:p>
    <w:p w:rsidR="00491516" w:rsidRDefault="00491516" w:rsidP="004F0543">
      <w:pPr>
        <w:pStyle w:val="H1GR"/>
      </w:pPr>
      <w:r w:rsidRPr="00491516">
        <w:tab/>
        <w:t>А.</w:t>
      </w:r>
      <w:r w:rsidRPr="00491516">
        <w:tab/>
        <w:t>Классификационные общества</w:t>
      </w:r>
    </w:p>
    <w:p w:rsidR="00491516" w:rsidRDefault="00491516" w:rsidP="00491516">
      <w:pPr>
        <w:pStyle w:val="SingleTxtGR"/>
      </w:pPr>
      <w:r w:rsidRPr="00491516">
        <w:t>6.</w:t>
      </w:r>
      <w:r w:rsidRPr="00491516">
        <w:tab/>
      </w:r>
      <w:r w:rsidRPr="00491516">
        <w:rPr>
          <w:bCs/>
        </w:rPr>
        <w:t xml:space="preserve">Административный комитет отметил, что </w:t>
      </w:r>
      <w:r w:rsidRPr="00491516">
        <w:t xml:space="preserve">Бюро «Веритас» и Регистр Ллойда передали Комитету по вопросам безопасности информацию о своей </w:t>
      </w:r>
      <w:r w:rsidR="00692D1B">
        <w:br/>
      </w:r>
      <w:r w:rsidRPr="00491516">
        <w:t xml:space="preserve">аккредитации в соответствии со стандартом ISO 17020:2012 (см. </w:t>
      </w:r>
      <w:r w:rsidRPr="00491516">
        <w:rPr>
          <w:lang w:val="en-US"/>
        </w:rPr>
        <w:t>ECE</w:t>
      </w:r>
      <w:r w:rsidRPr="00491516">
        <w:t>/</w:t>
      </w:r>
      <w:r w:rsidRPr="00491516">
        <w:rPr>
          <w:lang w:val="en-US"/>
        </w:rPr>
        <w:t>TRANS</w:t>
      </w:r>
      <w:r w:rsidRPr="00491516">
        <w:t>/</w:t>
      </w:r>
      <w:r w:rsidR="00692D1B">
        <w:br/>
      </w:r>
      <w:r w:rsidRPr="00491516">
        <w:rPr>
          <w:lang w:val="en-US"/>
        </w:rPr>
        <w:t>WP</w:t>
      </w:r>
      <w:r w:rsidRPr="00491516">
        <w:t>.15/</w:t>
      </w:r>
      <w:r w:rsidRPr="00491516">
        <w:rPr>
          <w:lang w:val="en-US"/>
        </w:rPr>
        <w:t>AC</w:t>
      </w:r>
      <w:r w:rsidRPr="00491516">
        <w:t xml:space="preserve">.2, пункты 21 и 22). </w:t>
      </w:r>
    </w:p>
    <w:p w:rsidR="00491516" w:rsidRDefault="00491516" w:rsidP="004F0543">
      <w:pPr>
        <w:pStyle w:val="H1GR"/>
      </w:pPr>
      <w:r w:rsidRPr="00491516">
        <w:lastRenderedPageBreak/>
        <w:tab/>
        <w:t>B.</w:t>
      </w:r>
      <w:r w:rsidRPr="00491516">
        <w:tab/>
        <w:t>Специальные разрешения, отступления и эквивалентные аналоги</w:t>
      </w:r>
    </w:p>
    <w:p w:rsidR="00491516" w:rsidRDefault="004F0543" w:rsidP="004F0543">
      <w:pPr>
        <w:pStyle w:val="H23GR"/>
      </w:pPr>
      <w:r>
        <w:tab/>
        <w:t>1.</w:t>
      </w:r>
      <w:r>
        <w:tab/>
      </w:r>
      <w:r w:rsidR="00491516" w:rsidRPr="00491516">
        <w:t>Временное отступление для судна-толкача «</w:t>
      </w:r>
      <w:r w:rsidR="00491516" w:rsidRPr="00491516">
        <w:rPr>
          <w:lang w:val="en-US"/>
        </w:rPr>
        <w:t>Donau</w:t>
      </w:r>
      <w:r w:rsidR="00491516" w:rsidRPr="00491516">
        <w:t>»</w:t>
      </w:r>
    </w:p>
    <w:p w:rsidR="00491516" w:rsidRDefault="00491516" w:rsidP="00491516">
      <w:pPr>
        <w:pStyle w:val="SingleTxtGR"/>
      </w:pPr>
      <w:r w:rsidRPr="00491516">
        <w:rPr>
          <w:i/>
        </w:rPr>
        <w:t>Документ:</w:t>
      </w:r>
      <w:r w:rsidRPr="00491516">
        <w:tab/>
      </w:r>
      <w:r w:rsidR="000F727D">
        <w:tab/>
      </w:r>
      <w:r w:rsidRPr="00491516">
        <w:rPr>
          <w:lang w:val="en-US"/>
        </w:rPr>
        <w:t>ECE</w:t>
      </w:r>
      <w:r w:rsidRPr="00491516">
        <w:t>/</w:t>
      </w:r>
      <w:r w:rsidRPr="00491516">
        <w:rPr>
          <w:lang w:val="en-US"/>
        </w:rPr>
        <w:t>TRANS</w:t>
      </w:r>
      <w:r w:rsidRPr="00491516">
        <w:t>/</w:t>
      </w:r>
      <w:r w:rsidRPr="00491516">
        <w:rPr>
          <w:lang w:val="en-US"/>
        </w:rPr>
        <w:t>WP</w:t>
      </w:r>
      <w:r w:rsidRPr="00491516">
        <w:t>.15/</w:t>
      </w:r>
      <w:r w:rsidRPr="00491516">
        <w:rPr>
          <w:lang w:val="en-US"/>
        </w:rPr>
        <w:t>AC</w:t>
      </w:r>
      <w:r w:rsidRPr="00491516">
        <w:t>.2/2016/48 (Бельгия)</w:t>
      </w:r>
    </w:p>
    <w:p w:rsidR="00491516" w:rsidRPr="00491516" w:rsidRDefault="00491516" w:rsidP="00491516">
      <w:pPr>
        <w:pStyle w:val="SingleTxtGR"/>
      </w:pPr>
      <w:r w:rsidRPr="00491516">
        <w:rPr>
          <w:lang w:bidi="ru-RU"/>
        </w:rPr>
        <w:t>7.</w:t>
      </w:r>
      <w:r w:rsidRPr="00491516">
        <w:rPr>
          <w:lang w:bidi="ru-RU"/>
        </w:rPr>
        <w:tab/>
        <w:t>Административный комитет одобрил рекомендацию</w:t>
      </w:r>
      <w:r w:rsidRPr="00491516">
        <w:t xml:space="preserve"> Комитета по вопросам безопасности (</w:t>
      </w:r>
      <w:r w:rsidRPr="00491516">
        <w:rPr>
          <w:lang w:val="en-US"/>
        </w:rPr>
        <w:t>ECE</w:t>
      </w:r>
      <w:r w:rsidRPr="00491516">
        <w:t>/</w:t>
      </w:r>
      <w:r w:rsidRPr="00491516">
        <w:rPr>
          <w:lang w:val="en-US"/>
        </w:rPr>
        <w:t>TRANS</w:t>
      </w:r>
      <w:r w:rsidRPr="00491516">
        <w:t>/</w:t>
      </w:r>
      <w:r w:rsidRPr="00491516">
        <w:rPr>
          <w:lang w:val="en-US"/>
        </w:rPr>
        <w:t>WP</w:t>
      </w:r>
      <w:r w:rsidRPr="00491516">
        <w:t>.15/</w:t>
      </w:r>
      <w:r w:rsidRPr="00491516">
        <w:rPr>
          <w:lang w:val="en-US"/>
        </w:rPr>
        <w:t>AC</w:t>
      </w:r>
      <w:r w:rsidRPr="00491516">
        <w:t>.2/60, пункт 8) о том, чтобы разрешить компетентному органу Бельгии предоставить в соответствии с подразделом</w:t>
      </w:r>
      <w:r>
        <w:t xml:space="preserve"> </w:t>
      </w:r>
      <w:r w:rsidRPr="00491516">
        <w:t>1.5.3.2 временное отступление для судна-толкача «</w:t>
      </w:r>
      <w:r w:rsidRPr="00491516">
        <w:rPr>
          <w:lang w:val="en-US"/>
        </w:rPr>
        <w:t>DONAU</w:t>
      </w:r>
      <w:r w:rsidRPr="00491516">
        <w:t>», позволяющее ему использовать</w:t>
      </w:r>
      <w:r w:rsidRPr="00491516">
        <w:rPr>
          <w:lang w:bidi="ru-RU"/>
        </w:rPr>
        <w:t xml:space="preserve"> систему пожаротушения, </w:t>
      </w:r>
      <w:r w:rsidRPr="00491516">
        <w:t>генерирующую</w:t>
      </w:r>
      <w:r w:rsidRPr="00491516">
        <w:rPr>
          <w:lang w:bidi="ru-RU"/>
        </w:rPr>
        <w:t xml:space="preserve"> сухой аэрозоль </w:t>
      </w:r>
      <w:r w:rsidR="005B1223">
        <w:rPr>
          <w:lang w:bidi="ru-RU"/>
        </w:rPr>
        <w:br/>
      </w:r>
      <w:r w:rsidRPr="00491516">
        <w:rPr>
          <w:lang w:bidi="ru-RU"/>
        </w:rPr>
        <w:t>(см. приложение).</w:t>
      </w:r>
    </w:p>
    <w:p w:rsidR="00491516" w:rsidRDefault="00491516" w:rsidP="004F0543">
      <w:pPr>
        <w:pStyle w:val="H23GR"/>
      </w:pPr>
      <w:r w:rsidRPr="00491516">
        <w:tab/>
        <w:t>2.</w:t>
      </w:r>
      <w:r w:rsidRPr="00491516">
        <w:tab/>
        <w:t>Специальное разрешение на перевозку танкерами № ООН 1148 спирта диацетонового из Бельгии в Нидерланды</w:t>
      </w:r>
    </w:p>
    <w:p w:rsidR="00491516" w:rsidRPr="00491516" w:rsidRDefault="00491516" w:rsidP="00491516">
      <w:pPr>
        <w:pStyle w:val="SingleTxtGR"/>
      </w:pPr>
      <w:r w:rsidRPr="00491516">
        <w:rPr>
          <w:i/>
        </w:rPr>
        <w:t>Неофициальный документ:</w:t>
      </w:r>
      <w:r w:rsidRPr="00491516">
        <w:tab/>
      </w:r>
      <w:r w:rsidRPr="00491516">
        <w:rPr>
          <w:lang w:val="en-US"/>
        </w:rPr>
        <w:t>INF</w:t>
      </w:r>
      <w:r w:rsidRPr="00491516">
        <w:t>.2 (Бельгия)</w:t>
      </w:r>
    </w:p>
    <w:p w:rsidR="00491516" w:rsidRDefault="00491516" w:rsidP="00491516">
      <w:pPr>
        <w:pStyle w:val="SingleTxtGR"/>
      </w:pPr>
      <w:r w:rsidRPr="00491516">
        <w:t>8.</w:t>
      </w:r>
      <w:r w:rsidRPr="00491516">
        <w:tab/>
      </w:r>
      <w:r w:rsidRPr="00491516">
        <w:rPr>
          <w:bCs/>
        </w:rPr>
        <w:t xml:space="preserve">Административный комитет отметил, что правительства Бельгии и Нидерландов разрешили </w:t>
      </w:r>
      <w:r w:rsidRPr="00491516">
        <w:t xml:space="preserve">компании «Monument Chemical» перевозить танкерами диацетоновый спирт по территории их стран на условиях, указанных в </w:t>
      </w:r>
      <w:r w:rsidRPr="00491516">
        <w:rPr>
          <w:lang w:val="en-US"/>
        </w:rPr>
        <w:t>INF</w:t>
      </w:r>
      <w:r w:rsidRPr="00491516">
        <w:t>.2 (специальное разрешение 2016/1). Эти условия были переданы Комитетом по вопросам безопасности ВОПОГ на рассмотрение своей неофициальной рабочей группе по веществам с целью подготовки соо</w:t>
      </w:r>
      <w:r w:rsidR="005B1223">
        <w:t>тветствующей поправки к таблице </w:t>
      </w:r>
      <w:r w:rsidRPr="00491516">
        <w:t>С Правил, прилагаемых к ВОПОГ.</w:t>
      </w:r>
    </w:p>
    <w:p w:rsidR="00491516" w:rsidRDefault="00491516" w:rsidP="004F0543">
      <w:pPr>
        <w:pStyle w:val="H1GR"/>
      </w:pPr>
      <w:r w:rsidRPr="00491516">
        <w:tab/>
      </w:r>
      <w:r w:rsidRPr="00491516">
        <w:rPr>
          <w:lang w:val="en-US"/>
        </w:rPr>
        <w:t>C</w:t>
      </w:r>
      <w:r w:rsidRPr="00491516">
        <w:t>.</w:t>
      </w:r>
      <w:r w:rsidRPr="00491516">
        <w:tab/>
        <w:t>Различные уведомления</w:t>
      </w:r>
    </w:p>
    <w:p w:rsidR="00491516" w:rsidRDefault="00491516" w:rsidP="00491516">
      <w:pPr>
        <w:pStyle w:val="SingleTxtGR"/>
      </w:pPr>
      <w:r w:rsidRPr="00491516">
        <w:rPr>
          <w:i/>
        </w:rPr>
        <w:t>Неофициальный документ:</w:t>
      </w:r>
      <w:r w:rsidRPr="00491516">
        <w:tab/>
      </w:r>
      <w:r w:rsidRPr="00491516">
        <w:rPr>
          <w:lang w:val="en-US"/>
        </w:rPr>
        <w:t>INF</w:t>
      </w:r>
      <w:r w:rsidRPr="00491516">
        <w:t>.1 (Словакия)</w:t>
      </w:r>
    </w:p>
    <w:p w:rsidR="00491516" w:rsidRDefault="00491516" w:rsidP="00491516">
      <w:pPr>
        <w:pStyle w:val="SingleTxtGR"/>
      </w:pPr>
      <w:r w:rsidRPr="00491516">
        <w:t>9.</w:t>
      </w:r>
      <w:r w:rsidRPr="00491516">
        <w:tab/>
        <w:t xml:space="preserve">Комитет с удовлетворением </w:t>
      </w:r>
      <w:r w:rsidRPr="00491516">
        <w:rPr>
          <w:bCs/>
        </w:rPr>
        <w:t>отметил, что правительство Словакии предоставило информацию</w:t>
      </w:r>
      <w:r w:rsidRPr="00491516">
        <w:t>, касающуюся</w:t>
      </w:r>
      <w:r w:rsidRPr="00491516">
        <w:rPr>
          <w:bCs/>
        </w:rPr>
        <w:t xml:space="preserve"> с</w:t>
      </w:r>
      <w:r w:rsidRPr="00491516">
        <w:t xml:space="preserve">татистических данных об экзаменах за 2014–2015 годы, и решил передать эти </w:t>
      </w:r>
      <w:r w:rsidRPr="00491516">
        <w:rPr>
          <w:bCs/>
        </w:rPr>
        <w:t>с</w:t>
      </w:r>
      <w:r w:rsidRPr="00491516">
        <w:t xml:space="preserve">татистические данные неофициальной рабочей группе по подготовке экспертов Комитета по вопросам безопасности. Комитет был также проинформирован о том, что Словакия до сих пор не признала ни одного органа по освидетельствованию в соответствии с </w:t>
      </w:r>
      <w:r w:rsidR="005B1223">
        <w:t>разделом </w:t>
      </w:r>
      <w:r w:rsidRPr="00491516">
        <w:t>1.16.4 Правил, прилагаемых к ВОПОГ.</w:t>
      </w:r>
    </w:p>
    <w:p w:rsidR="00491516" w:rsidRDefault="00491516" w:rsidP="004F0543">
      <w:pPr>
        <w:pStyle w:val="HChGR"/>
      </w:pPr>
      <w:r w:rsidRPr="00491516">
        <w:tab/>
        <w:t>V.</w:t>
      </w:r>
      <w:r w:rsidRPr="00491516">
        <w:tab/>
        <w:t xml:space="preserve">Работа Комитета по вопросам безопасности </w:t>
      </w:r>
      <w:r w:rsidRPr="00491516">
        <w:br/>
        <w:t>(пункт 4 повестки дня)</w:t>
      </w:r>
    </w:p>
    <w:p w:rsidR="00491516" w:rsidRPr="00491516" w:rsidRDefault="00491516" w:rsidP="00491516">
      <w:pPr>
        <w:pStyle w:val="SingleTxtGR"/>
      </w:pPr>
      <w:r w:rsidRPr="00491516">
        <w:t>10.</w:t>
      </w:r>
      <w:r w:rsidRPr="00491516">
        <w:tab/>
        <w:t>Комитет принял к сведению доклад Комитета по вопросам безопасности о работе его двадцать девятой сессии (ECE/TRANS/WP.15/AC.2/60) и принял:</w:t>
      </w:r>
    </w:p>
    <w:p w:rsidR="00491516" w:rsidRPr="00491516" w:rsidRDefault="00491516" w:rsidP="00491516">
      <w:pPr>
        <w:pStyle w:val="SingleTxtGR"/>
      </w:pPr>
      <w:r w:rsidRPr="00491516">
        <w:tab/>
        <w:t>a)</w:t>
      </w:r>
      <w:r w:rsidRPr="00491516">
        <w:tab/>
        <w:t>проекты поправок, направленных на приведение Правил, прилагаемых к ВОПОГ, в соответствие с измененными вариантами ДОПОГ и МПОГ, которые должны применяться с 1 января 2017 года (см. ECE/TRANS/WP.15/</w:t>
      </w:r>
      <w:r w:rsidRPr="00491516">
        <w:br/>
        <w:t>AC.2/60, приложение I). Секретариату было предложено опубликовать их в качестве добавления к документу ECE/ADN/36 (ECE/ADN/36/Add.1) и обеспечить их сообщение Договаривающимся сторонам не позднее 1 сентября 2016 года в соответствии с процедурой, предусмотренной в пункте 5 а) статьи 20 ВОПОГ, с тем чтобы они могли вступить в силу 1 января 2017 года, т.е. через один месяц после их принятия Договаривающимися сторонами;</w:t>
      </w:r>
    </w:p>
    <w:p w:rsidR="00491516" w:rsidRPr="00491516" w:rsidRDefault="00491516" w:rsidP="00491516">
      <w:pPr>
        <w:pStyle w:val="SingleTxtGR"/>
      </w:pPr>
      <w:r w:rsidRPr="00491516">
        <w:lastRenderedPageBreak/>
        <w:tab/>
        <w:t>b)</w:t>
      </w:r>
      <w:r w:rsidRPr="00491516">
        <w:tab/>
        <w:t>все предлагаемые исправления к ранее сообщенным поправкам к Правилам, прилагаемым к ВОПОГ (ECE/ADN/36) (см. ECE/TRANS/WP.15/</w:t>
      </w:r>
      <w:r w:rsidRPr="00491516">
        <w:br/>
        <w:t>AC.2/60, приложение II). Поскольку эти исправления зависят от принятия поправок, приведенных в документе ECE/ADN/36, секретариату было предложено опубликовать их в качестве исправления к документу ECE/ADN/36 (ECE/ADN/36/Corr.1) и принять меры с целью их сообщения Договаривающимся сторонам 1 октября 2016 года (ожидаемая дата принятия указанных поправок) для принятия в соответствии с обычной процедурой в отношении исправлений, с тем чтобы они могли вступить в силу не позднее 1 января 2017 года; и</w:t>
      </w:r>
    </w:p>
    <w:p w:rsidR="00491516" w:rsidRPr="00491516" w:rsidRDefault="00491516" w:rsidP="00491516">
      <w:pPr>
        <w:pStyle w:val="SingleTxtGR"/>
      </w:pPr>
      <w:r w:rsidRPr="00491516">
        <w:tab/>
        <w:t>c)</w:t>
      </w:r>
      <w:r w:rsidRPr="00491516">
        <w:tab/>
        <w:t>все предлагаемые исправления к Правилам, прилагаемым к ВОПОГ, приведенные в документе ECE/TRANS/WP.15/AC.2/60, приложение</w:t>
      </w:r>
      <w:r w:rsidR="00F20B43">
        <w:t> </w:t>
      </w:r>
      <w:r w:rsidRPr="00491516">
        <w:t>III. Секретариату было предложено принять меры с целью их сообщения Договаривающимся сторонам не позднее 1 октября 2016 года для принятия в соответствии с обычной процедурой в отношении исправлений, с тем чтобы они могли вступить в силу не позднее 1 января 2017 года.</w:t>
      </w:r>
    </w:p>
    <w:p w:rsidR="00491516" w:rsidRDefault="00491516" w:rsidP="00491516">
      <w:pPr>
        <w:pStyle w:val="SingleTxtGR"/>
      </w:pPr>
      <w:r w:rsidRPr="00491516">
        <w:t>11.</w:t>
      </w:r>
      <w:r w:rsidRPr="00491516">
        <w:tab/>
        <w:t>Комитет отметил, что Комитет по вопросам безопасности ВОПОГ принял поправки к Правилам, прилагаемым к ВОПОГ, для вступления в силу 1 января 2019 года (ECE/TRANS/WP.15/AC.2/60, приложение IV). Поскольку, как ожидается, Комитет по вопросам безопасности на своих будущих сессиях примет дополнительные поправки для вступления в силу 1 января 2019 года, Комитет постановил рассмотреть их на более позднем этапе.</w:t>
      </w:r>
    </w:p>
    <w:p w:rsidR="00491516" w:rsidRDefault="00491516" w:rsidP="00812752">
      <w:pPr>
        <w:pStyle w:val="HChGR"/>
      </w:pPr>
      <w:r w:rsidRPr="00491516">
        <w:tab/>
        <w:t>VI.</w:t>
      </w:r>
      <w:r w:rsidRPr="00491516">
        <w:tab/>
        <w:t xml:space="preserve">Программа работы и расписание совещаний </w:t>
      </w:r>
      <w:r w:rsidRPr="00491516">
        <w:br/>
        <w:t>(пункт 5 повестки дня)</w:t>
      </w:r>
    </w:p>
    <w:p w:rsidR="00491516" w:rsidRDefault="00491516" w:rsidP="00491516">
      <w:pPr>
        <w:pStyle w:val="SingleTxtGR"/>
        <w:rPr>
          <w:bCs/>
        </w:rPr>
      </w:pPr>
      <w:r w:rsidRPr="00491516">
        <w:rPr>
          <w:bCs/>
        </w:rPr>
        <w:t>12.</w:t>
      </w:r>
      <w:r w:rsidRPr="00491516">
        <w:rPr>
          <w:bCs/>
        </w:rPr>
        <w:tab/>
      </w:r>
      <w:r w:rsidRPr="00491516">
        <w:t>Комитет принял к сведению, что его следующую сессию планируется провести 27 января 2017 года в 12 ч. 00 м. и что крайним сроком представления документов для этой сессии является 28 октября 2016 года. Летнюю сессию планируется провести 31 августа 2017 года.</w:t>
      </w:r>
    </w:p>
    <w:p w:rsidR="00491516" w:rsidRDefault="00491516" w:rsidP="00812752">
      <w:pPr>
        <w:pStyle w:val="HChGR"/>
      </w:pPr>
      <w:r w:rsidRPr="00491516">
        <w:tab/>
        <w:t>VII.</w:t>
      </w:r>
      <w:r w:rsidRPr="00491516">
        <w:tab/>
        <w:t>Прочие вопросы (пункт 6 повестки дня)</w:t>
      </w:r>
    </w:p>
    <w:p w:rsidR="00491516" w:rsidRDefault="00491516" w:rsidP="00491516">
      <w:pPr>
        <w:pStyle w:val="SingleTxtGR"/>
        <w:rPr>
          <w:bCs/>
        </w:rPr>
      </w:pPr>
      <w:r w:rsidRPr="00491516">
        <w:rPr>
          <w:bCs/>
        </w:rPr>
        <w:t>13.</w:t>
      </w:r>
      <w:r w:rsidRPr="00491516">
        <w:rPr>
          <w:bCs/>
        </w:rPr>
        <w:tab/>
      </w:r>
      <w:r w:rsidRPr="00491516">
        <w:t>Комитет просил секретариат учесть все исправления и соответствующие поправки, принятые на текущей сессии, в новом сводном издании ВОПОГ 2017</w:t>
      </w:r>
      <w:r w:rsidR="00F20B43">
        <w:t> </w:t>
      </w:r>
      <w:r w:rsidRPr="00491516">
        <w:t>года, которое готовится к публикации.</w:t>
      </w:r>
    </w:p>
    <w:p w:rsidR="00491516" w:rsidRDefault="00491516" w:rsidP="00812752">
      <w:pPr>
        <w:pStyle w:val="HChGR"/>
      </w:pPr>
      <w:r w:rsidRPr="00491516">
        <w:tab/>
        <w:t>VI</w:t>
      </w:r>
      <w:r w:rsidRPr="00491516">
        <w:rPr>
          <w:lang w:val="en-US"/>
        </w:rPr>
        <w:t>I</w:t>
      </w:r>
      <w:r w:rsidRPr="00491516">
        <w:t>I.</w:t>
      </w:r>
      <w:r w:rsidRPr="00491516">
        <w:tab/>
        <w:t>Утверждение доклада (пункт 7 повестки дня)</w:t>
      </w:r>
    </w:p>
    <w:p w:rsidR="00491516" w:rsidRPr="00491516" w:rsidRDefault="00491516" w:rsidP="00491516">
      <w:pPr>
        <w:pStyle w:val="SingleTxtGR"/>
        <w:rPr>
          <w:bCs/>
        </w:rPr>
      </w:pPr>
      <w:r w:rsidRPr="00491516">
        <w:rPr>
          <w:bCs/>
        </w:rPr>
        <w:t>14.</w:t>
      </w:r>
      <w:r w:rsidRPr="00491516">
        <w:rPr>
          <w:bCs/>
        </w:rPr>
        <w:tab/>
        <w:t xml:space="preserve">Административный комитет утвердил доклад о работе своей семнадцатой сессии на основе проекта, подготовленного секретариатом и разосланного </w:t>
      </w:r>
      <w:r w:rsidRPr="00491516">
        <w:t xml:space="preserve">делегациям </w:t>
      </w:r>
      <w:r w:rsidRPr="00491516">
        <w:rPr>
          <w:bCs/>
        </w:rPr>
        <w:t>для одобрения по электронной почте после сессии.</w:t>
      </w:r>
    </w:p>
    <w:p w:rsidR="00491516" w:rsidRPr="00491516" w:rsidRDefault="00491516" w:rsidP="00491516">
      <w:pPr>
        <w:pStyle w:val="SingleTxtGR"/>
        <w:rPr>
          <w:b/>
          <w:bCs/>
        </w:rPr>
      </w:pPr>
      <w:r w:rsidRPr="00491516">
        <w:rPr>
          <w:b/>
          <w:bCs/>
        </w:rPr>
        <w:br w:type="page"/>
      </w:r>
    </w:p>
    <w:p w:rsidR="00491516" w:rsidRPr="00491516" w:rsidRDefault="00491516" w:rsidP="00812752">
      <w:pPr>
        <w:pStyle w:val="HChGR"/>
      </w:pPr>
      <w:r w:rsidRPr="00491516">
        <w:lastRenderedPageBreak/>
        <w:t>Приложение</w:t>
      </w:r>
    </w:p>
    <w:p w:rsidR="00491516" w:rsidRPr="00491516" w:rsidRDefault="00491516" w:rsidP="00812752">
      <w:pPr>
        <w:pStyle w:val="HChGR"/>
      </w:pPr>
      <w:r w:rsidRPr="00491516">
        <w:tab/>
      </w:r>
      <w:r w:rsidRPr="00491516">
        <w:tab/>
        <w:t>Решение Административного комитета ВОПОГ в</w:t>
      </w:r>
      <w:r w:rsidR="00812752">
        <w:t> </w:t>
      </w:r>
      <w:r w:rsidRPr="00491516">
        <w:t>отношении использования системы пожаротушения, генерирующей сухой аэрозоль (Fire Pro),</w:t>
      </w:r>
      <w:r w:rsidRPr="00491516">
        <w:br/>
        <w:t>на судне-толкаче «DONAU» (06105358)</w:t>
      </w:r>
    </w:p>
    <w:p w:rsidR="00491516" w:rsidRPr="00491516" w:rsidRDefault="00491516" w:rsidP="00812752">
      <w:pPr>
        <w:pStyle w:val="H23GR"/>
      </w:pPr>
      <w:r w:rsidRPr="00491516">
        <w:tab/>
      </w:r>
      <w:r w:rsidRPr="00491516">
        <w:tab/>
        <w:t>Отступление № 2/2016 от 26 августа 2016 года</w:t>
      </w:r>
    </w:p>
    <w:p w:rsidR="00491516" w:rsidRPr="00491516" w:rsidRDefault="00491516" w:rsidP="00491516">
      <w:pPr>
        <w:pStyle w:val="SingleTxtGR"/>
      </w:pPr>
      <w:r w:rsidRPr="00491516">
        <w:tab/>
        <w:t>Компетентному органу Бельгии разрешается выдать дополнение к свидетельству о допущении толкача «DONAU» (06105358), позволяющее ему использовать систему пожаротушения, генерирующую сухой аэрозоль (Fire Pro).</w:t>
      </w:r>
    </w:p>
    <w:p w:rsidR="00491516" w:rsidRPr="00491516" w:rsidRDefault="00491516" w:rsidP="00491516">
      <w:pPr>
        <w:pStyle w:val="SingleTxtGR"/>
      </w:pPr>
      <w:r w:rsidRPr="00491516">
        <w:tab/>
        <w:t>В соответствии с подразделом 1.5.3.2 Правил, прилагаемых к ВОПОГ, вышеупомянутое судно может до 31</w:t>
      </w:r>
      <w:r>
        <w:t xml:space="preserve"> </w:t>
      </w:r>
      <w:r w:rsidRPr="00491516">
        <w:t>декабря 2018 года отступать от требования пунктa</w:t>
      </w:r>
      <w:r w:rsidR="009B6121">
        <w:t> </w:t>
      </w:r>
      <w:r w:rsidRPr="00491516">
        <w:t>9.1.0.40.2.1 «Огнетушащие вещества»: рассматриваемое огнетушащее вещество не указано в данном пункте. Судно оборудовано стационарной системой пожаротушения, генерирующей</w:t>
      </w:r>
      <w:r w:rsidRPr="00491516">
        <w:rPr>
          <w:lang w:bidi="ru-RU"/>
        </w:rPr>
        <w:t xml:space="preserve"> </w:t>
      </w:r>
      <w:r w:rsidRPr="00491516">
        <w:t xml:space="preserve">огнетушащее вещество типа </w:t>
      </w:r>
      <w:r w:rsidRPr="00491516">
        <w:rPr>
          <w:lang w:bidi="ru-RU"/>
        </w:rPr>
        <w:t>сухого аэр</w:t>
      </w:r>
      <w:r w:rsidRPr="00491516">
        <w:t>озоля (Fire Pro).</w:t>
      </w:r>
    </w:p>
    <w:p w:rsidR="00491516" w:rsidRPr="00491516" w:rsidRDefault="00491516" w:rsidP="00491516">
      <w:pPr>
        <w:pStyle w:val="SingleTxtGR"/>
      </w:pPr>
      <w:r w:rsidRPr="00491516">
        <w:tab/>
        <w:t>Административный комитет постановил, что использование данной системы пожаротушения, генерирующей сухой аэрозоль, является достаточно безопасным при условии неизменного выполнения требований, установленных Центральной комиссией судоходства по Рейну (ЦКСР)</w:t>
      </w:r>
      <w:r w:rsidR="00812752" w:rsidRPr="00812752">
        <w:rPr>
          <w:rStyle w:val="FootnoteReference"/>
          <w:sz w:val="20"/>
          <w:vertAlign w:val="baseline"/>
        </w:rPr>
        <w:footnoteReference w:customMarkFollows="1" w:id="2"/>
        <w:t>*</w:t>
      </w:r>
      <w:r w:rsidRPr="00491516">
        <w:t>.</w:t>
      </w:r>
    </w:p>
    <w:p w:rsidR="00491516" w:rsidRPr="00491516" w:rsidRDefault="00491516" w:rsidP="00491516">
      <w:pPr>
        <w:pStyle w:val="SingleTxtGR"/>
      </w:pPr>
      <w:r w:rsidRPr="00491516">
        <w:tab/>
        <w:t>Кроме того, должны применяться следующие требования:</w:t>
      </w:r>
    </w:p>
    <w:p w:rsidR="00491516" w:rsidRPr="00491516" w:rsidRDefault="00491516" w:rsidP="00491516">
      <w:pPr>
        <w:pStyle w:val="SingleTxtGR"/>
      </w:pPr>
      <w:r w:rsidRPr="00491516">
        <w:t>1.</w:t>
      </w:r>
      <w:r w:rsidRPr="00491516">
        <w:tab/>
        <w:t>Вся информация, связанная с использованием системы пожаротушения, генерирующей сухой аэрозоль (Fire Pro), должна собираться перевозчиком. Эта</w:t>
      </w:r>
      <w:r w:rsidR="00F20B43">
        <w:t> </w:t>
      </w:r>
      <w:r w:rsidRPr="00491516">
        <w:t>информация должна по запросу направляться соответствующему компетентному органу.</w:t>
      </w:r>
    </w:p>
    <w:p w:rsidR="00A658DB" w:rsidRDefault="00491516" w:rsidP="00491516">
      <w:pPr>
        <w:pStyle w:val="SingleTxtGR"/>
        <w:rPr>
          <w:lang w:val="en-US"/>
        </w:rPr>
      </w:pPr>
      <w:r w:rsidRPr="00491516">
        <w:t>2.</w:t>
      </w:r>
      <w:r w:rsidRPr="00491516">
        <w:tab/>
        <w:t xml:space="preserve">После использования стационарной </w:t>
      </w:r>
      <w:r w:rsidRPr="00491516">
        <w:rPr>
          <w:lang w:bidi="ru-RU"/>
        </w:rPr>
        <w:t>системы пожаротушения</w:t>
      </w:r>
      <w:r w:rsidRPr="00491516">
        <w:t xml:space="preserve"> в секретариат ЕЭК ООН для информирования Административного комитета должен направляться доклад об оценке, содержащий эксплуатационные данные и отчет об осмотре, представленный классификационным обществом, которое классифицировало судно.</w:t>
      </w:r>
    </w:p>
    <w:p w:rsidR="00491516" w:rsidRPr="00491516" w:rsidRDefault="00491516" w:rsidP="0049151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91516" w:rsidRPr="0049151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16" w:rsidRDefault="00491516" w:rsidP="00B471C5">
      <w:r>
        <w:separator/>
      </w:r>
    </w:p>
  </w:endnote>
  <w:endnote w:type="continuationSeparator" w:id="0">
    <w:p w:rsidR="00491516" w:rsidRDefault="0049151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479C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91516">
      <w:rPr>
        <w:lang w:val="en-US"/>
      </w:rPr>
      <w:t>15050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91516">
      <w:rPr>
        <w:lang w:val="en-US"/>
      </w:rPr>
      <w:t>15050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479C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91516">
            <w:rPr>
              <w:lang w:val="en-US"/>
            </w:rPr>
            <w:t>15050</w:t>
          </w:r>
          <w:r w:rsidRPr="001C3ABC">
            <w:rPr>
              <w:lang w:val="en-US"/>
            </w:rPr>
            <w:t xml:space="preserve"> (R)</w:t>
          </w:r>
          <w:r w:rsidR="00491516">
            <w:rPr>
              <w:lang w:val="en-US"/>
            </w:rPr>
            <w:t xml:space="preserve">  300916  300916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F054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ADN/3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91516" w:rsidRDefault="0049151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9151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16" w:rsidRPr="009141DC" w:rsidRDefault="0049151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1516" w:rsidRPr="00D1261C" w:rsidRDefault="0049151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91516" w:rsidRPr="00491516" w:rsidRDefault="00491516">
      <w:pPr>
        <w:pStyle w:val="FootnoteText"/>
        <w:rPr>
          <w:lang w:val="ru-RU"/>
        </w:rPr>
      </w:pPr>
      <w:r>
        <w:tab/>
      </w:r>
      <w:r w:rsidRPr="00491516">
        <w:rPr>
          <w:rStyle w:val="FootnoteReference"/>
          <w:sz w:val="20"/>
          <w:vertAlign w:val="baseline"/>
          <w:lang w:val="ru-RU"/>
        </w:rPr>
        <w:t>*</w:t>
      </w:r>
      <w:r w:rsidRPr="00491516">
        <w:rPr>
          <w:sz w:val="20"/>
          <w:lang w:val="ru-RU"/>
        </w:rPr>
        <w:t xml:space="preserve"> </w:t>
      </w:r>
      <w:r w:rsidRPr="00491516">
        <w:rPr>
          <w:sz w:val="20"/>
          <w:lang w:val="ru-RU"/>
        </w:rPr>
        <w:tab/>
      </w:r>
      <w:r w:rsidRPr="00491516">
        <w:rPr>
          <w:lang w:val="ru-RU"/>
        </w:rPr>
        <w:t xml:space="preserve">Распространен на немецком языке Центральной комиссией судоходства по Рейну под условным обозначением </w:t>
      </w:r>
      <w:r w:rsidRPr="007F3705">
        <w:t>CCNR</w:t>
      </w:r>
      <w:r w:rsidRPr="00491516">
        <w:rPr>
          <w:lang w:val="ru-RU"/>
        </w:rPr>
        <w:t>/</w:t>
      </w:r>
      <w:r w:rsidRPr="007F3705">
        <w:t>ZKR</w:t>
      </w:r>
      <w:r w:rsidRPr="00491516">
        <w:rPr>
          <w:lang w:val="ru-RU"/>
        </w:rPr>
        <w:t>/</w:t>
      </w:r>
      <w:r w:rsidRPr="007F3705">
        <w:t>ADN</w:t>
      </w:r>
      <w:r w:rsidRPr="00491516">
        <w:rPr>
          <w:lang w:val="ru-RU"/>
        </w:rPr>
        <w:t>/38.</w:t>
      </w:r>
    </w:p>
  </w:footnote>
  <w:footnote w:id="2">
    <w:p w:rsidR="00812752" w:rsidRPr="00812752" w:rsidRDefault="00812752">
      <w:pPr>
        <w:pStyle w:val="FootnoteText"/>
        <w:rPr>
          <w:sz w:val="20"/>
          <w:lang w:val="ru-RU"/>
        </w:rPr>
      </w:pPr>
      <w:r>
        <w:tab/>
      </w:r>
      <w:r w:rsidRPr="00812752">
        <w:rPr>
          <w:rStyle w:val="FootnoteReference"/>
          <w:sz w:val="20"/>
          <w:vertAlign w:val="baseline"/>
          <w:lang w:val="ru-RU"/>
        </w:rPr>
        <w:t>*</w:t>
      </w:r>
      <w:r w:rsidRPr="00812752">
        <w:rPr>
          <w:sz w:val="20"/>
          <w:lang w:val="ru-RU"/>
        </w:rPr>
        <w:t xml:space="preserve"> </w:t>
      </w:r>
      <w:r w:rsidRPr="00812752">
        <w:rPr>
          <w:sz w:val="20"/>
          <w:lang w:val="ru-RU"/>
        </w:rPr>
        <w:tab/>
      </w:r>
      <w:r w:rsidRPr="00812752">
        <w:rPr>
          <w:lang w:val="ru-RU"/>
        </w:rPr>
        <w:t xml:space="preserve">См. неофициальный документ </w:t>
      </w:r>
      <w:r w:rsidRPr="00812752">
        <w:rPr>
          <w:lang w:val="en-US"/>
        </w:rPr>
        <w:t>INF</w:t>
      </w:r>
      <w:r w:rsidRPr="00812752">
        <w:rPr>
          <w:lang w:val="ru-RU"/>
        </w:rPr>
        <w:t xml:space="preserve">.3, представленный на двадцать восьмой сессии Комитета по вопросам безопасности ВОПОГ, по следующему адресу </w:t>
      </w:r>
      <w:hyperlink r:id="rId1" w:history="1">
        <w:r w:rsidRPr="00812752">
          <w:rPr>
            <w:lang w:val="ru-RU"/>
          </w:rPr>
          <w:t>http://www.unece.org/fileadmin/DAM/trans/doc/2016/dgwp15ac2/WP15-AC2-28-inf03e.pdf</w:t>
        </w:r>
      </w:hyperlink>
      <w:r w:rsidRPr="00812752">
        <w:rPr>
          <w:lang w:val="ru-RU"/>
        </w:rPr>
        <w:t xml:space="preserve"> и неофициальный документ INF.30, представленный на двадцать девятой сессии Комитета по вопросам безопасности ВОПОГ, по следующему адресу </w:t>
      </w:r>
      <w:hyperlink r:id="rId2" w:history="1">
        <w:r w:rsidRPr="00812752">
          <w:rPr>
            <w:lang w:val="ru-RU"/>
          </w:rPr>
          <w:t>http://www.unece.org/fileadmin/ DAM/trans/doc/2016/dgwp15ac2/WP15-AC2-29-inf30e.pdf</w:t>
        </w:r>
      </w:hyperlink>
      <w:r w:rsidRPr="0081275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91516" w:rsidRPr="00491516">
      <w:rPr>
        <w:lang w:val="en-US"/>
      </w:rPr>
      <w:t>ADN/38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91516" w:rsidRPr="00491516">
      <w:rPr>
        <w:lang w:val="en-US"/>
      </w:rPr>
      <w:t>ADN/38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548"/>
    <w:multiLevelType w:val="hybridMultilevel"/>
    <w:tmpl w:val="F93E64F0"/>
    <w:lvl w:ilvl="0" w:tplc="A044ECE6">
      <w:start w:val="1"/>
      <w:numFmt w:val="decimal"/>
      <w:lvlText w:val="%1."/>
      <w:lvlJc w:val="left"/>
      <w:pPr>
        <w:ind w:left="145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450D1"/>
    <w:rsid w:val="000B1FD5"/>
    <w:rsid w:val="000F2A4F"/>
    <w:rsid w:val="000F727D"/>
    <w:rsid w:val="0019783A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91516"/>
    <w:rsid w:val="004D639B"/>
    <w:rsid w:val="004E242B"/>
    <w:rsid w:val="004F0543"/>
    <w:rsid w:val="00544379"/>
    <w:rsid w:val="00566944"/>
    <w:rsid w:val="005B1223"/>
    <w:rsid w:val="005D56BF"/>
    <w:rsid w:val="0062027E"/>
    <w:rsid w:val="00623DFC"/>
    <w:rsid w:val="00643644"/>
    <w:rsid w:val="00665D8D"/>
    <w:rsid w:val="00692D1B"/>
    <w:rsid w:val="006A7A3B"/>
    <w:rsid w:val="006B6B57"/>
    <w:rsid w:val="006E5522"/>
    <w:rsid w:val="006F3859"/>
    <w:rsid w:val="006F49F1"/>
    <w:rsid w:val="007005EE"/>
    <w:rsid w:val="00705394"/>
    <w:rsid w:val="00743F62"/>
    <w:rsid w:val="007479C1"/>
    <w:rsid w:val="00760D3A"/>
    <w:rsid w:val="00773BA8"/>
    <w:rsid w:val="007A1F42"/>
    <w:rsid w:val="007D76DD"/>
    <w:rsid w:val="00812752"/>
    <w:rsid w:val="008717E8"/>
    <w:rsid w:val="008D01AE"/>
    <w:rsid w:val="008E0423"/>
    <w:rsid w:val="009141DC"/>
    <w:rsid w:val="009174A1"/>
    <w:rsid w:val="0098674D"/>
    <w:rsid w:val="00997ACA"/>
    <w:rsid w:val="009B6121"/>
    <w:rsid w:val="00A03FB7"/>
    <w:rsid w:val="00A55C56"/>
    <w:rsid w:val="00A658DB"/>
    <w:rsid w:val="00A75A11"/>
    <w:rsid w:val="00A83549"/>
    <w:rsid w:val="00A9606E"/>
    <w:rsid w:val="00AC6468"/>
    <w:rsid w:val="00AD7EAD"/>
    <w:rsid w:val="00B35A32"/>
    <w:rsid w:val="00B432C6"/>
    <w:rsid w:val="00B471C5"/>
    <w:rsid w:val="00B6474A"/>
    <w:rsid w:val="00BE1742"/>
    <w:rsid w:val="00C27A60"/>
    <w:rsid w:val="00C71C1C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20B43"/>
    <w:rsid w:val="00F31EF2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8ACA9F-4EB5-4368-AA2F-771DA6C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%20DAM/trans/doc/2016/dgwp15ac2/WP15-AC2-29-inf30e.pdf" TargetMode="External"/><Relationship Id="rId1" Type="http://schemas.openxmlformats.org/officeDocument/2006/relationships/hyperlink" Target="http://www.unece.org/fileadmin/DAM/trans/doc/2016/dgwp15ac2/WP15-AC2-28-inf03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DB30-471B-424F-99C6-E21DC52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cp:lastPrinted>2016-09-30T11:30:00Z</cp:lastPrinted>
  <dcterms:created xsi:type="dcterms:W3CDTF">2016-11-29T16:49:00Z</dcterms:created>
  <dcterms:modified xsi:type="dcterms:W3CDTF">2016-11-29T16:49:00Z</dcterms:modified>
</cp:coreProperties>
</file>