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5316B0">
        <w:trPr>
          <w:trHeight w:hRule="exact" w:val="851"/>
        </w:trPr>
        <w:tc>
          <w:tcPr>
            <w:tcW w:w="1276" w:type="dxa"/>
            <w:tcBorders>
              <w:bottom w:val="single" w:sz="4" w:space="0" w:color="auto"/>
            </w:tcBorders>
          </w:tcPr>
          <w:p w:rsidR="001433FD" w:rsidRPr="00DB58B5" w:rsidRDefault="001433FD" w:rsidP="002F14C0">
            <w:bookmarkStart w:id="0" w:name="_GoBack"/>
            <w:bookmarkEnd w:id="0"/>
          </w:p>
        </w:tc>
        <w:tc>
          <w:tcPr>
            <w:tcW w:w="2268" w:type="dxa"/>
            <w:tcBorders>
              <w:bottom w:val="single" w:sz="4" w:space="0" w:color="auto"/>
            </w:tcBorders>
            <w:vAlign w:val="bottom"/>
          </w:tcPr>
          <w:p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2F14C0" w:rsidP="002F14C0">
            <w:pPr>
              <w:jc w:val="right"/>
            </w:pPr>
            <w:r w:rsidRPr="002F14C0">
              <w:rPr>
                <w:sz w:val="40"/>
              </w:rPr>
              <w:t>ECE</w:t>
            </w:r>
            <w:r>
              <w:t>/ADN/35</w:t>
            </w:r>
          </w:p>
        </w:tc>
      </w:tr>
      <w:tr w:rsidR="001433FD" w:rsidRPr="00DB58B5" w:rsidTr="007D3236">
        <w:trPr>
          <w:trHeight w:hRule="exact" w:val="2835"/>
        </w:trPr>
        <w:tc>
          <w:tcPr>
            <w:tcW w:w="1276" w:type="dxa"/>
            <w:tcBorders>
              <w:top w:val="single" w:sz="4" w:space="0" w:color="auto"/>
              <w:bottom w:val="single" w:sz="12" w:space="0" w:color="auto"/>
            </w:tcBorders>
          </w:tcPr>
          <w:p w:rsidR="001433FD" w:rsidRPr="00DB58B5" w:rsidRDefault="001433FD" w:rsidP="007D3236">
            <w:pPr>
              <w:spacing w:before="120"/>
              <w:jc w:val="center"/>
            </w:pPr>
            <w:r>
              <w:rPr>
                <w:noProof/>
                <w:lang w:val="en-US"/>
              </w:rPr>
              <w:drawing>
                <wp:inline distT="0" distB="0" distL="0" distR="0" wp14:anchorId="02B727A0" wp14:editId="4777D7C7">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2F14C0" w:rsidP="007D3236">
            <w:pPr>
              <w:spacing w:before="240"/>
            </w:pPr>
            <w:r>
              <w:t>Distr. générale</w:t>
            </w:r>
          </w:p>
          <w:p w:rsidR="002F14C0" w:rsidRDefault="002F14C0" w:rsidP="002F14C0">
            <w:pPr>
              <w:spacing w:line="240" w:lineRule="exact"/>
            </w:pPr>
            <w:r>
              <w:t>10 février 2016</w:t>
            </w:r>
          </w:p>
          <w:p w:rsidR="002F14C0" w:rsidRDefault="002F14C0" w:rsidP="002F14C0">
            <w:pPr>
              <w:spacing w:line="240" w:lineRule="exact"/>
            </w:pPr>
            <w:r>
              <w:t>Français</w:t>
            </w:r>
          </w:p>
          <w:p w:rsidR="002F14C0" w:rsidRPr="00DB58B5" w:rsidRDefault="002F14C0" w:rsidP="002F14C0">
            <w:pPr>
              <w:spacing w:line="240" w:lineRule="exact"/>
            </w:pPr>
            <w:r>
              <w:t>Original : anglais</w:t>
            </w:r>
          </w:p>
        </w:tc>
      </w:tr>
    </w:tbl>
    <w:p w:rsidR="005316B0" w:rsidRPr="000312C0" w:rsidRDefault="005316B0" w:rsidP="005316B0">
      <w:pPr>
        <w:spacing w:before="120"/>
        <w:rPr>
          <w:b/>
          <w:sz w:val="28"/>
          <w:szCs w:val="28"/>
        </w:rPr>
      </w:pPr>
      <w:r w:rsidRPr="000312C0">
        <w:rPr>
          <w:b/>
          <w:sz w:val="28"/>
          <w:szCs w:val="28"/>
        </w:rPr>
        <w:t>Commission économique pour l</w:t>
      </w:r>
      <w:r w:rsidR="00AB2520">
        <w:rPr>
          <w:b/>
          <w:sz w:val="28"/>
          <w:szCs w:val="28"/>
        </w:rPr>
        <w:t>’</w:t>
      </w:r>
      <w:r w:rsidRPr="000312C0">
        <w:rPr>
          <w:b/>
          <w:sz w:val="28"/>
          <w:szCs w:val="28"/>
        </w:rPr>
        <w:t>Europe</w:t>
      </w:r>
    </w:p>
    <w:p w:rsidR="002F14C0" w:rsidRPr="008C140A" w:rsidRDefault="002F14C0" w:rsidP="008C140A">
      <w:pPr>
        <w:spacing w:before="120"/>
        <w:rPr>
          <w:b/>
        </w:rPr>
      </w:pPr>
      <w:r w:rsidRPr="008C140A">
        <w:rPr>
          <w:b/>
        </w:rPr>
        <w:t>Comité d</w:t>
      </w:r>
      <w:r w:rsidR="00AB2520">
        <w:rPr>
          <w:b/>
        </w:rPr>
        <w:t>’</w:t>
      </w:r>
      <w:r w:rsidRPr="008C140A">
        <w:rPr>
          <w:b/>
        </w:rPr>
        <w:t>administration de l</w:t>
      </w:r>
      <w:r w:rsidR="00AB2520">
        <w:rPr>
          <w:b/>
        </w:rPr>
        <w:t>’</w:t>
      </w:r>
      <w:r w:rsidRPr="008C140A">
        <w:rPr>
          <w:b/>
        </w:rPr>
        <w:t xml:space="preserve">Accord européen relatif </w:t>
      </w:r>
      <w:r w:rsidRPr="008C140A">
        <w:rPr>
          <w:b/>
        </w:rPr>
        <w:br/>
        <w:t xml:space="preserve">au transport international des marchandises </w:t>
      </w:r>
      <w:r w:rsidRPr="008C140A">
        <w:rPr>
          <w:b/>
        </w:rPr>
        <w:br/>
        <w:t>dangereuses par voies de navigation intérieures (ADN)</w:t>
      </w:r>
    </w:p>
    <w:p w:rsidR="002F14C0" w:rsidRPr="008C140A" w:rsidRDefault="002F14C0" w:rsidP="008C140A">
      <w:pPr>
        <w:spacing w:before="120"/>
        <w:rPr>
          <w:b/>
        </w:rPr>
      </w:pPr>
      <w:r w:rsidRPr="008C140A">
        <w:rPr>
          <w:b/>
        </w:rPr>
        <w:t>Seizième session</w:t>
      </w:r>
    </w:p>
    <w:p w:rsidR="002F14C0" w:rsidRPr="001E1AF0" w:rsidRDefault="002F14C0" w:rsidP="008C140A">
      <w:r w:rsidRPr="001E1AF0">
        <w:t>Genève, 29 janvier 2016</w:t>
      </w:r>
    </w:p>
    <w:p w:rsidR="00446FE5" w:rsidRDefault="002F14C0" w:rsidP="008C140A">
      <w:pPr>
        <w:pStyle w:val="HChG"/>
      </w:pPr>
      <w:r w:rsidRPr="001E1AF0">
        <w:tab/>
      </w:r>
      <w:r w:rsidRPr="001E1AF0">
        <w:tab/>
        <w:t>Rapport du Comité d</w:t>
      </w:r>
      <w:r w:rsidR="00AB2520">
        <w:t>’</w:t>
      </w:r>
      <w:r w:rsidRPr="001E1AF0">
        <w:t>administration de l</w:t>
      </w:r>
      <w:r w:rsidR="00AB2520">
        <w:t>’</w:t>
      </w:r>
      <w:r w:rsidRPr="001E1AF0">
        <w:t xml:space="preserve">Accord européen </w:t>
      </w:r>
      <w:r w:rsidRPr="001E1AF0">
        <w:br/>
        <w:t xml:space="preserve">relatif au transport international des marchandises </w:t>
      </w:r>
      <w:r w:rsidRPr="001E1AF0">
        <w:br/>
        <w:t xml:space="preserve">dangereuses par voies de navigation intérieures (ADN) </w:t>
      </w:r>
      <w:r w:rsidRPr="001E1AF0">
        <w:br/>
        <w:t>sur sa seizième session</w:t>
      </w:r>
      <w:r w:rsidR="008C140A" w:rsidRPr="008C140A">
        <w:rPr>
          <w:rStyle w:val="FootnoteReference"/>
          <w:b w:val="0"/>
          <w:sz w:val="20"/>
          <w:vertAlign w:val="baseline"/>
        </w:rPr>
        <w:footnoteReference w:customMarkFollows="1" w:id="2"/>
        <w:t>*</w:t>
      </w:r>
    </w:p>
    <w:p w:rsidR="002F14C0" w:rsidRPr="002F14C0" w:rsidRDefault="002F14C0" w:rsidP="002F14C0">
      <w:pPr>
        <w:spacing w:after="120"/>
        <w:rPr>
          <w:sz w:val="28"/>
        </w:rPr>
      </w:pPr>
      <w:r>
        <w:br w:type="page"/>
      </w:r>
      <w:r w:rsidRPr="002F14C0">
        <w:rPr>
          <w:sz w:val="28"/>
        </w:rPr>
        <w:lastRenderedPageBreak/>
        <w:t>Table des matières</w:t>
      </w:r>
    </w:p>
    <w:p w:rsidR="002F14C0" w:rsidRPr="002F14C0" w:rsidRDefault="002F14C0" w:rsidP="002F14C0">
      <w:pPr>
        <w:tabs>
          <w:tab w:val="right" w:pos="8929"/>
          <w:tab w:val="right" w:pos="9638"/>
        </w:tabs>
        <w:spacing w:after="120"/>
        <w:ind w:left="283"/>
        <w:rPr>
          <w:i/>
          <w:sz w:val="18"/>
        </w:rPr>
      </w:pPr>
      <w:r w:rsidRPr="002F14C0">
        <w:rPr>
          <w:i/>
          <w:sz w:val="18"/>
        </w:rPr>
        <w:tab/>
        <w:t>Paragraphes</w:t>
      </w:r>
      <w:r w:rsidRPr="002F14C0">
        <w:rPr>
          <w:i/>
          <w:sz w:val="18"/>
        </w:rPr>
        <w:tab/>
        <w:t>Page</w:t>
      </w:r>
    </w:p>
    <w:p w:rsidR="002F14C0" w:rsidRDefault="002F14C0" w:rsidP="002F14C0">
      <w:pPr>
        <w:tabs>
          <w:tab w:val="right" w:pos="850"/>
          <w:tab w:val="right" w:leader="dot" w:pos="7654"/>
          <w:tab w:val="right" w:pos="8929"/>
          <w:tab w:val="right" w:pos="9638"/>
        </w:tabs>
        <w:spacing w:after="120"/>
        <w:ind w:left="1134" w:hanging="1134"/>
      </w:pPr>
      <w:r>
        <w:tab/>
        <w:t>I.</w:t>
      </w:r>
      <w:r>
        <w:tab/>
      </w:r>
      <w:r w:rsidR="004E071E" w:rsidRPr="001E1AF0">
        <w:t>Participation</w:t>
      </w:r>
      <w:r>
        <w:tab/>
      </w:r>
      <w:r>
        <w:tab/>
      </w:r>
      <w:r w:rsidR="004E071E">
        <w:t>1–3</w:t>
      </w:r>
      <w:r>
        <w:tab/>
      </w:r>
      <w:r w:rsidR="004E071E">
        <w:t>3</w:t>
      </w:r>
    </w:p>
    <w:p w:rsidR="004E071E" w:rsidRDefault="004E071E" w:rsidP="002F14C0">
      <w:pPr>
        <w:tabs>
          <w:tab w:val="right" w:pos="850"/>
          <w:tab w:val="right" w:leader="dot" w:pos="7654"/>
          <w:tab w:val="right" w:pos="8929"/>
          <w:tab w:val="right" w:pos="9638"/>
        </w:tabs>
        <w:spacing w:after="120"/>
        <w:ind w:left="1134" w:hanging="1134"/>
        <w:rPr>
          <w:snapToGrid w:val="0"/>
        </w:rPr>
      </w:pPr>
      <w:r>
        <w:tab/>
        <w:t>II.</w:t>
      </w:r>
      <w:r>
        <w:tab/>
      </w:r>
      <w:r w:rsidRPr="001E1AF0">
        <w:rPr>
          <w:snapToGrid w:val="0"/>
        </w:rPr>
        <w:t xml:space="preserve">Adoption </w:t>
      </w:r>
      <w:r>
        <w:rPr>
          <w:snapToGrid w:val="0"/>
        </w:rPr>
        <w:t>de l</w:t>
      </w:r>
      <w:r w:rsidR="00AB2520">
        <w:rPr>
          <w:snapToGrid w:val="0"/>
        </w:rPr>
        <w:t>’</w:t>
      </w:r>
      <w:r>
        <w:rPr>
          <w:snapToGrid w:val="0"/>
        </w:rPr>
        <w:t>ordre du jour</w:t>
      </w:r>
      <w:r w:rsidRPr="001E1AF0">
        <w:rPr>
          <w:snapToGrid w:val="0"/>
        </w:rPr>
        <w:t xml:space="preserve"> (</w:t>
      </w:r>
      <w:r>
        <w:rPr>
          <w:snapToGrid w:val="0"/>
        </w:rPr>
        <w:t xml:space="preserve">point </w:t>
      </w:r>
      <w:r w:rsidRPr="001E1AF0">
        <w:rPr>
          <w:snapToGrid w:val="0"/>
        </w:rPr>
        <w:t>1</w:t>
      </w:r>
      <w:r>
        <w:rPr>
          <w:snapToGrid w:val="0"/>
        </w:rPr>
        <w:t xml:space="preserve"> de l</w:t>
      </w:r>
      <w:r w:rsidR="00AB2520">
        <w:rPr>
          <w:snapToGrid w:val="0"/>
        </w:rPr>
        <w:t>’</w:t>
      </w:r>
      <w:r>
        <w:rPr>
          <w:snapToGrid w:val="0"/>
        </w:rPr>
        <w:t>ordre du jour</w:t>
      </w:r>
      <w:r w:rsidRPr="001E1AF0">
        <w:rPr>
          <w:snapToGrid w:val="0"/>
        </w:rPr>
        <w:t>)</w:t>
      </w:r>
      <w:r>
        <w:rPr>
          <w:snapToGrid w:val="0"/>
        </w:rPr>
        <w:tab/>
      </w:r>
      <w:r>
        <w:rPr>
          <w:snapToGrid w:val="0"/>
        </w:rPr>
        <w:tab/>
        <w:t>4</w:t>
      </w:r>
      <w:r>
        <w:rPr>
          <w:snapToGrid w:val="0"/>
        </w:rPr>
        <w:tab/>
        <w:t>3</w:t>
      </w:r>
    </w:p>
    <w:p w:rsidR="004E071E" w:rsidRDefault="004E071E" w:rsidP="002F14C0">
      <w:pPr>
        <w:tabs>
          <w:tab w:val="right" w:pos="850"/>
          <w:tab w:val="right" w:leader="dot" w:pos="7654"/>
          <w:tab w:val="right" w:pos="8929"/>
          <w:tab w:val="right" w:pos="9638"/>
        </w:tabs>
        <w:spacing w:after="120"/>
        <w:ind w:left="1134" w:hanging="1134"/>
        <w:rPr>
          <w:snapToGrid w:val="0"/>
        </w:rPr>
      </w:pPr>
      <w:r>
        <w:rPr>
          <w:snapToGrid w:val="0"/>
        </w:rPr>
        <w:tab/>
        <w:t>III.</w:t>
      </w:r>
      <w:r>
        <w:rPr>
          <w:snapToGrid w:val="0"/>
        </w:rPr>
        <w:tab/>
      </w:r>
      <w:r w:rsidRPr="001E1AF0">
        <w:rPr>
          <w:snapToGrid w:val="0"/>
        </w:rPr>
        <w:t xml:space="preserve">Élection </w:t>
      </w:r>
      <w:r>
        <w:rPr>
          <w:snapToGrid w:val="0"/>
        </w:rPr>
        <w:t>du Bureau pour</w:t>
      </w:r>
      <w:r w:rsidRPr="001E1AF0">
        <w:rPr>
          <w:snapToGrid w:val="0"/>
        </w:rPr>
        <w:t xml:space="preserve"> 2016 (</w:t>
      </w:r>
      <w:r>
        <w:rPr>
          <w:snapToGrid w:val="0"/>
        </w:rPr>
        <w:t>point 2 de l</w:t>
      </w:r>
      <w:r w:rsidR="00AB2520">
        <w:rPr>
          <w:snapToGrid w:val="0"/>
        </w:rPr>
        <w:t>’</w:t>
      </w:r>
      <w:r>
        <w:rPr>
          <w:snapToGrid w:val="0"/>
        </w:rPr>
        <w:t>ordre du jour</w:t>
      </w:r>
      <w:r w:rsidRPr="001E1AF0">
        <w:rPr>
          <w:snapToGrid w:val="0"/>
        </w:rPr>
        <w:t>)</w:t>
      </w:r>
      <w:r>
        <w:rPr>
          <w:snapToGrid w:val="0"/>
        </w:rPr>
        <w:tab/>
      </w:r>
      <w:r>
        <w:rPr>
          <w:snapToGrid w:val="0"/>
        </w:rPr>
        <w:tab/>
        <w:t>5</w:t>
      </w:r>
      <w:r>
        <w:rPr>
          <w:snapToGrid w:val="0"/>
        </w:rPr>
        <w:tab/>
        <w:t>3</w:t>
      </w:r>
    </w:p>
    <w:p w:rsidR="004E071E" w:rsidRDefault="004E071E" w:rsidP="002F14C0">
      <w:pPr>
        <w:tabs>
          <w:tab w:val="right" w:pos="850"/>
          <w:tab w:val="right" w:leader="dot" w:pos="7654"/>
          <w:tab w:val="right" w:pos="8929"/>
          <w:tab w:val="right" w:pos="9638"/>
        </w:tabs>
        <w:spacing w:after="120"/>
        <w:ind w:left="1134" w:hanging="1134"/>
        <w:rPr>
          <w:snapToGrid w:val="0"/>
        </w:rPr>
      </w:pPr>
      <w:r>
        <w:rPr>
          <w:snapToGrid w:val="0"/>
        </w:rPr>
        <w:tab/>
        <w:t>IV.</w:t>
      </w:r>
      <w:r>
        <w:rPr>
          <w:snapToGrid w:val="0"/>
        </w:rPr>
        <w:tab/>
        <w:t>État de l</w:t>
      </w:r>
      <w:r w:rsidR="00AB2520">
        <w:rPr>
          <w:snapToGrid w:val="0"/>
        </w:rPr>
        <w:t>’</w:t>
      </w:r>
      <w:r>
        <w:rPr>
          <w:snapToGrid w:val="0"/>
        </w:rPr>
        <w:t xml:space="preserve">Accord européen relatif au </w:t>
      </w:r>
      <w:r w:rsidRPr="001E1AF0">
        <w:t xml:space="preserve">transport international des marchandises </w:t>
      </w:r>
      <w:r>
        <w:br/>
      </w:r>
      <w:r w:rsidRPr="001E1AF0">
        <w:t>dangereuses par voies de navigation intérieures (ADN)</w:t>
      </w:r>
      <w:r>
        <w:t xml:space="preserve"> </w:t>
      </w:r>
      <w:r>
        <w:br/>
      </w:r>
      <w:r w:rsidRPr="001E1AF0">
        <w:rPr>
          <w:snapToGrid w:val="0"/>
        </w:rPr>
        <w:t>(</w:t>
      </w:r>
      <w:r>
        <w:rPr>
          <w:snapToGrid w:val="0"/>
        </w:rPr>
        <w:t>point 3 de l</w:t>
      </w:r>
      <w:r w:rsidR="00AB2520">
        <w:rPr>
          <w:snapToGrid w:val="0"/>
        </w:rPr>
        <w:t>’</w:t>
      </w:r>
      <w:r>
        <w:rPr>
          <w:snapToGrid w:val="0"/>
        </w:rPr>
        <w:t>ordre du jour</w:t>
      </w:r>
      <w:r w:rsidRPr="001E1AF0">
        <w:rPr>
          <w:snapToGrid w:val="0"/>
        </w:rPr>
        <w:t>)</w:t>
      </w:r>
      <w:r>
        <w:rPr>
          <w:snapToGrid w:val="0"/>
        </w:rPr>
        <w:tab/>
      </w:r>
      <w:r>
        <w:rPr>
          <w:snapToGrid w:val="0"/>
        </w:rPr>
        <w:tab/>
        <w:t>6</w:t>
      </w:r>
      <w:r>
        <w:rPr>
          <w:snapToGrid w:val="0"/>
        </w:rPr>
        <w:tab/>
        <w:t>3</w:t>
      </w:r>
    </w:p>
    <w:p w:rsidR="004E071E" w:rsidRDefault="004E071E" w:rsidP="002F14C0">
      <w:pPr>
        <w:tabs>
          <w:tab w:val="right" w:pos="850"/>
          <w:tab w:val="right" w:leader="dot" w:pos="7654"/>
          <w:tab w:val="right" w:pos="8929"/>
          <w:tab w:val="right" w:pos="9638"/>
        </w:tabs>
        <w:spacing w:after="120"/>
        <w:ind w:left="1134" w:hanging="1134"/>
      </w:pPr>
      <w:r>
        <w:rPr>
          <w:snapToGrid w:val="0"/>
        </w:rPr>
        <w:tab/>
        <w:t>V.</w:t>
      </w:r>
      <w:r>
        <w:rPr>
          <w:snapToGrid w:val="0"/>
        </w:rPr>
        <w:tab/>
        <w:t>Questions relatives à la mise en œuvre de l</w:t>
      </w:r>
      <w:r w:rsidR="00AB2520">
        <w:rPr>
          <w:snapToGrid w:val="0"/>
        </w:rPr>
        <w:t>’</w:t>
      </w:r>
      <w:r w:rsidRPr="001E1AF0">
        <w:rPr>
          <w:snapToGrid w:val="0"/>
        </w:rPr>
        <w:t xml:space="preserve">ADN </w:t>
      </w:r>
      <w:r w:rsidRPr="001E1AF0">
        <w:rPr>
          <w:snapToGrid w:val="0"/>
        </w:rPr>
        <w:br/>
        <w:t>(</w:t>
      </w:r>
      <w:r>
        <w:rPr>
          <w:snapToGrid w:val="0"/>
        </w:rPr>
        <w:t>point 4 de l</w:t>
      </w:r>
      <w:r w:rsidR="00AB2520">
        <w:rPr>
          <w:snapToGrid w:val="0"/>
        </w:rPr>
        <w:t>’</w:t>
      </w:r>
      <w:r>
        <w:rPr>
          <w:snapToGrid w:val="0"/>
        </w:rPr>
        <w:t>ordre du jour</w:t>
      </w:r>
      <w:r w:rsidRPr="001E1AF0">
        <w:rPr>
          <w:snapToGrid w:val="0"/>
        </w:rPr>
        <w:t>)</w:t>
      </w:r>
      <w:r>
        <w:rPr>
          <w:snapToGrid w:val="0"/>
        </w:rPr>
        <w:tab/>
      </w:r>
      <w:r>
        <w:rPr>
          <w:snapToGrid w:val="0"/>
        </w:rPr>
        <w:tab/>
        <w:t>7–13</w:t>
      </w:r>
      <w:r>
        <w:rPr>
          <w:snapToGrid w:val="0"/>
        </w:rPr>
        <w:tab/>
        <w:t>3</w:t>
      </w:r>
    </w:p>
    <w:p w:rsidR="002F14C0" w:rsidRDefault="002F14C0" w:rsidP="002F14C0">
      <w:pPr>
        <w:tabs>
          <w:tab w:val="right" w:leader="dot" w:pos="7654"/>
          <w:tab w:val="right" w:pos="8929"/>
          <w:tab w:val="right" w:pos="9638"/>
        </w:tabs>
        <w:spacing w:after="120"/>
        <w:ind w:left="1559" w:hanging="425"/>
      </w:pPr>
      <w:r>
        <w:t>A.</w:t>
      </w:r>
      <w:r>
        <w:tab/>
      </w:r>
      <w:r w:rsidR="004E071E">
        <w:rPr>
          <w:snapToGrid w:val="0"/>
        </w:rPr>
        <w:t>Sociétés de classification</w:t>
      </w:r>
      <w:r>
        <w:tab/>
      </w:r>
      <w:r>
        <w:tab/>
      </w:r>
      <w:r w:rsidR="004E071E">
        <w:t>7–8</w:t>
      </w:r>
      <w:r>
        <w:tab/>
      </w:r>
      <w:r w:rsidR="004E071E">
        <w:t>3</w:t>
      </w:r>
    </w:p>
    <w:p w:rsidR="004E071E" w:rsidRDefault="004E071E" w:rsidP="002F14C0">
      <w:pPr>
        <w:tabs>
          <w:tab w:val="right" w:leader="dot" w:pos="7654"/>
          <w:tab w:val="right" w:pos="8929"/>
          <w:tab w:val="right" w:pos="9638"/>
        </w:tabs>
        <w:spacing w:after="120"/>
        <w:ind w:left="1559" w:hanging="425"/>
        <w:rPr>
          <w:snapToGrid w:val="0"/>
        </w:rPr>
      </w:pPr>
      <w:r>
        <w:t>B.</w:t>
      </w:r>
      <w:r>
        <w:tab/>
      </w:r>
      <w:r>
        <w:rPr>
          <w:snapToGrid w:val="0"/>
        </w:rPr>
        <w:t>Autorisations spéciales, dérogations et équivalences</w:t>
      </w:r>
      <w:r>
        <w:rPr>
          <w:snapToGrid w:val="0"/>
        </w:rPr>
        <w:tab/>
      </w:r>
      <w:r>
        <w:rPr>
          <w:snapToGrid w:val="0"/>
        </w:rPr>
        <w:tab/>
        <w:t>9–10</w:t>
      </w:r>
      <w:r>
        <w:rPr>
          <w:snapToGrid w:val="0"/>
        </w:rPr>
        <w:tab/>
        <w:t>4</w:t>
      </w:r>
    </w:p>
    <w:p w:rsidR="004E071E" w:rsidRDefault="004E071E" w:rsidP="002F14C0">
      <w:pPr>
        <w:tabs>
          <w:tab w:val="right" w:leader="dot" w:pos="7654"/>
          <w:tab w:val="right" w:pos="8929"/>
          <w:tab w:val="right" w:pos="9638"/>
        </w:tabs>
        <w:spacing w:after="120"/>
        <w:ind w:left="1559" w:hanging="425"/>
      </w:pPr>
      <w:r>
        <w:rPr>
          <w:snapToGrid w:val="0"/>
        </w:rPr>
        <w:t>C.</w:t>
      </w:r>
      <w:r>
        <w:rPr>
          <w:snapToGrid w:val="0"/>
        </w:rPr>
        <w:tab/>
        <w:t>N</w:t>
      </w:r>
      <w:r w:rsidRPr="001E1AF0">
        <w:t>otifications</w:t>
      </w:r>
      <w:r>
        <w:t xml:space="preserve"> diverses</w:t>
      </w:r>
      <w:r>
        <w:tab/>
      </w:r>
      <w:r>
        <w:tab/>
        <w:t>11–12</w:t>
      </w:r>
      <w:r>
        <w:tab/>
        <w:t>4</w:t>
      </w:r>
    </w:p>
    <w:p w:rsidR="004E071E" w:rsidRDefault="004E071E" w:rsidP="002F14C0">
      <w:pPr>
        <w:tabs>
          <w:tab w:val="right" w:leader="dot" w:pos="7654"/>
          <w:tab w:val="right" w:pos="8929"/>
          <w:tab w:val="right" w:pos="9638"/>
        </w:tabs>
        <w:spacing w:after="120"/>
        <w:ind w:left="1559" w:hanging="425"/>
        <w:rPr>
          <w:snapToGrid w:val="0"/>
        </w:rPr>
      </w:pPr>
      <w:r>
        <w:t>D.</w:t>
      </w:r>
      <w:r>
        <w:tab/>
      </w:r>
      <w:r>
        <w:rPr>
          <w:snapToGrid w:val="0"/>
        </w:rPr>
        <w:t>Autres questions</w:t>
      </w:r>
      <w:r>
        <w:rPr>
          <w:snapToGrid w:val="0"/>
        </w:rPr>
        <w:tab/>
      </w:r>
      <w:r>
        <w:rPr>
          <w:snapToGrid w:val="0"/>
        </w:rPr>
        <w:tab/>
        <w:t>13</w:t>
      </w:r>
      <w:r>
        <w:rPr>
          <w:snapToGrid w:val="0"/>
        </w:rPr>
        <w:tab/>
        <w:t>4</w:t>
      </w:r>
    </w:p>
    <w:p w:rsidR="004E071E" w:rsidRDefault="00E0783F" w:rsidP="00E0783F">
      <w:pPr>
        <w:tabs>
          <w:tab w:val="right" w:pos="850"/>
          <w:tab w:val="right" w:leader="dot" w:pos="7654"/>
          <w:tab w:val="right" w:pos="8929"/>
          <w:tab w:val="right" w:pos="9638"/>
        </w:tabs>
        <w:spacing w:after="120"/>
        <w:ind w:left="1134" w:hanging="1134"/>
        <w:rPr>
          <w:snapToGrid w:val="0"/>
        </w:rPr>
      </w:pPr>
      <w:r>
        <w:tab/>
        <w:t>VI.</w:t>
      </w:r>
      <w:r>
        <w:tab/>
      </w:r>
      <w:r>
        <w:rPr>
          <w:snapToGrid w:val="0"/>
        </w:rPr>
        <w:t>Travaux du Comité de sécurité</w:t>
      </w:r>
      <w:r w:rsidRPr="001E1AF0">
        <w:rPr>
          <w:snapToGrid w:val="0"/>
        </w:rPr>
        <w:t xml:space="preserve"> (</w:t>
      </w:r>
      <w:r>
        <w:rPr>
          <w:snapToGrid w:val="0"/>
        </w:rPr>
        <w:t>point 5 de l</w:t>
      </w:r>
      <w:r w:rsidR="00AB2520">
        <w:rPr>
          <w:snapToGrid w:val="0"/>
        </w:rPr>
        <w:t>’</w:t>
      </w:r>
      <w:r>
        <w:rPr>
          <w:snapToGrid w:val="0"/>
        </w:rPr>
        <w:t>ordre du jour</w:t>
      </w:r>
      <w:r w:rsidRPr="001E1AF0">
        <w:rPr>
          <w:snapToGrid w:val="0"/>
        </w:rPr>
        <w:t>)</w:t>
      </w:r>
      <w:r>
        <w:rPr>
          <w:snapToGrid w:val="0"/>
        </w:rPr>
        <w:tab/>
      </w:r>
      <w:r>
        <w:rPr>
          <w:snapToGrid w:val="0"/>
        </w:rPr>
        <w:tab/>
        <w:t>14–16</w:t>
      </w:r>
      <w:r>
        <w:rPr>
          <w:snapToGrid w:val="0"/>
        </w:rPr>
        <w:tab/>
        <w:t>4</w:t>
      </w:r>
    </w:p>
    <w:p w:rsidR="00E0783F" w:rsidRDefault="00E0783F" w:rsidP="00E0783F">
      <w:pPr>
        <w:tabs>
          <w:tab w:val="right" w:pos="850"/>
          <w:tab w:val="right" w:leader="dot" w:pos="7654"/>
          <w:tab w:val="right" w:pos="8929"/>
          <w:tab w:val="right" w:pos="9638"/>
        </w:tabs>
        <w:spacing w:after="120"/>
        <w:ind w:left="1134" w:hanging="1134"/>
        <w:rPr>
          <w:snapToGrid w:val="0"/>
        </w:rPr>
      </w:pPr>
      <w:r>
        <w:rPr>
          <w:snapToGrid w:val="0"/>
        </w:rPr>
        <w:tab/>
        <w:t>VII.</w:t>
      </w:r>
      <w:r>
        <w:rPr>
          <w:snapToGrid w:val="0"/>
        </w:rPr>
        <w:tab/>
      </w:r>
      <w:r w:rsidRPr="00E0783F">
        <w:rPr>
          <w:snapToGrid w:val="0"/>
        </w:rPr>
        <w:t>Programme de travail et calendrier des réunions (point 6 de l</w:t>
      </w:r>
      <w:r w:rsidR="00AB2520">
        <w:rPr>
          <w:snapToGrid w:val="0"/>
        </w:rPr>
        <w:t>’</w:t>
      </w:r>
      <w:r w:rsidRPr="00E0783F">
        <w:rPr>
          <w:snapToGrid w:val="0"/>
        </w:rPr>
        <w:t>ordre du jour)</w:t>
      </w:r>
      <w:r>
        <w:rPr>
          <w:snapToGrid w:val="0"/>
        </w:rPr>
        <w:tab/>
      </w:r>
      <w:r>
        <w:rPr>
          <w:snapToGrid w:val="0"/>
        </w:rPr>
        <w:tab/>
        <w:t>17</w:t>
      </w:r>
      <w:r>
        <w:rPr>
          <w:snapToGrid w:val="0"/>
        </w:rPr>
        <w:tab/>
        <w:t>5</w:t>
      </w:r>
    </w:p>
    <w:p w:rsidR="00E0783F" w:rsidRDefault="00E0783F" w:rsidP="00E0783F">
      <w:pPr>
        <w:tabs>
          <w:tab w:val="right" w:pos="850"/>
          <w:tab w:val="right" w:leader="dot" w:pos="7654"/>
          <w:tab w:val="right" w:pos="8929"/>
          <w:tab w:val="right" w:pos="9638"/>
        </w:tabs>
        <w:spacing w:after="120"/>
        <w:ind w:left="1134" w:hanging="1134"/>
        <w:rPr>
          <w:snapToGrid w:val="0"/>
        </w:rPr>
      </w:pPr>
      <w:r>
        <w:rPr>
          <w:snapToGrid w:val="0"/>
        </w:rPr>
        <w:tab/>
        <w:t>VIII.</w:t>
      </w:r>
      <w:r>
        <w:rPr>
          <w:snapToGrid w:val="0"/>
        </w:rPr>
        <w:tab/>
      </w:r>
      <w:r w:rsidRPr="00E0783F">
        <w:rPr>
          <w:snapToGrid w:val="0"/>
        </w:rPr>
        <w:t>Questions diverses (point 7 de l</w:t>
      </w:r>
      <w:r w:rsidR="00AB2520">
        <w:rPr>
          <w:snapToGrid w:val="0"/>
        </w:rPr>
        <w:t>’</w:t>
      </w:r>
      <w:r w:rsidRPr="00E0783F">
        <w:rPr>
          <w:snapToGrid w:val="0"/>
        </w:rPr>
        <w:t>ordre du jour)</w:t>
      </w:r>
      <w:r>
        <w:rPr>
          <w:snapToGrid w:val="0"/>
        </w:rPr>
        <w:tab/>
      </w:r>
      <w:r>
        <w:rPr>
          <w:snapToGrid w:val="0"/>
        </w:rPr>
        <w:tab/>
        <w:t>18</w:t>
      </w:r>
      <w:r>
        <w:rPr>
          <w:snapToGrid w:val="0"/>
        </w:rPr>
        <w:tab/>
        <w:t>5</w:t>
      </w:r>
    </w:p>
    <w:p w:rsidR="00E0783F" w:rsidRPr="00E0783F" w:rsidRDefault="00E0783F" w:rsidP="00E0783F">
      <w:pPr>
        <w:tabs>
          <w:tab w:val="right" w:pos="850"/>
          <w:tab w:val="right" w:leader="dot" w:pos="7654"/>
          <w:tab w:val="right" w:pos="8929"/>
          <w:tab w:val="right" w:pos="9638"/>
        </w:tabs>
        <w:spacing w:after="120"/>
        <w:ind w:left="1134" w:hanging="1134"/>
        <w:rPr>
          <w:snapToGrid w:val="0"/>
        </w:rPr>
      </w:pPr>
      <w:r>
        <w:rPr>
          <w:snapToGrid w:val="0"/>
        </w:rPr>
        <w:tab/>
        <w:t>IX.</w:t>
      </w:r>
      <w:r>
        <w:rPr>
          <w:snapToGrid w:val="0"/>
        </w:rPr>
        <w:tab/>
      </w:r>
      <w:r w:rsidRPr="00E0783F">
        <w:rPr>
          <w:snapToGrid w:val="0"/>
        </w:rPr>
        <w:t>Adoption du rapport (point 8 de l</w:t>
      </w:r>
      <w:r w:rsidR="00AB2520">
        <w:rPr>
          <w:snapToGrid w:val="0"/>
        </w:rPr>
        <w:t>’</w:t>
      </w:r>
      <w:r w:rsidRPr="00E0783F">
        <w:rPr>
          <w:snapToGrid w:val="0"/>
        </w:rPr>
        <w:t>ordre du jour)</w:t>
      </w:r>
      <w:r>
        <w:rPr>
          <w:snapToGrid w:val="0"/>
        </w:rPr>
        <w:tab/>
      </w:r>
      <w:r>
        <w:rPr>
          <w:snapToGrid w:val="0"/>
        </w:rPr>
        <w:tab/>
        <w:t>19</w:t>
      </w:r>
      <w:r>
        <w:rPr>
          <w:snapToGrid w:val="0"/>
        </w:rPr>
        <w:tab/>
        <w:t>5</w:t>
      </w:r>
    </w:p>
    <w:p w:rsidR="002F14C0" w:rsidRPr="002F14C0" w:rsidRDefault="00F77A14" w:rsidP="002F14C0">
      <w:pPr>
        <w:tabs>
          <w:tab w:val="right" w:pos="850"/>
        </w:tabs>
        <w:spacing w:after="120"/>
      </w:pPr>
      <w:r>
        <w:tab/>
        <w:t>Annexe</w:t>
      </w:r>
    </w:p>
    <w:p w:rsidR="002F14C0" w:rsidRPr="00E0783F" w:rsidRDefault="00E0783F" w:rsidP="002F14C0">
      <w:pPr>
        <w:tabs>
          <w:tab w:val="right" w:pos="850"/>
          <w:tab w:val="right" w:leader="dot" w:pos="8929"/>
          <w:tab w:val="right" w:pos="9638"/>
        </w:tabs>
        <w:spacing w:after="120"/>
        <w:ind w:left="1134" w:hanging="1134"/>
      </w:pPr>
      <w:r>
        <w:tab/>
      </w:r>
      <w:r w:rsidR="002F14C0">
        <w:tab/>
      </w:r>
      <w:r w:rsidRPr="00E0783F">
        <w:t>Décision du Comité d</w:t>
      </w:r>
      <w:r w:rsidR="00AB2520">
        <w:t>’</w:t>
      </w:r>
      <w:r w:rsidRPr="00E0783F">
        <w:t>administration de l</w:t>
      </w:r>
      <w:r w:rsidR="00AB2520">
        <w:t>’</w:t>
      </w:r>
      <w:r w:rsidRPr="00E0783F">
        <w:t>ADN au sujet de l</w:t>
      </w:r>
      <w:r w:rsidR="00AB2520">
        <w:t>’</w:t>
      </w:r>
      <w:r w:rsidRPr="00E0783F">
        <w:t xml:space="preserve">utilisation </w:t>
      </w:r>
      <w:r>
        <w:br/>
      </w:r>
      <w:r w:rsidRPr="00E0783F">
        <w:t>d</w:t>
      </w:r>
      <w:r w:rsidR="00AB2520">
        <w:t>’</w:t>
      </w:r>
      <w:r w:rsidRPr="00E0783F">
        <w:t>une installation d</w:t>
      </w:r>
      <w:r w:rsidR="00AB2520">
        <w:t>’</w:t>
      </w:r>
      <w:r w:rsidRPr="00E0783F">
        <w:t>extinction d</w:t>
      </w:r>
      <w:r w:rsidR="00AB2520">
        <w:t>’</w:t>
      </w:r>
      <w:r w:rsidRPr="00E0783F">
        <w:t xml:space="preserve">incendie générant </w:t>
      </w:r>
      <w:r>
        <w:br/>
      </w:r>
      <w:r w:rsidRPr="00E0783F">
        <w:t xml:space="preserve">un aérosol sec sur le bateau-citerne </w:t>
      </w:r>
      <w:r w:rsidRPr="00E0783F">
        <w:rPr>
          <w:i/>
        </w:rPr>
        <w:t>Chemgas 851</w:t>
      </w:r>
      <w:r w:rsidR="002F14C0" w:rsidRPr="00E0783F">
        <w:tab/>
      </w:r>
      <w:r w:rsidR="002F14C0" w:rsidRPr="00E0783F">
        <w:tab/>
      </w:r>
      <w:r>
        <w:t>6</w:t>
      </w:r>
    </w:p>
    <w:p w:rsidR="002F14C0" w:rsidRPr="001E1AF0" w:rsidRDefault="002F14C0" w:rsidP="00AE0458">
      <w:pPr>
        <w:pStyle w:val="HChG"/>
      </w:pPr>
      <w:r>
        <w:br w:type="page"/>
      </w:r>
      <w:r w:rsidRPr="001E1AF0">
        <w:lastRenderedPageBreak/>
        <w:tab/>
        <w:t>I.</w:t>
      </w:r>
      <w:r w:rsidRPr="001E1AF0">
        <w:tab/>
        <w:t>Participation</w:t>
      </w:r>
    </w:p>
    <w:p w:rsidR="002F14C0" w:rsidRPr="001E1AF0" w:rsidRDefault="002F14C0" w:rsidP="00AE0458">
      <w:pPr>
        <w:pStyle w:val="ParNoG"/>
      </w:pPr>
      <w:r w:rsidRPr="001E1AF0">
        <w:t>Le Comité d</w:t>
      </w:r>
      <w:r w:rsidR="00AB2520">
        <w:t>’</w:t>
      </w:r>
      <w:r w:rsidRPr="001E1AF0">
        <w:t>administration de l</w:t>
      </w:r>
      <w:r w:rsidR="00AB2520">
        <w:t>’</w:t>
      </w:r>
      <w:r w:rsidRPr="001E1AF0">
        <w:t>Accord européen relatif au transport international des marchandises dangereuses par voies de navigation intérieures (ADN) a tenu sa seizième session à Genève le 29 janvier 2016. Des représentants des Parties contractantes ci-après ont pris part aux travaux de la session : Allemagne, Autriche, Belgique, Croatie, Fédération de Russie, France, Luxembourg, Pays-Bas, Roumanie, Slovaquie, Suisse et Ukraine.</w:t>
      </w:r>
    </w:p>
    <w:p w:rsidR="002F14C0" w:rsidRPr="001E1AF0" w:rsidRDefault="002F14C0" w:rsidP="00AE0458">
      <w:pPr>
        <w:pStyle w:val="ParNoG"/>
        <w:tabs>
          <w:tab w:val="clear" w:pos="1701"/>
        </w:tabs>
      </w:pPr>
      <w:r w:rsidRPr="001E1AF0">
        <w:t>Le Comité d</w:t>
      </w:r>
      <w:r w:rsidR="00AB2520">
        <w:t>’</w:t>
      </w:r>
      <w:r w:rsidRPr="001E1AF0">
        <w:t xml:space="preserve">administration a noté que le quorum nécessaire </w:t>
      </w:r>
      <w:r>
        <w:t>à toute prise</w:t>
      </w:r>
      <w:r w:rsidRPr="001E1AF0">
        <w:t xml:space="preserve"> de décisions, soit la moitié des Parties contractantes, </w:t>
      </w:r>
      <w:r>
        <w:t>ét</w:t>
      </w:r>
      <w:r w:rsidRPr="001E1AF0">
        <w:t>ait atteint.</w:t>
      </w:r>
    </w:p>
    <w:p w:rsidR="002F14C0" w:rsidRPr="001E1AF0" w:rsidRDefault="002F14C0" w:rsidP="00AE0458">
      <w:pPr>
        <w:pStyle w:val="ParNoG"/>
        <w:tabs>
          <w:tab w:val="clear" w:pos="1701"/>
        </w:tabs>
      </w:pPr>
      <w:r w:rsidRPr="001E1AF0">
        <w:t>Conformément au paragraphe 2 de l</w:t>
      </w:r>
      <w:r w:rsidR="00AB2520">
        <w:t>’</w:t>
      </w:r>
      <w:r w:rsidRPr="001E1AF0">
        <w:t>article 17 de l</w:t>
      </w:r>
      <w:r w:rsidR="00AB2520">
        <w:t>’</w:t>
      </w:r>
      <w:r w:rsidRPr="001E1AF0">
        <w:t xml:space="preserve">ADN, et </w:t>
      </w:r>
      <w:r>
        <w:t>s</w:t>
      </w:r>
      <w:r w:rsidRPr="001E1AF0">
        <w:t xml:space="preserve">uite à une décision du Comité </w:t>
      </w:r>
      <w:r>
        <w:t>(</w:t>
      </w:r>
      <w:r w:rsidRPr="001E1AF0">
        <w:t>ECE/ADN/2, par. 8), un représentant de la Commission</w:t>
      </w:r>
      <w:r>
        <w:t xml:space="preserve"> centrale pour la navigation sur le Rhin </w:t>
      </w:r>
      <w:r w:rsidRPr="001E1AF0">
        <w:t xml:space="preserve">(CCNR) </w:t>
      </w:r>
      <w:r>
        <w:t>a pris part à la session en qualité d</w:t>
      </w:r>
      <w:r w:rsidR="00AB2520">
        <w:t>’</w:t>
      </w:r>
      <w:r>
        <w:t>observateur</w:t>
      </w:r>
      <w:r w:rsidRPr="001E1AF0">
        <w:t>.</w:t>
      </w:r>
    </w:p>
    <w:p w:rsidR="002F14C0" w:rsidRPr="001E1AF0" w:rsidRDefault="002F14C0" w:rsidP="00AE0458">
      <w:pPr>
        <w:pStyle w:val="HChG"/>
        <w:rPr>
          <w:snapToGrid w:val="0"/>
        </w:rPr>
      </w:pPr>
      <w:r w:rsidRPr="001E1AF0">
        <w:rPr>
          <w:snapToGrid w:val="0"/>
        </w:rPr>
        <w:tab/>
        <w:t>II.</w:t>
      </w:r>
      <w:r w:rsidRPr="001E1AF0">
        <w:rPr>
          <w:snapToGrid w:val="0"/>
        </w:rPr>
        <w:tab/>
        <w:t xml:space="preserve">Adoption </w:t>
      </w:r>
      <w:r>
        <w:rPr>
          <w:snapToGrid w:val="0"/>
        </w:rPr>
        <w:t>de l</w:t>
      </w:r>
      <w:r w:rsidR="00AB2520">
        <w:rPr>
          <w:snapToGrid w:val="0"/>
        </w:rPr>
        <w:t>’</w:t>
      </w:r>
      <w:r>
        <w:rPr>
          <w:snapToGrid w:val="0"/>
        </w:rPr>
        <w:t>ordre du jour</w:t>
      </w:r>
      <w:r w:rsidRPr="001E1AF0">
        <w:rPr>
          <w:snapToGrid w:val="0"/>
        </w:rPr>
        <w:t xml:space="preserve"> </w:t>
      </w:r>
      <w:r w:rsidR="00AE0458">
        <w:rPr>
          <w:snapToGrid w:val="0"/>
        </w:rPr>
        <w:br/>
      </w:r>
      <w:r w:rsidRPr="001E1AF0">
        <w:rPr>
          <w:snapToGrid w:val="0"/>
        </w:rPr>
        <w:t>(</w:t>
      </w:r>
      <w:r>
        <w:rPr>
          <w:snapToGrid w:val="0"/>
        </w:rPr>
        <w:t xml:space="preserve">point </w:t>
      </w:r>
      <w:r w:rsidRPr="001E1AF0">
        <w:rPr>
          <w:snapToGrid w:val="0"/>
        </w:rPr>
        <w:t>1</w:t>
      </w:r>
      <w:r>
        <w:rPr>
          <w:snapToGrid w:val="0"/>
        </w:rPr>
        <w:t xml:space="preserve"> de l</w:t>
      </w:r>
      <w:r w:rsidR="00AB2520">
        <w:rPr>
          <w:snapToGrid w:val="0"/>
        </w:rPr>
        <w:t>’</w:t>
      </w:r>
      <w:r>
        <w:rPr>
          <w:snapToGrid w:val="0"/>
        </w:rPr>
        <w:t>ordre du jour</w:t>
      </w:r>
      <w:r w:rsidRPr="001E1AF0">
        <w:rPr>
          <w:snapToGrid w:val="0"/>
        </w:rPr>
        <w:t>)</w:t>
      </w:r>
    </w:p>
    <w:p w:rsidR="002F14C0" w:rsidRPr="001E1AF0" w:rsidRDefault="002F14C0" w:rsidP="00AE0458">
      <w:pPr>
        <w:pStyle w:val="SingleTxtG"/>
        <w:rPr>
          <w:snapToGrid w:val="0"/>
        </w:rPr>
      </w:pPr>
      <w:r w:rsidRPr="001E1AF0">
        <w:rPr>
          <w:i/>
          <w:snapToGrid w:val="0"/>
        </w:rPr>
        <w:t>Documents</w:t>
      </w:r>
      <w:r>
        <w:rPr>
          <w:i/>
          <w:snapToGrid w:val="0"/>
        </w:rPr>
        <w:t> </w:t>
      </w:r>
      <w:r>
        <w:rPr>
          <w:snapToGrid w:val="0"/>
        </w:rPr>
        <w:t>:</w:t>
      </w:r>
      <w:r w:rsidRPr="001E1AF0">
        <w:rPr>
          <w:i/>
          <w:snapToGrid w:val="0"/>
        </w:rPr>
        <w:t xml:space="preserve"> </w:t>
      </w:r>
      <w:r w:rsidRPr="001E1AF0">
        <w:rPr>
          <w:snapToGrid w:val="0"/>
        </w:rPr>
        <w:t xml:space="preserve">ECE/ADN/34 </w:t>
      </w:r>
      <w:r>
        <w:rPr>
          <w:snapToGrid w:val="0"/>
        </w:rPr>
        <w:t>et</w:t>
      </w:r>
      <w:r w:rsidRPr="001E1AF0">
        <w:rPr>
          <w:snapToGrid w:val="0"/>
        </w:rPr>
        <w:t xml:space="preserve"> Add.1</w:t>
      </w:r>
    </w:p>
    <w:p w:rsidR="002F14C0" w:rsidRPr="001E1AF0" w:rsidRDefault="002F14C0" w:rsidP="00AE0458">
      <w:pPr>
        <w:pStyle w:val="ParNoG"/>
        <w:tabs>
          <w:tab w:val="clear" w:pos="1701"/>
        </w:tabs>
        <w:rPr>
          <w:snapToGrid w:val="0"/>
        </w:rPr>
      </w:pPr>
      <w:r w:rsidRPr="001E1AF0">
        <w:t>Le Comité d</w:t>
      </w:r>
      <w:r w:rsidR="00AB2520">
        <w:t>’</w:t>
      </w:r>
      <w:r w:rsidRPr="001E1AF0">
        <w:t xml:space="preserve">administration </w:t>
      </w:r>
      <w:r>
        <w:t>a adopté l</w:t>
      </w:r>
      <w:r w:rsidR="00AB2520">
        <w:t>’</w:t>
      </w:r>
      <w:r>
        <w:t xml:space="preserve">ordre du jour établi par le </w:t>
      </w:r>
      <w:r w:rsidRPr="001E1AF0">
        <w:rPr>
          <w:snapToGrid w:val="0"/>
        </w:rPr>
        <w:t>secrétariat.</w:t>
      </w:r>
    </w:p>
    <w:p w:rsidR="002F14C0" w:rsidRPr="001E1AF0" w:rsidRDefault="002F14C0" w:rsidP="00AE0458">
      <w:pPr>
        <w:pStyle w:val="HChG"/>
        <w:rPr>
          <w:snapToGrid w:val="0"/>
        </w:rPr>
      </w:pPr>
      <w:r w:rsidRPr="001E1AF0">
        <w:rPr>
          <w:snapToGrid w:val="0"/>
        </w:rPr>
        <w:tab/>
        <w:t>III.</w:t>
      </w:r>
      <w:r w:rsidRPr="001E1AF0">
        <w:rPr>
          <w:snapToGrid w:val="0"/>
        </w:rPr>
        <w:tab/>
        <w:t xml:space="preserve">Élection </w:t>
      </w:r>
      <w:r>
        <w:rPr>
          <w:snapToGrid w:val="0"/>
        </w:rPr>
        <w:t>du Bureau pour</w:t>
      </w:r>
      <w:r w:rsidRPr="001E1AF0">
        <w:rPr>
          <w:snapToGrid w:val="0"/>
        </w:rPr>
        <w:t xml:space="preserve"> 2016 </w:t>
      </w:r>
      <w:r w:rsidR="00AE0458">
        <w:rPr>
          <w:snapToGrid w:val="0"/>
        </w:rPr>
        <w:br/>
      </w:r>
      <w:r w:rsidRPr="001E1AF0">
        <w:rPr>
          <w:snapToGrid w:val="0"/>
        </w:rPr>
        <w:t>(</w:t>
      </w:r>
      <w:r>
        <w:rPr>
          <w:snapToGrid w:val="0"/>
        </w:rPr>
        <w:t>point 2 de l</w:t>
      </w:r>
      <w:r w:rsidR="00AB2520">
        <w:rPr>
          <w:snapToGrid w:val="0"/>
        </w:rPr>
        <w:t>’</w:t>
      </w:r>
      <w:r>
        <w:rPr>
          <w:snapToGrid w:val="0"/>
        </w:rPr>
        <w:t>ordre du jour</w:t>
      </w:r>
      <w:r w:rsidRPr="001E1AF0">
        <w:rPr>
          <w:snapToGrid w:val="0"/>
        </w:rPr>
        <w:t>)</w:t>
      </w:r>
    </w:p>
    <w:p w:rsidR="002F14C0" w:rsidRPr="001E1AF0" w:rsidRDefault="002F14C0" w:rsidP="00AE0458">
      <w:pPr>
        <w:pStyle w:val="ParNoG"/>
        <w:tabs>
          <w:tab w:val="clear" w:pos="1701"/>
        </w:tabs>
        <w:rPr>
          <w:b/>
          <w:snapToGrid w:val="0"/>
        </w:rPr>
      </w:pPr>
      <w:r>
        <w:rPr>
          <w:snapToGrid w:val="0"/>
        </w:rPr>
        <w:t xml:space="preserve">Sur proposition du représentant </w:t>
      </w:r>
      <w:r w:rsidRPr="00AE0458">
        <w:t>des</w:t>
      </w:r>
      <w:r>
        <w:rPr>
          <w:snapToGrid w:val="0"/>
        </w:rPr>
        <w:t xml:space="preserve"> Pays-Bas, M. </w:t>
      </w:r>
      <w:r w:rsidRPr="001E1AF0">
        <w:rPr>
          <w:snapToGrid w:val="0"/>
        </w:rPr>
        <w:t>H.</w:t>
      </w:r>
      <w:r>
        <w:rPr>
          <w:snapToGrid w:val="0"/>
        </w:rPr>
        <w:t> </w:t>
      </w:r>
      <w:r w:rsidRPr="001E1AF0">
        <w:rPr>
          <w:snapToGrid w:val="0"/>
        </w:rPr>
        <w:t>Rein (</w:t>
      </w:r>
      <w:r>
        <w:rPr>
          <w:snapToGrid w:val="0"/>
        </w:rPr>
        <w:t>Allemagne</w:t>
      </w:r>
      <w:r w:rsidRPr="001E1AF0">
        <w:rPr>
          <w:snapToGrid w:val="0"/>
        </w:rPr>
        <w:t xml:space="preserve">) </w:t>
      </w:r>
      <w:r>
        <w:rPr>
          <w:snapToGrid w:val="0"/>
        </w:rPr>
        <w:t xml:space="preserve">a été élu Président et M. B. </w:t>
      </w:r>
      <w:r w:rsidRPr="001E1AF0">
        <w:rPr>
          <w:snapToGrid w:val="0"/>
        </w:rPr>
        <w:t>Birklhuber (Au</w:t>
      </w:r>
      <w:r>
        <w:rPr>
          <w:snapToGrid w:val="0"/>
        </w:rPr>
        <w:t>triche</w:t>
      </w:r>
      <w:r w:rsidRPr="001E1AF0">
        <w:rPr>
          <w:snapToGrid w:val="0"/>
        </w:rPr>
        <w:t xml:space="preserve">) </w:t>
      </w:r>
      <w:r>
        <w:rPr>
          <w:snapToGrid w:val="0"/>
        </w:rPr>
        <w:t xml:space="preserve">a été élu Vice-Président pour les </w:t>
      </w:r>
      <w:r w:rsidRPr="001E1AF0">
        <w:rPr>
          <w:snapToGrid w:val="0"/>
        </w:rPr>
        <w:t xml:space="preserve">sessions </w:t>
      </w:r>
      <w:r>
        <w:rPr>
          <w:snapToGrid w:val="0"/>
        </w:rPr>
        <w:t>de</w:t>
      </w:r>
      <w:r w:rsidRPr="001E1AF0">
        <w:rPr>
          <w:snapToGrid w:val="0"/>
        </w:rPr>
        <w:t xml:space="preserve"> 2016.</w:t>
      </w:r>
    </w:p>
    <w:p w:rsidR="002F14C0" w:rsidRPr="001E1AF0" w:rsidRDefault="002F14C0" w:rsidP="00AE0458">
      <w:pPr>
        <w:pStyle w:val="HChG"/>
        <w:rPr>
          <w:snapToGrid w:val="0"/>
        </w:rPr>
      </w:pPr>
      <w:r w:rsidRPr="001E1AF0">
        <w:rPr>
          <w:snapToGrid w:val="0"/>
        </w:rPr>
        <w:tab/>
        <w:t>IV.</w:t>
      </w:r>
      <w:r w:rsidRPr="001E1AF0">
        <w:rPr>
          <w:snapToGrid w:val="0"/>
        </w:rPr>
        <w:tab/>
      </w:r>
      <w:r>
        <w:rPr>
          <w:snapToGrid w:val="0"/>
        </w:rPr>
        <w:t>État de l</w:t>
      </w:r>
      <w:r w:rsidR="00AB2520">
        <w:rPr>
          <w:snapToGrid w:val="0"/>
        </w:rPr>
        <w:t>’</w:t>
      </w:r>
      <w:r>
        <w:rPr>
          <w:snapToGrid w:val="0"/>
        </w:rPr>
        <w:t xml:space="preserve">Accord européen relatif au </w:t>
      </w:r>
      <w:r w:rsidRPr="001E1AF0">
        <w:t>transport international des marchandises dangereuses par voies de navigation intérieures (ADN)</w:t>
      </w:r>
      <w:r>
        <w:t xml:space="preserve"> </w:t>
      </w:r>
      <w:r w:rsidRPr="001E1AF0">
        <w:rPr>
          <w:snapToGrid w:val="0"/>
        </w:rPr>
        <w:t>(</w:t>
      </w:r>
      <w:r>
        <w:rPr>
          <w:snapToGrid w:val="0"/>
        </w:rPr>
        <w:t>point 3 de l</w:t>
      </w:r>
      <w:r w:rsidR="00AB2520">
        <w:rPr>
          <w:snapToGrid w:val="0"/>
        </w:rPr>
        <w:t>’</w:t>
      </w:r>
      <w:r>
        <w:rPr>
          <w:snapToGrid w:val="0"/>
        </w:rPr>
        <w:t>ordre du jour</w:t>
      </w:r>
      <w:r w:rsidRPr="001E1AF0">
        <w:rPr>
          <w:snapToGrid w:val="0"/>
        </w:rPr>
        <w:t>)</w:t>
      </w:r>
    </w:p>
    <w:p w:rsidR="002F14C0" w:rsidRDefault="002F14C0" w:rsidP="00AE0458">
      <w:pPr>
        <w:pStyle w:val="ParNoG"/>
        <w:tabs>
          <w:tab w:val="clear" w:pos="1701"/>
        </w:tabs>
      </w:pPr>
      <w:r w:rsidRPr="001E1AF0">
        <w:t>Le Comité d</w:t>
      </w:r>
      <w:r w:rsidR="00AB2520">
        <w:t>’</w:t>
      </w:r>
      <w:r w:rsidRPr="001E1AF0">
        <w:t xml:space="preserve">administration </w:t>
      </w:r>
      <w:r>
        <w:t>a noté que le nombre de Parties contractantes à l</w:t>
      </w:r>
      <w:r w:rsidR="00AB2520">
        <w:t>’</w:t>
      </w:r>
      <w:r>
        <w:t>ADN s</w:t>
      </w:r>
      <w:r w:rsidR="00AB2520">
        <w:t>’</w:t>
      </w:r>
      <w:r>
        <w:t xml:space="preserve">était maintenu à 18, à savoir : </w:t>
      </w:r>
      <w:r w:rsidRPr="001E1AF0">
        <w:t xml:space="preserve">Allemagne, Autriche, Belgique, </w:t>
      </w:r>
      <w:r>
        <w:t xml:space="preserve">Bulgarie, </w:t>
      </w:r>
      <w:r w:rsidRPr="00AE0458">
        <w:rPr>
          <w:snapToGrid w:val="0"/>
        </w:rPr>
        <w:t>Croatie</w:t>
      </w:r>
      <w:r w:rsidRPr="001E1AF0">
        <w:t xml:space="preserve">, Fédération de Russie, France, </w:t>
      </w:r>
      <w:r>
        <w:t xml:space="preserve">Hongrie, </w:t>
      </w:r>
      <w:r w:rsidRPr="001E1AF0">
        <w:t xml:space="preserve">Luxembourg, Pays-Bas, </w:t>
      </w:r>
      <w:r>
        <w:t xml:space="preserve">Pologne, République de Moldova, République tchèque, </w:t>
      </w:r>
      <w:r w:rsidRPr="001E1AF0">
        <w:t xml:space="preserve">Roumanie, </w:t>
      </w:r>
      <w:r>
        <w:t xml:space="preserve">Serbie, </w:t>
      </w:r>
      <w:r w:rsidRPr="001E1AF0">
        <w:t>Slovaquie, Suisse et Ukraine</w:t>
      </w:r>
      <w:r>
        <w:t>.</w:t>
      </w:r>
    </w:p>
    <w:p w:rsidR="002F14C0" w:rsidRPr="001E1AF0" w:rsidRDefault="002F14C0" w:rsidP="00AE0458">
      <w:pPr>
        <w:pStyle w:val="HChG"/>
        <w:rPr>
          <w:snapToGrid w:val="0"/>
        </w:rPr>
      </w:pPr>
      <w:r w:rsidRPr="001E1AF0">
        <w:rPr>
          <w:snapToGrid w:val="0"/>
        </w:rPr>
        <w:tab/>
        <w:t>V.</w:t>
      </w:r>
      <w:r w:rsidRPr="001E1AF0">
        <w:rPr>
          <w:snapToGrid w:val="0"/>
        </w:rPr>
        <w:tab/>
      </w:r>
      <w:r>
        <w:rPr>
          <w:snapToGrid w:val="0"/>
        </w:rPr>
        <w:t>Questions relatives à la mise en œuvre de l</w:t>
      </w:r>
      <w:r w:rsidR="00AB2520">
        <w:rPr>
          <w:snapToGrid w:val="0"/>
        </w:rPr>
        <w:t>’</w:t>
      </w:r>
      <w:r w:rsidRPr="001E1AF0">
        <w:rPr>
          <w:snapToGrid w:val="0"/>
        </w:rPr>
        <w:t xml:space="preserve">ADN </w:t>
      </w:r>
      <w:r w:rsidRPr="001E1AF0">
        <w:rPr>
          <w:snapToGrid w:val="0"/>
        </w:rPr>
        <w:br/>
        <w:t>(</w:t>
      </w:r>
      <w:r>
        <w:rPr>
          <w:snapToGrid w:val="0"/>
        </w:rPr>
        <w:t>point 4 de l</w:t>
      </w:r>
      <w:r w:rsidR="00AB2520">
        <w:rPr>
          <w:snapToGrid w:val="0"/>
        </w:rPr>
        <w:t>’</w:t>
      </w:r>
      <w:r>
        <w:rPr>
          <w:snapToGrid w:val="0"/>
        </w:rPr>
        <w:t>ordre du jour</w:t>
      </w:r>
      <w:r w:rsidRPr="001E1AF0">
        <w:rPr>
          <w:snapToGrid w:val="0"/>
        </w:rPr>
        <w:t>)</w:t>
      </w:r>
    </w:p>
    <w:p w:rsidR="002F14C0" w:rsidRPr="001E1AF0" w:rsidRDefault="002F14C0" w:rsidP="00AE0458">
      <w:pPr>
        <w:pStyle w:val="H1G"/>
        <w:rPr>
          <w:snapToGrid w:val="0"/>
        </w:rPr>
      </w:pPr>
      <w:r w:rsidRPr="001E1AF0">
        <w:rPr>
          <w:snapToGrid w:val="0"/>
        </w:rPr>
        <w:tab/>
        <w:t>A.</w:t>
      </w:r>
      <w:r w:rsidRPr="001E1AF0">
        <w:rPr>
          <w:snapToGrid w:val="0"/>
        </w:rPr>
        <w:tab/>
      </w:r>
      <w:r>
        <w:rPr>
          <w:snapToGrid w:val="0"/>
        </w:rPr>
        <w:t>Sociétés de classification</w:t>
      </w:r>
    </w:p>
    <w:p w:rsidR="002F14C0" w:rsidRPr="001E1AF0" w:rsidRDefault="002F14C0" w:rsidP="00AE0458">
      <w:pPr>
        <w:pStyle w:val="ParNoG"/>
        <w:tabs>
          <w:tab w:val="clear" w:pos="1701"/>
        </w:tabs>
      </w:pPr>
      <w:r w:rsidRPr="001E1AF0">
        <w:t>Le Comité d</w:t>
      </w:r>
      <w:r w:rsidR="00AB2520">
        <w:t>’</w:t>
      </w:r>
      <w:r w:rsidRPr="001E1AF0">
        <w:t xml:space="preserve">administration </w:t>
      </w:r>
      <w:r>
        <w:t>a noté qu</w:t>
      </w:r>
      <w:r w:rsidR="00AB2520">
        <w:t>’</w:t>
      </w:r>
      <w:r>
        <w:t xml:space="preserve">à ce jour seuls le </w:t>
      </w:r>
      <w:r w:rsidRPr="001E1AF0">
        <w:rPr>
          <w:snapToGrid w:val="0"/>
        </w:rPr>
        <w:t xml:space="preserve">Shipping Register of Ukraine </w:t>
      </w:r>
      <w:r>
        <w:rPr>
          <w:snapToGrid w:val="0"/>
        </w:rPr>
        <w:t>et</w:t>
      </w:r>
      <w:r w:rsidRPr="001E1AF0">
        <w:rPr>
          <w:snapToGrid w:val="0"/>
        </w:rPr>
        <w:t xml:space="preserve"> Det Norske Veritas Germanisher Lloyd (DNV GL SE) </w:t>
      </w:r>
      <w:r>
        <w:rPr>
          <w:snapToGrid w:val="0"/>
        </w:rPr>
        <w:t>avaient fourni des preuves de certification par un organisme indépendant que leurs procédures étaient conformes à la norme EN ISO/IEC </w:t>
      </w:r>
      <w:r w:rsidRPr="001E1AF0">
        <w:rPr>
          <w:snapToGrid w:val="0"/>
        </w:rPr>
        <w:t xml:space="preserve">17020:2012. </w:t>
      </w:r>
      <w:r>
        <w:rPr>
          <w:snapToGrid w:val="0"/>
        </w:rPr>
        <w:t>Les autres sociétés de classification recommandées par l</w:t>
      </w:r>
      <w:r w:rsidR="00AB2520">
        <w:rPr>
          <w:snapToGrid w:val="0"/>
        </w:rPr>
        <w:t>’</w:t>
      </w:r>
      <w:r>
        <w:rPr>
          <w:snapToGrid w:val="0"/>
        </w:rPr>
        <w:t xml:space="preserve">ADN étaient priées de présenter de telles preuves, comme prévu lors des deux </w:t>
      </w:r>
      <w:r w:rsidRPr="00AE0458">
        <w:t>dernières</w:t>
      </w:r>
      <w:r>
        <w:rPr>
          <w:snapToGrid w:val="0"/>
        </w:rPr>
        <w:t xml:space="preserve"> sessions du Comité de sécurité (voir </w:t>
      </w:r>
      <w:r w:rsidRPr="001E1AF0">
        <w:rPr>
          <w:snapToGrid w:val="0"/>
        </w:rPr>
        <w:t>ECE/TRANS/WP.15/AC.2/56, par</w:t>
      </w:r>
      <w:r>
        <w:rPr>
          <w:snapToGrid w:val="0"/>
        </w:rPr>
        <w:t>. </w:t>
      </w:r>
      <w:r w:rsidRPr="001E1AF0">
        <w:rPr>
          <w:snapToGrid w:val="0"/>
        </w:rPr>
        <w:t>33</w:t>
      </w:r>
      <w:r>
        <w:rPr>
          <w:snapToGrid w:val="0"/>
        </w:rPr>
        <w:t xml:space="preserve"> à </w:t>
      </w:r>
      <w:r w:rsidRPr="001E1AF0">
        <w:rPr>
          <w:snapToGrid w:val="0"/>
        </w:rPr>
        <w:t xml:space="preserve">36 </w:t>
      </w:r>
      <w:r>
        <w:rPr>
          <w:snapToGrid w:val="0"/>
        </w:rPr>
        <w:t>et</w:t>
      </w:r>
      <w:r w:rsidRPr="001E1AF0">
        <w:rPr>
          <w:snapToGrid w:val="0"/>
        </w:rPr>
        <w:t xml:space="preserve"> ECE/TRANS/WP.15/AC.2/58 par</w:t>
      </w:r>
      <w:r>
        <w:rPr>
          <w:snapToGrid w:val="0"/>
        </w:rPr>
        <w:t>. </w:t>
      </w:r>
      <w:r w:rsidRPr="001E1AF0">
        <w:rPr>
          <w:snapToGrid w:val="0"/>
        </w:rPr>
        <w:t>16</w:t>
      </w:r>
      <w:r>
        <w:rPr>
          <w:snapToGrid w:val="0"/>
        </w:rPr>
        <w:t xml:space="preserve"> à </w:t>
      </w:r>
      <w:r w:rsidRPr="001E1AF0">
        <w:rPr>
          <w:snapToGrid w:val="0"/>
        </w:rPr>
        <w:t>18)</w:t>
      </w:r>
      <w:r>
        <w:rPr>
          <w:snapToGrid w:val="0"/>
        </w:rPr>
        <w:t>.</w:t>
      </w:r>
    </w:p>
    <w:p w:rsidR="002F14C0" w:rsidRPr="001E1AF0" w:rsidRDefault="002F14C0" w:rsidP="00AE0458">
      <w:pPr>
        <w:pStyle w:val="ParNoG"/>
        <w:tabs>
          <w:tab w:val="clear" w:pos="1701"/>
        </w:tabs>
      </w:pPr>
      <w:r>
        <w:t xml:space="preserve">Les listes des sociétés de </w:t>
      </w:r>
      <w:r w:rsidRPr="001E1AF0">
        <w:t xml:space="preserve">classification </w:t>
      </w:r>
      <w:r>
        <w:t>recommandées et agréées sont disponibles sur le site Web du secrétariat à l</w:t>
      </w:r>
      <w:r w:rsidR="00AB2520">
        <w:t>’</w:t>
      </w:r>
      <w:r>
        <w:t xml:space="preserve">adresse suivante : </w:t>
      </w:r>
      <w:r w:rsidRPr="001E1AF0">
        <w:t>www.unece.org/trans/danger/</w:t>
      </w:r>
      <w:r w:rsidRPr="00AE0458">
        <w:rPr>
          <w:snapToGrid w:val="0"/>
        </w:rPr>
        <w:t>publi</w:t>
      </w:r>
      <w:r w:rsidRPr="001E1AF0">
        <w:t>/</w:t>
      </w:r>
      <w:r>
        <w:t xml:space="preserve"> </w:t>
      </w:r>
      <w:r w:rsidRPr="001E1AF0">
        <w:t>adn/adnclassifications.html.</w:t>
      </w:r>
    </w:p>
    <w:p w:rsidR="002F14C0" w:rsidRPr="001E1AF0" w:rsidRDefault="002F14C0" w:rsidP="00AE0458">
      <w:pPr>
        <w:pStyle w:val="H1G"/>
        <w:rPr>
          <w:snapToGrid w:val="0"/>
        </w:rPr>
      </w:pPr>
      <w:r w:rsidRPr="001E1AF0">
        <w:rPr>
          <w:snapToGrid w:val="0"/>
        </w:rPr>
        <w:tab/>
        <w:t>B.</w:t>
      </w:r>
      <w:r w:rsidRPr="001E1AF0">
        <w:rPr>
          <w:snapToGrid w:val="0"/>
        </w:rPr>
        <w:tab/>
      </w:r>
      <w:r>
        <w:rPr>
          <w:snapToGrid w:val="0"/>
        </w:rPr>
        <w:t>Autorisations spéciales, dérogations et équivalences</w:t>
      </w:r>
    </w:p>
    <w:p w:rsidR="002F14C0" w:rsidRDefault="002F14C0" w:rsidP="00AE0458">
      <w:pPr>
        <w:pStyle w:val="ParNoG"/>
        <w:tabs>
          <w:tab w:val="clear" w:pos="1701"/>
        </w:tabs>
      </w:pPr>
      <w:r w:rsidRPr="001E1AF0">
        <w:t>Le Comité d</w:t>
      </w:r>
      <w:r w:rsidR="00AB2520">
        <w:t>’</w:t>
      </w:r>
      <w:r w:rsidRPr="001E1AF0">
        <w:t xml:space="preserve">administration </w:t>
      </w:r>
      <w:r>
        <w:t xml:space="preserve">a approuvé la recommandation du Comité de sécurité </w:t>
      </w:r>
      <w:r w:rsidRPr="001E1AF0">
        <w:rPr>
          <w:snapToGrid w:val="0"/>
        </w:rPr>
        <w:t>(ECE/TRANS/WP.15/AC.2/58, par</w:t>
      </w:r>
      <w:r>
        <w:rPr>
          <w:snapToGrid w:val="0"/>
        </w:rPr>
        <w:t>. </w:t>
      </w:r>
      <w:r w:rsidRPr="001E1AF0">
        <w:rPr>
          <w:snapToGrid w:val="0"/>
        </w:rPr>
        <w:t>9</w:t>
      </w:r>
      <w:r>
        <w:rPr>
          <w:snapToGrid w:val="0"/>
        </w:rPr>
        <w:t>) par laquelle celui-ci autorisait l</w:t>
      </w:r>
      <w:r w:rsidR="00AB2520">
        <w:rPr>
          <w:snapToGrid w:val="0"/>
        </w:rPr>
        <w:t>’</w:t>
      </w:r>
      <w:r>
        <w:rPr>
          <w:snapToGrid w:val="0"/>
        </w:rPr>
        <w:t>autorité compétente des Pays-Bas à délivrer, conformément au paragraphe </w:t>
      </w:r>
      <w:r w:rsidRPr="001E1AF0">
        <w:rPr>
          <w:snapToGrid w:val="0"/>
        </w:rPr>
        <w:t xml:space="preserve">1.5.3.2, </w:t>
      </w:r>
      <w:r>
        <w:rPr>
          <w:snapToGrid w:val="0"/>
        </w:rPr>
        <w:t xml:space="preserve">une dérogation temporaire pour le bateau-citerne </w:t>
      </w:r>
      <w:r>
        <w:rPr>
          <w:i/>
        </w:rPr>
        <w:t>Chemgas </w:t>
      </w:r>
      <w:r w:rsidRPr="001E1AF0">
        <w:rPr>
          <w:i/>
        </w:rPr>
        <w:t xml:space="preserve">851 </w:t>
      </w:r>
      <w:r w:rsidRPr="001E1AF0">
        <w:t>(</w:t>
      </w:r>
      <w:r>
        <w:t>« </w:t>
      </w:r>
      <w:r w:rsidRPr="001E1AF0">
        <w:t>Sirocco</w:t>
      </w:r>
      <w:r>
        <w:t> »</w:t>
      </w:r>
      <w:r w:rsidRPr="001E1AF0">
        <w:t xml:space="preserve">) </w:t>
      </w:r>
      <w:r>
        <w:t>qui lui permettrait d</w:t>
      </w:r>
      <w:r w:rsidR="00AB2520">
        <w:t>’</w:t>
      </w:r>
      <w:r>
        <w:t>utiliser une installation d</w:t>
      </w:r>
      <w:r w:rsidR="00AB2520">
        <w:t>’</w:t>
      </w:r>
      <w:r>
        <w:t>extinction d</w:t>
      </w:r>
      <w:r w:rsidR="00AB2520">
        <w:t>’</w:t>
      </w:r>
      <w:r>
        <w:t>incendie générant un aérosol sec (voir annexe).</w:t>
      </w:r>
    </w:p>
    <w:p w:rsidR="002F14C0" w:rsidRPr="001E1AF0" w:rsidRDefault="002F14C0" w:rsidP="00AE0458">
      <w:pPr>
        <w:pStyle w:val="ParNoG"/>
        <w:tabs>
          <w:tab w:val="clear" w:pos="1701"/>
        </w:tabs>
        <w:rPr>
          <w:snapToGrid w:val="0"/>
        </w:rPr>
      </w:pPr>
      <w:r w:rsidRPr="001E1AF0">
        <w:rPr>
          <w:snapToGrid w:val="0"/>
        </w:rPr>
        <w:t>I</w:t>
      </w:r>
      <w:r>
        <w:rPr>
          <w:snapToGrid w:val="0"/>
        </w:rPr>
        <w:t>l a été rappelé que le texte des autorisations spéciales, accords spéciaux, dérogations et équivalences, ainsi que les informations sur leur situation, et le texte des notifications pouvaient être consultés sur le site Web du secrétariat à l</w:t>
      </w:r>
      <w:r w:rsidR="00AB2520">
        <w:rPr>
          <w:snapToGrid w:val="0"/>
        </w:rPr>
        <w:t>’</w:t>
      </w:r>
      <w:r>
        <w:rPr>
          <w:snapToGrid w:val="0"/>
        </w:rPr>
        <w:t xml:space="preserve">adresse suivante : </w:t>
      </w:r>
      <w:r w:rsidRPr="001E1AF0">
        <w:rPr>
          <w:snapToGrid w:val="0"/>
        </w:rPr>
        <w:t>http://www.unece.org/trans/danger/danger.htm.</w:t>
      </w:r>
    </w:p>
    <w:p w:rsidR="002F14C0" w:rsidRPr="001E1AF0" w:rsidRDefault="002F14C0" w:rsidP="00AE0458">
      <w:pPr>
        <w:pStyle w:val="H1G"/>
        <w:rPr>
          <w:snapToGrid w:val="0"/>
        </w:rPr>
      </w:pPr>
      <w:r>
        <w:rPr>
          <w:snapToGrid w:val="0"/>
        </w:rPr>
        <w:tab/>
        <w:t>C.</w:t>
      </w:r>
      <w:r>
        <w:rPr>
          <w:snapToGrid w:val="0"/>
        </w:rPr>
        <w:tab/>
        <w:t>N</w:t>
      </w:r>
      <w:r w:rsidRPr="001E1AF0">
        <w:t>otifications</w:t>
      </w:r>
      <w:r>
        <w:t xml:space="preserve"> diverses</w:t>
      </w:r>
    </w:p>
    <w:p w:rsidR="002F14C0" w:rsidRPr="001E1AF0" w:rsidRDefault="002F14C0" w:rsidP="00AE0458">
      <w:pPr>
        <w:pStyle w:val="ParNoG"/>
        <w:tabs>
          <w:tab w:val="clear" w:pos="1701"/>
        </w:tabs>
        <w:rPr>
          <w:snapToGrid w:val="0"/>
        </w:rPr>
      </w:pPr>
      <w:r w:rsidRPr="001E1AF0">
        <w:t xml:space="preserve">Le Comité </w:t>
      </w:r>
      <w:r>
        <w:t xml:space="preserve">a invité les pays à vérifier les </w:t>
      </w:r>
      <w:r w:rsidRPr="00AE0458">
        <w:rPr>
          <w:snapToGrid w:val="0"/>
        </w:rPr>
        <w:t>coordonnées</w:t>
      </w:r>
      <w:r>
        <w:t xml:space="preserve"> de leur autorité compétente et, s</w:t>
      </w:r>
      <w:r w:rsidR="00AB2520">
        <w:t>’</w:t>
      </w:r>
      <w:r>
        <w:t>ils ne l</w:t>
      </w:r>
      <w:r w:rsidR="00AB2520">
        <w:t>’</w:t>
      </w:r>
      <w:r>
        <w:t>avaient pas déjà fait, à agréer les sociétés de classification de la liste recommandée, conformément au paragraphe </w:t>
      </w:r>
      <w:r w:rsidRPr="001E1AF0">
        <w:rPr>
          <w:snapToGrid w:val="0"/>
        </w:rPr>
        <w:t xml:space="preserve">1.15.2.4 </w:t>
      </w:r>
      <w:r>
        <w:rPr>
          <w:snapToGrid w:val="0"/>
        </w:rPr>
        <w:t>du Règlement annexé.</w:t>
      </w:r>
    </w:p>
    <w:p w:rsidR="002F14C0" w:rsidRPr="001E1AF0" w:rsidRDefault="002F14C0" w:rsidP="00AE0458">
      <w:pPr>
        <w:pStyle w:val="ParNoG"/>
        <w:tabs>
          <w:tab w:val="clear" w:pos="1701"/>
        </w:tabs>
        <w:rPr>
          <w:snapToGrid w:val="0"/>
        </w:rPr>
      </w:pPr>
      <w:r w:rsidRPr="001E1AF0">
        <w:rPr>
          <w:snapToGrid w:val="0"/>
        </w:rPr>
        <w:t>I</w:t>
      </w:r>
      <w:r>
        <w:rPr>
          <w:snapToGrid w:val="0"/>
        </w:rPr>
        <w:t>l a été rappelé que, conformément au paragraphe </w:t>
      </w:r>
      <w:r w:rsidRPr="001E1AF0">
        <w:rPr>
          <w:snapToGrid w:val="0"/>
        </w:rPr>
        <w:t xml:space="preserve">1.16.4.3 </w:t>
      </w:r>
      <w:r>
        <w:rPr>
          <w:snapToGrid w:val="0"/>
        </w:rPr>
        <w:t>du Règlement annexé à l</w:t>
      </w:r>
      <w:r w:rsidR="00AB2520">
        <w:rPr>
          <w:snapToGrid w:val="0"/>
        </w:rPr>
        <w:t>’</w:t>
      </w:r>
      <w:r>
        <w:rPr>
          <w:snapToGrid w:val="0"/>
        </w:rPr>
        <w:t>ADN, le Comité d</w:t>
      </w:r>
      <w:r w:rsidR="00AB2520">
        <w:rPr>
          <w:snapToGrid w:val="0"/>
        </w:rPr>
        <w:t>’</w:t>
      </w:r>
      <w:r>
        <w:rPr>
          <w:snapToGrid w:val="0"/>
        </w:rPr>
        <w:t xml:space="preserve">administration doit en principe tenir une liste à jour des </w:t>
      </w:r>
      <w:r w:rsidRPr="00AE0458">
        <w:t>organismes</w:t>
      </w:r>
      <w:r>
        <w:rPr>
          <w:snapToGrid w:val="0"/>
        </w:rPr>
        <w:t xml:space="preserve"> de contrôle désignés. À ce jour, des informations ont été reçues de l</w:t>
      </w:r>
      <w:r w:rsidR="00AB2520">
        <w:rPr>
          <w:snapToGrid w:val="0"/>
        </w:rPr>
        <w:t>’</w:t>
      </w:r>
      <w:r>
        <w:rPr>
          <w:snapToGrid w:val="0"/>
        </w:rPr>
        <w:t>Autriche et de la République tchèque seulement et peuvent être consultées sur le site Web du secrétariat à l</w:t>
      </w:r>
      <w:r w:rsidR="00AB2520">
        <w:rPr>
          <w:snapToGrid w:val="0"/>
        </w:rPr>
        <w:t>’</w:t>
      </w:r>
      <w:r>
        <w:rPr>
          <w:snapToGrid w:val="0"/>
        </w:rPr>
        <w:t xml:space="preserve">adresse : </w:t>
      </w:r>
      <w:r w:rsidRPr="001E1AF0">
        <w:rPr>
          <w:snapToGrid w:val="0"/>
        </w:rPr>
        <w:t>http://www.unece.org/trans/danger/danger.htm.</w:t>
      </w:r>
    </w:p>
    <w:p w:rsidR="002F14C0" w:rsidRPr="001E1AF0" w:rsidRDefault="002F14C0" w:rsidP="00AE0458">
      <w:pPr>
        <w:pStyle w:val="H1G"/>
        <w:rPr>
          <w:snapToGrid w:val="0"/>
        </w:rPr>
      </w:pPr>
      <w:r w:rsidRPr="001E1AF0">
        <w:rPr>
          <w:snapToGrid w:val="0"/>
        </w:rPr>
        <w:tab/>
        <w:t>D.</w:t>
      </w:r>
      <w:r w:rsidRPr="001E1AF0">
        <w:rPr>
          <w:snapToGrid w:val="0"/>
        </w:rPr>
        <w:tab/>
      </w:r>
      <w:r>
        <w:rPr>
          <w:snapToGrid w:val="0"/>
        </w:rPr>
        <w:t>Autres questions</w:t>
      </w:r>
    </w:p>
    <w:p w:rsidR="002F14C0" w:rsidRDefault="002F14C0" w:rsidP="00AE0458">
      <w:pPr>
        <w:pStyle w:val="ParNoG"/>
        <w:tabs>
          <w:tab w:val="clear" w:pos="1701"/>
        </w:tabs>
        <w:rPr>
          <w:snapToGrid w:val="0"/>
        </w:rPr>
      </w:pPr>
      <w:r>
        <w:rPr>
          <w:snapToGrid w:val="0"/>
        </w:rPr>
        <w:t>Aucune autre question n</w:t>
      </w:r>
      <w:r w:rsidR="00AB2520">
        <w:rPr>
          <w:snapToGrid w:val="0"/>
        </w:rPr>
        <w:t>’</w:t>
      </w:r>
      <w:r>
        <w:rPr>
          <w:snapToGrid w:val="0"/>
        </w:rPr>
        <w:t xml:space="preserve">a été soulevée au </w:t>
      </w:r>
      <w:r w:rsidRPr="00AE0458">
        <w:t>titre</w:t>
      </w:r>
      <w:r>
        <w:rPr>
          <w:snapToGrid w:val="0"/>
        </w:rPr>
        <w:t xml:space="preserve"> de ce point.</w:t>
      </w:r>
    </w:p>
    <w:p w:rsidR="002F14C0" w:rsidRPr="001E1AF0" w:rsidRDefault="002F14C0" w:rsidP="00AE0458">
      <w:pPr>
        <w:pStyle w:val="HChG"/>
        <w:rPr>
          <w:snapToGrid w:val="0"/>
        </w:rPr>
      </w:pPr>
      <w:r w:rsidRPr="001E1AF0">
        <w:rPr>
          <w:snapToGrid w:val="0"/>
        </w:rPr>
        <w:tab/>
        <w:t>VI.</w:t>
      </w:r>
      <w:r w:rsidRPr="001E1AF0">
        <w:rPr>
          <w:snapToGrid w:val="0"/>
        </w:rPr>
        <w:tab/>
      </w:r>
      <w:r>
        <w:rPr>
          <w:snapToGrid w:val="0"/>
        </w:rPr>
        <w:t>Travaux du Comité de sécurité</w:t>
      </w:r>
      <w:r w:rsidRPr="001E1AF0">
        <w:rPr>
          <w:snapToGrid w:val="0"/>
        </w:rPr>
        <w:t xml:space="preserve"> </w:t>
      </w:r>
      <w:r w:rsidR="00AE0458">
        <w:rPr>
          <w:snapToGrid w:val="0"/>
        </w:rPr>
        <w:br/>
      </w:r>
      <w:r w:rsidRPr="001E1AF0">
        <w:rPr>
          <w:snapToGrid w:val="0"/>
        </w:rPr>
        <w:t>(</w:t>
      </w:r>
      <w:r>
        <w:rPr>
          <w:snapToGrid w:val="0"/>
        </w:rPr>
        <w:t>point 5 de l</w:t>
      </w:r>
      <w:r w:rsidR="00AB2520">
        <w:rPr>
          <w:snapToGrid w:val="0"/>
        </w:rPr>
        <w:t>’</w:t>
      </w:r>
      <w:r>
        <w:rPr>
          <w:snapToGrid w:val="0"/>
        </w:rPr>
        <w:t>ordre du jour</w:t>
      </w:r>
      <w:r w:rsidRPr="001E1AF0">
        <w:rPr>
          <w:snapToGrid w:val="0"/>
        </w:rPr>
        <w:t>)</w:t>
      </w:r>
    </w:p>
    <w:p w:rsidR="002F14C0" w:rsidRDefault="002F14C0" w:rsidP="00AE0458">
      <w:pPr>
        <w:pStyle w:val="ParNoG"/>
        <w:tabs>
          <w:tab w:val="clear" w:pos="1701"/>
        </w:tabs>
      </w:pPr>
      <w:r>
        <w:rPr>
          <w:snapToGrid w:val="0"/>
        </w:rPr>
        <w:t xml:space="preserve">Le Comité a pris note des travaux du Comité de sécurité, dont il est rendu compte dans le rapport sur sa vingt-huitième session, tenue à Genève du 25 au 29 janvier 2016 </w:t>
      </w:r>
      <w:r w:rsidRPr="001E1AF0">
        <w:rPr>
          <w:snapToGrid w:val="0"/>
        </w:rPr>
        <w:t xml:space="preserve">(ECE/TRANS/WP.15/AC.2/58 </w:t>
      </w:r>
      <w:r>
        <w:rPr>
          <w:snapToGrid w:val="0"/>
        </w:rPr>
        <w:t>et</w:t>
      </w:r>
      <w:r w:rsidRPr="001E1AF0">
        <w:rPr>
          <w:snapToGrid w:val="0"/>
        </w:rPr>
        <w:t xml:space="preserve"> Add.1). </w:t>
      </w:r>
      <w:r>
        <w:rPr>
          <w:snapToGrid w:val="0"/>
        </w:rPr>
        <w:t>Le Comité de sécurité avait examiné et vérifié tous les amendements au Règlement annexé à l</w:t>
      </w:r>
      <w:r w:rsidR="00AB2520">
        <w:rPr>
          <w:snapToGrid w:val="0"/>
        </w:rPr>
        <w:t>’</w:t>
      </w:r>
      <w:r>
        <w:rPr>
          <w:snapToGrid w:val="0"/>
        </w:rPr>
        <w:t>ADN qu</w:t>
      </w:r>
      <w:r w:rsidR="00AB2520">
        <w:rPr>
          <w:snapToGrid w:val="0"/>
        </w:rPr>
        <w:t>’</w:t>
      </w:r>
      <w:r>
        <w:rPr>
          <w:snapToGrid w:val="0"/>
        </w:rPr>
        <w:t>il avait proposés pour entrée en vigueur le 1</w:t>
      </w:r>
      <w:r w:rsidRPr="00F1282E">
        <w:rPr>
          <w:snapToGrid w:val="0"/>
          <w:vertAlign w:val="superscript"/>
        </w:rPr>
        <w:t>er</w:t>
      </w:r>
      <w:r>
        <w:rPr>
          <w:snapToGrid w:val="0"/>
        </w:rPr>
        <w:t xml:space="preserve"> janvier 2017 lors de ses sessions de </w:t>
      </w:r>
      <w:r w:rsidRPr="001E1AF0">
        <w:rPr>
          <w:snapToGrid w:val="0"/>
        </w:rPr>
        <w:t xml:space="preserve">2014 </w:t>
      </w:r>
      <w:r>
        <w:rPr>
          <w:snapToGrid w:val="0"/>
        </w:rPr>
        <w:t>et</w:t>
      </w:r>
      <w:r w:rsidRPr="001E1AF0">
        <w:rPr>
          <w:snapToGrid w:val="0"/>
        </w:rPr>
        <w:t xml:space="preserve"> 2015</w:t>
      </w:r>
      <w:r>
        <w:rPr>
          <w:snapToGrid w:val="0"/>
        </w:rPr>
        <w:t xml:space="preserve">, tels que récapitulés par le secrétariat dans le document </w:t>
      </w:r>
      <w:r w:rsidRPr="001E1AF0">
        <w:t xml:space="preserve">ECE/ADN/2016/1, </w:t>
      </w:r>
      <w:r>
        <w:t>et en avait modifié certains. Il avait également proposé de nouveaux amendements ainsi que des corrections à l</w:t>
      </w:r>
      <w:r w:rsidR="00AB2520">
        <w:t>’</w:t>
      </w:r>
      <w:r>
        <w:t>ADN 2015. Le Comité a adopté tous ces amendements, qui sont énumérés à l</w:t>
      </w:r>
      <w:r w:rsidR="00AB2520">
        <w:t>’</w:t>
      </w:r>
      <w:r>
        <w:t>annexe I du rapport du Comité de sécurité, ainsi que les corrections énumérées aux annexes II et III.</w:t>
      </w:r>
    </w:p>
    <w:p w:rsidR="002F14C0" w:rsidRDefault="002F14C0" w:rsidP="00AE0458">
      <w:pPr>
        <w:pStyle w:val="ParNoG"/>
        <w:tabs>
          <w:tab w:val="clear" w:pos="1701"/>
        </w:tabs>
      </w:pPr>
      <w:r>
        <w:t xml:space="preserve">Le Comité a demandé au secrétariat </w:t>
      </w:r>
      <w:r w:rsidRPr="00AE0458">
        <w:rPr>
          <w:snapToGrid w:val="0"/>
        </w:rPr>
        <w:t>d</w:t>
      </w:r>
      <w:r w:rsidR="00AB2520">
        <w:rPr>
          <w:snapToGrid w:val="0"/>
        </w:rPr>
        <w:t>’</w:t>
      </w:r>
      <w:r w:rsidRPr="00AE0458">
        <w:rPr>
          <w:snapToGrid w:val="0"/>
        </w:rPr>
        <w:t>établir</w:t>
      </w:r>
      <w:r>
        <w:t xml:space="preserve"> une liste récapitulative de toutes les propositions d</w:t>
      </w:r>
      <w:r w:rsidR="00AB2520">
        <w:t>’</w:t>
      </w:r>
      <w:r>
        <w:t>amendement qu</w:t>
      </w:r>
      <w:r w:rsidR="00AB2520">
        <w:t>’</w:t>
      </w:r>
      <w:r>
        <w:t>il avait adoptées pour entrée en vigueur au 1</w:t>
      </w:r>
      <w:r w:rsidRPr="00F1282E">
        <w:rPr>
          <w:vertAlign w:val="superscript"/>
        </w:rPr>
        <w:t>er</w:t>
      </w:r>
      <w:r>
        <w:t> janvier 2017, afin qu</w:t>
      </w:r>
      <w:r w:rsidR="00AB2520">
        <w:t>’</w:t>
      </w:r>
      <w:r>
        <w:t>elles puissent faire l</w:t>
      </w:r>
      <w:r w:rsidR="00AB2520">
        <w:t>’</w:t>
      </w:r>
      <w:r>
        <w:t>objet d</w:t>
      </w:r>
      <w:r w:rsidR="00AB2520">
        <w:t>’</w:t>
      </w:r>
      <w:r>
        <w:t>une proposition officielle de modification de l</w:t>
      </w:r>
      <w:r w:rsidR="00AB2520">
        <w:t>’</w:t>
      </w:r>
      <w:r>
        <w:t>ADN conformément à la procédure visée à l</w:t>
      </w:r>
      <w:r w:rsidR="00AB2520">
        <w:t>’</w:t>
      </w:r>
      <w:r>
        <w:t>article 20. La notification faisant mention de la date prévue d</w:t>
      </w:r>
      <w:r w:rsidR="00AB2520">
        <w:t>’</w:t>
      </w:r>
      <w:r>
        <w:t>entrée en vigueur du 1</w:t>
      </w:r>
      <w:r w:rsidRPr="00F1282E">
        <w:rPr>
          <w:vertAlign w:val="superscript"/>
        </w:rPr>
        <w:t>er</w:t>
      </w:r>
      <w:r>
        <w:t> janvier 2017 devrait être diffusée au plus tard le 1</w:t>
      </w:r>
      <w:r w:rsidRPr="00F1282E">
        <w:rPr>
          <w:vertAlign w:val="superscript"/>
        </w:rPr>
        <w:t>er</w:t>
      </w:r>
      <w:r>
        <w:t> juillet 2016.</w:t>
      </w:r>
    </w:p>
    <w:p w:rsidR="002F14C0" w:rsidRDefault="002F14C0" w:rsidP="00AE0458">
      <w:pPr>
        <w:pStyle w:val="ParNoG"/>
        <w:tabs>
          <w:tab w:val="clear" w:pos="1701"/>
        </w:tabs>
      </w:pPr>
      <w:r w:rsidRPr="007C23F7">
        <w:t>Le Comité a aussi demandé au secrétariat d</w:t>
      </w:r>
      <w:r w:rsidR="00AB2520">
        <w:t>’</w:t>
      </w:r>
      <w:r w:rsidRPr="007C23F7">
        <w:t>établir le texte de synthèse de l</w:t>
      </w:r>
      <w:r w:rsidR="00AB2520">
        <w:t>’</w:t>
      </w:r>
      <w:r w:rsidRPr="007C23F7">
        <w:t>ADN tel que modifié en tant que publication des Nations Unies et de le mettre à disposition avant le 1</w:t>
      </w:r>
      <w:r w:rsidRPr="007C23F7">
        <w:rPr>
          <w:vertAlign w:val="superscript"/>
        </w:rPr>
        <w:t>er</w:t>
      </w:r>
      <w:r w:rsidRPr="007C23F7">
        <w:t> janvier 2017 afin que les pays puissent s</w:t>
      </w:r>
      <w:r w:rsidR="00AB2520">
        <w:t>’</w:t>
      </w:r>
      <w:r w:rsidRPr="007C23F7">
        <w:t>organiser pour appliquer les nouvelles dispositions.</w:t>
      </w:r>
    </w:p>
    <w:p w:rsidR="002F14C0" w:rsidRPr="007C23F7" w:rsidRDefault="00AE0458" w:rsidP="00AE0458">
      <w:pPr>
        <w:pStyle w:val="HChG"/>
      </w:pPr>
      <w:r>
        <w:tab/>
      </w:r>
      <w:r w:rsidR="002F14C0" w:rsidRPr="007C23F7">
        <w:t>VII.</w:t>
      </w:r>
      <w:r w:rsidR="002F14C0" w:rsidRPr="007C23F7">
        <w:tab/>
        <w:t xml:space="preserve">Programme de travail et calendrier des réunions </w:t>
      </w:r>
      <w:r w:rsidR="002F14C0" w:rsidRPr="007C23F7">
        <w:br/>
        <w:t>(point 6 de l</w:t>
      </w:r>
      <w:r w:rsidR="00AB2520">
        <w:t>’</w:t>
      </w:r>
      <w:r w:rsidR="002F14C0" w:rsidRPr="007C23F7">
        <w:t>ordre du jour)</w:t>
      </w:r>
    </w:p>
    <w:p w:rsidR="002F14C0" w:rsidRPr="007C23F7" w:rsidRDefault="002F14C0" w:rsidP="00AE0458">
      <w:pPr>
        <w:pStyle w:val="ParNoG"/>
        <w:tabs>
          <w:tab w:val="clear" w:pos="1701"/>
        </w:tabs>
      </w:pPr>
      <w:r w:rsidRPr="007C23F7">
        <w:t>Le Comité a décidé de tenir sa prochaine session le 26 août 2016 à midi.</w:t>
      </w:r>
    </w:p>
    <w:p w:rsidR="002F14C0" w:rsidRPr="007C23F7" w:rsidRDefault="00AE0458" w:rsidP="00AE0458">
      <w:pPr>
        <w:pStyle w:val="HChG"/>
        <w:rPr>
          <w:szCs w:val="28"/>
        </w:rPr>
      </w:pPr>
      <w:r>
        <w:rPr>
          <w:szCs w:val="28"/>
        </w:rPr>
        <w:tab/>
      </w:r>
      <w:r w:rsidR="002F14C0" w:rsidRPr="007C23F7">
        <w:rPr>
          <w:szCs w:val="28"/>
        </w:rPr>
        <w:t>VIII.</w:t>
      </w:r>
      <w:r w:rsidR="002F14C0" w:rsidRPr="007C23F7">
        <w:rPr>
          <w:szCs w:val="28"/>
        </w:rPr>
        <w:tab/>
        <w:t xml:space="preserve">Questions </w:t>
      </w:r>
      <w:r w:rsidR="002F14C0" w:rsidRPr="00AE0458">
        <w:t>diverses</w:t>
      </w:r>
      <w:r w:rsidR="002F14C0" w:rsidRPr="007C23F7">
        <w:rPr>
          <w:szCs w:val="28"/>
        </w:rPr>
        <w:t xml:space="preserve"> (point 7 de l</w:t>
      </w:r>
      <w:r w:rsidR="00AB2520">
        <w:rPr>
          <w:szCs w:val="28"/>
        </w:rPr>
        <w:t>’</w:t>
      </w:r>
      <w:r w:rsidR="002F14C0" w:rsidRPr="007C23F7">
        <w:rPr>
          <w:szCs w:val="28"/>
        </w:rPr>
        <w:t>ordre du jour)</w:t>
      </w:r>
    </w:p>
    <w:p w:rsidR="002F14C0" w:rsidRPr="007C23F7" w:rsidRDefault="002F14C0" w:rsidP="00AE0458">
      <w:pPr>
        <w:pStyle w:val="ParNoG"/>
        <w:tabs>
          <w:tab w:val="clear" w:pos="1701"/>
        </w:tabs>
      </w:pPr>
      <w:r w:rsidRPr="007C23F7">
        <w:t>Le Comité n</w:t>
      </w:r>
      <w:r w:rsidR="00AB2520">
        <w:t>’</w:t>
      </w:r>
      <w:r w:rsidRPr="007C23F7">
        <w:t>avait pas d</w:t>
      </w:r>
      <w:r w:rsidR="00AB2520">
        <w:t>’</w:t>
      </w:r>
      <w:r w:rsidRPr="007C23F7">
        <w:t xml:space="preserve">autres questions à aborder au titre de </w:t>
      </w:r>
      <w:r w:rsidR="0075468A">
        <w:t xml:space="preserve">ce </w:t>
      </w:r>
      <w:r w:rsidRPr="007C23F7">
        <w:t>point.</w:t>
      </w:r>
    </w:p>
    <w:p w:rsidR="002F14C0" w:rsidRPr="007C23F7" w:rsidRDefault="00AE0458" w:rsidP="00AE0458">
      <w:pPr>
        <w:pStyle w:val="HChG"/>
        <w:rPr>
          <w:szCs w:val="28"/>
        </w:rPr>
      </w:pPr>
      <w:r>
        <w:rPr>
          <w:szCs w:val="28"/>
        </w:rPr>
        <w:tab/>
      </w:r>
      <w:r w:rsidR="002F14C0" w:rsidRPr="007C23F7">
        <w:rPr>
          <w:szCs w:val="28"/>
        </w:rPr>
        <w:t>IX.</w:t>
      </w:r>
      <w:r w:rsidR="002F14C0" w:rsidRPr="007C23F7">
        <w:rPr>
          <w:szCs w:val="28"/>
        </w:rPr>
        <w:tab/>
        <w:t>Adoption du rapport (point 8 de l</w:t>
      </w:r>
      <w:r w:rsidR="00AB2520">
        <w:rPr>
          <w:szCs w:val="28"/>
        </w:rPr>
        <w:t>’</w:t>
      </w:r>
      <w:r w:rsidR="002F14C0" w:rsidRPr="007C23F7">
        <w:rPr>
          <w:szCs w:val="28"/>
        </w:rPr>
        <w:t>ordre du jour)</w:t>
      </w:r>
    </w:p>
    <w:p w:rsidR="002F14C0" w:rsidRDefault="002F14C0" w:rsidP="00AE0458">
      <w:pPr>
        <w:pStyle w:val="ParNoG"/>
        <w:tabs>
          <w:tab w:val="clear" w:pos="1701"/>
        </w:tabs>
      </w:pPr>
      <w:r w:rsidRPr="007C23F7">
        <w:t>Le Comité d</w:t>
      </w:r>
      <w:r w:rsidR="00AB2520">
        <w:t>’</w:t>
      </w:r>
      <w:r w:rsidRPr="007C23F7">
        <w:t>administration a adopté le rapport sur sa seizième session en s</w:t>
      </w:r>
      <w:r w:rsidR="00AB2520">
        <w:t>’</w:t>
      </w:r>
      <w:r w:rsidRPr="007C23F7">
        <w:t>appuyant sur un projet établi par le secrétariat et l</w:t>
      </w:r>
      <w:r w:rsidR="00AB2520">
        <w:t>’</w:t>
      </w:r>
      <w:r w:rsidRPr="007C23F7">
        <w:t>a envoyé aux délégations pour approbation par courrier électronique après la session.</w:t>
      </w:r>
    </w:p>
    <w:p w:rsidR="002F14C0" w:rsidRPr="007C23F7" w:rsidRDefault="002F14C0" w:rsidP="00646017">
      <w:pPr>
        <w:pStyle w:val="HChG"/>
      </w:pPr>
      <w:r>
        <w:br w:type="page"/>
      </w:r>
      <w:r w:rsidRPr="007C23F7">
        <w:t>Annexe</w:t>
      </w:r>
    </w:p>
    <w:p w:rsidR="002F14C0" w:rsidRPr="007C23F7" w:rsidRDefault="002F14C0" w:rsidP="00646017">
      <w:pPr>
        <w:pStyle w:val="HChG"/>
      </w:pPr>
      <w:r w:rsidRPr="007C23F7">
        <w:tab/>
      </w:r>
      <w:r w:rsidRPr="007C23F7">
        <w:tab/>
        <w:t>Décision du Comité d</w:t>
      </w:r>
      <w:r w:rsidR="00AB2520">
        <w:t>’</w:t>
      </w:r>
      <w:r w:rsidRPr="007C23F7">
        <w:t>administration de l</w:t>
      </w:r>
      <w:r w:rsidR="00AB2520">
        <w:t>’</w:t>
      </w:r>
      <w:r w:rsidRPr="007C23F7">
        <w:t>ADN au sujet de l</w:t>
      </w:r>
      <w:r w:rsidR="00AB2520">
        <w:t>’</w:t>
      </w:r>
      <w:r w:rsidRPr="007C23F7">
        <w:t>utilisation d</w:t>
      </w:r>
      <w:r w:rsidR="00AB2520">
        <w:t>’</w:t>
      </w:r>
      <w:r w:rsidRPr="007C23F7">
        <w:t>une installation d</w:t>
      </w:r>
      <w:r w:rsidR="00AB2520">
        <w:t>’</w:t>
      </w:r>
      <w:r w:rsidRPr="007C23F7">
        <w:t>extinction d</w:t>
      </w:r>
      <w:r w:rsidR="00AB2520">
        <w:t>’</w:t>
      </w:r>
      <w:r w:rsidRPr="007C23F7">
        <w:t xml:space="preserve">incendie générant un aérosol sec sur le bateau-citerne </w:t>
      </w:r>
      <w:r w:rsidRPr="007C23F7">
        <w:rPr>
          <w:i/>
        </w:rPr>
        <w:t>Chemgas 851</w:t>
      </w:r>
    </w:p>
    <w:p w:rsidR="002F14C0" w:rsidRPr="007C23F7" w:rsidRDefault="002F14C0" w:rsidP="00646017">
      <w:pPr>
        <w:pStyle w:val="H23G"/>
      </w:pPr>
      <w:r w:rsidRPr="007C23F7">
        <w:tab/>
      </w:r>
      <w:r w:rsidRPr="007C23F7">
        <w:tab/>
        <w:t>Dérogation n</w:t>
      </w:r>
      <w:r w:rsidRPr="007C23F7">
        <w:rPr>
          <w:vertAlign w:val="superscript"/>
        </w:rPr>
        <w:t>o</w:t>
      </w:r>
      <w:r w:rsidRPr="007C23F7">
        <w:t> 1/2016 du 29 janvier 2016</w:t>
      </w:r>
    </w:p>
    <w:p w:rsidR="002F14C0" w:rsidRPr="007C23F7" w:rsidRDefault="002F14C0" w:rsidP="00646017">
      <w:pPr>
        <w:pStyle w:val="SingleTxtG"/>
        <w:ind w:firstLine="567"/>
      </w:pPr>
      <w:r w:rsidRPr="007C23F7">
        <w:t>L</w:t>
      </w:r>
      <w:r w:rsidR="00AB2520">
        <w:t>’</w:t>
      </w:r>
      <w:r w:rsidRPr="007C23F7">
        <w:t>autorité compétente des Pays-Bas est autorisée à délivrer, à titre expérimental, un ajout au certificat d</w:t>
      </w:r>
      <w:r w:rsidR="00AB2520">
        <w:t>’</w:t>
      </w:r>
      <w:r w:rsidRPr="007C23F7">
        <w:t>agrément à l</w:t>
      </w:r>
      <w:r w:rsidR="00AB2520">
        <w:t>’</w:t>
      </w:r>
      <w:r w:rsidRPr="007C23F7">
        <w:t>automoteur-citerne de type G Chemgas 851 (Sirocco), (numéro d</w:t>
      </w:r>
      <w:r w:rsidR="00AB2520">
        <w:t>’</w:t>
      </w:r>
      <w:r w:rsidRPr="007C23F7">
        <w:t>identification 55679 et numéro de registre BV 24521F), comme prévu dans l</w:t>
      </w:r>
      <w:r w:rsidR="00AB2520">
        <w:t>’</w:t>
      </w:r>
      <w:r w:rsidRPr="007C23F7">
        <w:t>ADN, aux fins de l</w:t>
      </w:r>
      <w:r w:rsidR="00AB2520">
        <w:t>’</w:t>
      </w:r>
      <w:r w:rsidRPr="007C23F7">
        <w:t>utilisation d</w:t>
      </w:r>
      <w:r w:rsidR="00AB2520">
        <w:t>’</w:t>
      </w:r>
      <w:r w:rsidRPr="007C23F7">
        <w:t>une installation d</w:t>
      </w:r>
      <w:r w:rsidR="00AB2520">
        <w:t>’</w:t>
      </w:r>
      <w:r w:rsidRPr="007C23F7">
        <w:t>extinction d</w:t>
      </w:r>
      <w:r w:rsidR="00AB2520">
        <w:t>’</w:t>
      </w:r>
      <w:r w:rsidRPr="007C23F7">
        <w:t>incendie générant un aérosol sec (FP5700S).</w:t>
      </w:r>
    </w:p>
    <w:p w:rsidR="002F14C0" w:rsidRPr="007C23F7" w:rsidRDefault="002F14C0" w:rsidP="00646017">
      <w:pPr>
        <w:pStyle w:val="SingleTxtG"/>
        <w:ind w:firstLine="567"/>
      </w:pPr>
      <w:r w:rsidRPr="007C23F7">
        <w:t>Conformément au paragraphe 1.5.3.2 du Règlement annexé à l</w:t>
      </w:r>
      <w:r w:rsidR="00AB2520">
        <w:t>’</w:t>
      </w:r>
      <w:r w:rsidRPr="007C23F7">
        <w:t>ADN, le bateau susmentionné peut déroger à la prescription du paragraphe 9.3.1.40.2.1 jusqu</w:t>
      </w:r>
      <w:r w:rsidR="00AB2520">
        <w:t>’</w:t>
      </w:r>
      <w:r w:rsidRPr="007C23F7">
        <w:t>au 31 décembre 2018 ; agent extincteur : l</w:t>
      </w:r>
      <w:r w:rsidR="00AB2520">
        <w:t>’</w:t>
      </w:r>
      <w:r w:rsidRPr="007C23F7">
        <w:t>agent extincteur n</w:t>
      </w:r>
      <w:r w:rsidR="00AB2520">
        <w:t>’</w:t>
      </w:r>
      <w:r w:rsidRPr="007C23F7">
        <w:t>est pas indiqué dans le paragraphe. Le bateau est équipé d</w:t>
      </w:r>
      <w:r w:rsidR="00AB2520">
        <w:t>’</w:t>
      </w:r>
      <w:r w:rsidRPr="007C23F7">
        <w:t>un agent extincteur d</w:t>
      </w:r>
      <w:r w:rsidR="00AB2520">
        <w:t>’</w:t>
      </w:r>
      <w:r w:rsidRPr="007C23F7">
        <w:t xml:space="preserve">incendie fixé à demeure du type </w:t>
      </w:r>
      <w:r w:rsidR="0075468A">
        <w:t>d’</w:t>
      </w:r>
      <w:r w:rsidRPr="007C23F7">
        <w:t>installation d</w:t>
      </w:r>
      <w:r w:rsidR="00AB2520">
        <w:t>’</w:t>
      </w:r>
      <w:r w:rsidRPr="007C23F7">
        <w:t>extinction d</w:t>
      </w:r>
      <w:r w:rsidR="00AB2520">
        <w:t>’</w:t>
      </w:r>
      <w:r w:rsidRPr="007C23F7">
        <w:t>incendie générant un aérosol sec (FP5700S).</w:t>
      </w:r>
    </w:p>
    <w:p w:rsidR="002F14C0" w:rsidRPr="007C23F7" w:rsidRDefault="002F14C0" w:rsidP="00646017">
      <w:pPr>
        <w:pStyle w:val="SingleTxtG"/>
        <w:ind w:firstLine="567"/>
      </w:pPr>
      <w:r w:rsidRPr="007C23F7">
        <w:t>Le Comité d</w:t>
      </w:r>
      <w:r w:rsidR="00AB2520">
        <w:t>’</w:t>
      </w:r>
      <w:r w:rsidRPr="007C23F7">
        <w:t>administration décide que l</w:t>
      </w:r>
      <w:r w:rsidR="00AB2520">
        <w:t>’</w:t>
      </w:r>
      <w:r w:rsidRPr="007C23F7">
        <w:t>utilisation de cette installation d</w:t>
      </w:r>
      <w:r w:rsidR="00AB2520">
        <w:t>’</w:t>
      </w:r>
      <w:r w:rsidRPr="007C23F7">
        <w:t>extinction d</w:t>
      </w:r>
      <w:r w:rsidR="00AB2520">
        <w:t>’</w:t>
      </w:r>
      <w:r w:rsidRPr="007C23F7">
        <w:t>incendie générant un aérosol sec est réputée suffisamment sûre si les conditions posées par la Commission centrale pour la navigation sur le Rhin (CCNR) sont respectées en tout temps</w:t>
      </w:r>
      <w:r w:rsidR="0075468A" w:rsidRPr="0075468A">
        <w:rPr>
          <w:rStyle w:val="FootnoteReference"/>
          <w:sz w:val="20"/>
          <w:vertAlign w:val="baseline"/>
        </w:rPr>
        <w:footnoteReference w:customMarkFollows="1" w:id="3"/>
        <w:t>*</w:t>
      </w:r>
      <w:r w:rsidR="004D2C00">
        <w:t>.</w:t>
      </w:r>
    </w:p>
    <w:p w:rsidR="002F14C0" w:rsidRPr="007C23F7" w:rsidRDefault="002F14C0" w:rsidP="00646017">
      <w:pPr>
        <w:pStyle w:val="SingleTxtG"/>
        <w:ind w:firstLine="567"/>
      </w:pPr>
      <w:r w:rsidRPr="007C23F7">
        <w:t>Les conditions ci-après s</w:t>
      </w:r>
      <w:r w:rsidR="00AB2520">
        <w:t>’</w:t>
      </w:r>
      <w:r w:rsidRPr="007C23F7">
        <w:t>appliquent également :</w:t>
      </w:r>
    </w:p>
    <w:p w:rsidR="002F14C0" w:rsidRPr="007C23F7" w:rsidRDefault="002F14C0" w:rsidP="00646017">
      <w:pPr>
        <w:pStyle w:val="SingleTxtG"/>
      </w:pPr>
      <w:r w:rsidRPr="007C23F7">
        <w:t>1.</w:t>
      </w:r>
      <w:r w:rsidRPr="007C23F7">
        <w:tab/>
        <w:t>Toutes les données concernant l</w:t>
      </w:r>
      <w:r w:rsidR="00AB2520">
        <w:t>’</w:t>
      </w:r>
      <w:r w:rsidRPr="007C23F7">
        <w:t>utilisation de l</w:t>
      </w:r>
      <w:r w:rsidR="00AB2520">
        <w:t>’</w:t>
      </w:r>
      <w:r w:rsidRPr="007C23F7">
        <w:t>installation d</w:t>
      </w:r>
      <w:r w:rsidR="00AB2520">
        <w:t>’</w:t>
      </w:r>
      <w:r w:rsidRPr="007C23F7">
        <w:t>extinction d</w:t>
      </w:r>
      <w:r w:rsidR="00AB2520">
        <w:t>’</w:t>
      </w:r>
      <w:r w:rsidRPr="007C23F7">
        <w:t>incendie générant un aérosol sec (FP5700s) sont recueillies par le transporteur. Les données sont envoyées, sur demande, à l</w:t>
      </w:r>
      <w:r w:rsidR="00AB2520">
        <w:t>’</w:t>
      </w:r>
      <w:r w:rsidRPr="007C23F7">
        <w:t>autorité compétente.</w:t>
      </w:r>
    </w:p>
    <w:p w:rsidR="002F14C0" w:rsidRDefault="002F14C0" w:rsidP="00646017">
      <w:pPr>
        <w:pStyle w:val="SingleTxtG"/>
      </w:pPr>
      <w:r w:rsidRPr="007C23F7">
        <w:t>2.</w:t>
      </w:r>
      <w:r w:rsidRPr="007C23F7">
        <w:tab/>
        <w:t>Après utilisation de l</w:t>
      </w:r>
      <w:r w:rsidR="00AB2520">
        <w:t>’</w:t>
      </w:r>
      <w:r w:rsidRPr="007C23F7">
        <w:t>agent extincteur d</w:t>
      </w:r>
      <w:r w:rsidR="00AB2520">
        <w:t>’</w:t>
      </w:r>
      <w:r w:rsidRPr="007C23F7">
        <w:t>incendie fixé à demeure, un rapport d</w:t>
      </w:r>
      <w:r w:rsidR="00AB2520">
        <w:t>’</w:t>
      </w:r>
      <w:r w:rsidRPr="007C23F7">
        <w:t>évaluation est adressé au secrétariat de la CEE pour informer le Comité d</w:t>
      </w:r>
      <w:r w:rsidR="00AB2520">
        <w:t>’</w:t>
      </w:r>
      <w:r w:rsidRPr="007C23F7">
        <w:t>administration, et comprend notamment les données de fonctionnement et le rapport d</w:t>
      </w:r>
      <w:r w:rsidR="00AB2520">
        <w:t>’</w:t>
      </w:r>
      <w:r w:rsidRPr="007C23F7">
        <w:t>inspection établi par la société ayant procédé à la classification du navire.</w:t>
      </w:r>
    </w:p>
    <w:p w:rsidR="00646017" w:rsidRPr="00646017" w:rsidRDefault="00646017" w:rsidP="00646017">
      <w:pPr>
        <w:pStyle w:val="SingleTxtG"/>
        <w:spacing w:before="240" w:after="0"/>
        <w:jc w:val="center"/>
        <w:rPr>
          <w:u w:val="single"/>
        </w:rPr>
      </w:pPr>
      <w:r>
        <w:rPr>
          <w:u w:val="single"/>
        </w:rPr>
        <w:tab/>
      </w:r>
      <w:r>
        <w:rPr>
          <w:u w:val="single"/>
        </w:rPr>
        <w:tab/>
      </w:r>
      <w:r>
        <w:rPr>
          <w:u w:val="single"/>
        </w:rPr>
        <w:tab/>
      </w:r>
    </w:p>
    <w:sectPr w:rsidR="00646017" w:rsidRPr="00646017" w:rsidSect="002F14C0">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66F" w:rsidRDefault="0042466F" w:rsidP="00F95C08">
      <w:pPr>
        <w:spacing w:line="240" w:lineRule="auto"/>
      </w:pPr>
    </w:p>
  </w:endnote>
  <w:endnote w:type="continuationSeparator" w:id="0">
    <w:p w:rsidR="0042466F" w:rsidRPr="00AC3823" w:rsidRDefault="0042466F" w:rsidP="00AC3823">
      <w:pPr>
        <w:pStyle w:val="Footer"/>
      </w:pPr>
    </w:p>
  </w:endnote>
  <w:endnote w:type="continuationNotice" w:id="1">
    <w:p w:rsidR="0042466F" w:rsidRDefault="004246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4C0" w:rsidRPr="002F14C0" w:rsidRDefault="002F14C0" w:rsidP="002F14C0">
    <w:pPr>
      <w:pStyle w:val="Footer"/>
      <w:tabs>
        <w:tab w:val="right" w:pos="9638"/>
      </w:tabs>
    </w:pPr>
    <w:r w:rsidRPr="002F14C0">
      <w:rPr>
        <w:b/>
        <w:sz w:val="18"/>
      </w:rPr>
      <w:fldChar w:fldCharType="begin"/>
    </w:r>
    <w:r w:rsidRPr="002F14C0">
      <w:rPr>
        <w:b/>
        <w:sz w:val="18"/>
      </w:rPr>
      <w:instrText xml:space="preserve"> PAGE  \* MERGEFORMAT </w:instrText>
    </w:r>
    <w:r w:rsidRPr="002F14C0">
      <w:rPr>
        <w:b/>
        <w:sz w:val="18"/>
      </w:rPr>
      <w:fldChar w:fldCharType="separate"/>
    </w:r>
    <w:r w:rsidR="00821213">
      <w:rPr>
        <w:b/>
        <w:noProof/>
        <w:sz w:val="18"/>
      </w:rPr>
      <w:t>2</w:t>
    </w:r>
    <w:r w:rsidRPr="002F14C0">
      <w:rPr>
        <w:b/>
        <w:sz w:val="18"/>
      </w:rPr>
      <w:fldChar w:fldCharType="end"/>
    </w:r>
    <w:r>
      <w:rPr>
        <w:b/>
        <w:sz w:val="18"/>
      </w:rPr>
      <w:tab/>
    </w:r>
    <w:r>
      <w:t>GE.16-01814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4C0" w:rsidRPr="002F14C0" w:rsidRDefault="002F14C0" w:rsidP="002F14C0">
    <w:pPr>
      <w:pStyle w:val="Footer"/>
      <w:tabs>
        <w:tab w:val="right" w:pos="9638"/>
      </w:tabs>
      <w:rPr>
        <w:b/>
        <w:sz w:val="18"/>
      </w:rPr>
    </w:pPr>
    <w:r>
      <w:t>GE.16-01814</w:t>
    </w:r>
    <w:r>
      <w:tab/>
    </w:r>
    <w:r w:rsidRPr="002F14C0">
      <w:rPr>
        <w:b/>
        <w:sz w:val="18"/>
      </w:rPr>
      <w:fldChar w:fldCharType="begin"/>
    </w:r>
    <w:r w:rsidRPr="002F14C0">
      <w:rPr>
        <w:b/>
        <w:sz w:val="18"/>
      </w:rPr>
      <w:instrText xml:space="preserve"> PAGE  \* MERGEFORMAT </w:instrText>
    </w:r>
    <w:r w:rsidRPr="002F14C0">
      <w:rPr>
        <w:b/>
        <w:sz w:val="18"/>
      </w:rPr>
      <w:fldChar w:fldCharType="separate"/>
    </w:r>
    <w:r w:rsidR="00821213">
      <w:rPr>
        <w:b/>
        <w:noProof/>
        <w:sz w:val="18"/>
      </w:rPr>
      <w:t>5</w:t>
    </w:r>
    <w:r w:rsidRPr="002F14C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EE9" w:rsidRPr="002F14C0" w:rsidRDefault="002F14C0" w:rsidP="002F14C0">
    <w:pPr>
      <w:pStyle w:val="Footer"/>
      <w:spacing w:before="120"/>
      <w:rPr>
        <w:sz w:val="20"/>
      </w:rPr>
    </w:pPr>
    <w:r>
      <w:rPr>
        <w:sz w:val="20"/>
      </w:rPr>
      <w:t>GE.</w:t>
    </w:r>
    <w:r w:rsidR="000D3EE9">
      <w:rPr>
        <w:noProof/>
        <w:lang w:val="en-US"/>
      </w:rPr>
      <w:drawing>
        <wp:anchor distT="0" distB="0" distL="114300" distR="114300" simplePos="0" relativeHeight="251659264" behindDoc="0" locked="0" layoutInCell="1" allowOverlap="0" wp14:anchorId="4B868A83" wp14:editId="037CAB12">
          <wp:simplePos x="0" y="0"/>
          <wp:positionH relativeFrom="margin">
            <wp:posOffset>4319905</wp:posOffset>
          </wp:positionH>
          <wp:positionV relativeFrom="margin">
            <wp:posOffset>8279765</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16-01814  (F)</w:t>
    </w:r>
    <w:r w:rsidR="00B41BA8">
      <w:rPr>
        <w:sz w:val="20"/>
      </w:rPr>
      <w:t xml:space="preserve">    190516    200516</w:t>
    </w:r>
    <w:r>
      <w:rPr>
        <w:sz w:val="20"/>
      </w:rPr>
      <w:br/>
    </w:r>
    <w:r w:rsidRPr="002F14C0">
      <w:rPr>
        <w:rFonts w:ascii="C39T30Lfz" w:hAnsi="C39T30Lfz"/>
        <w:sz w:val="56"/>
      </w:rPr>
      <w:t></w:t>
    </w:r>
    <w:r w:rsidRPr="002F14C0">
      <w:rPr>
        <w:rFonts w:ascii="C39T30Lfz" w:hAnsi="C39T30Lfz"/>
        <w:sz w:val="56"/>
      </w:rPr>
      <w:t></w:t>
    </w:r>
    <w:r w:rsidRPr="002F14C0">
      <w:rPr>
        <w:rFonts w:ascii="C39T30Lfz" w:hAnsi="C39T30Lfz"/>
        <w:sz w:val="56"/>
      </w:rPr>
      <w:t></w:t>
    </w:r>
    <w:r w:rsidRPr="002F14C0">
      <w:rPr>
        <w:rFonts w:ascii="C39T30Lfz" w:hAnsi="C39T30Lfz"/>
        <w:sz w:val="56"/>
      </w:rPr>
      <w:t></w:t>
    </w:r>
    <w:r w:rsidRPr="002F14C0">
      <w:rPr>
        <w:rFonts w:ascii="C39T30Lfz" w:hAnsi="C39T30Lfz"/>
        <w:sz w:val="56"/>
      </w:rPr>
      <w:t></w:t>
    </w:r>
    <w:r w:rsidRPr="002F14C0">
      <w:rPr>
        <w:rFonts w:ascii="C39T30Lfz" w:hAnsi="C39T30Lfz"/>
        <w:sz w:val="56"/>
      </w:rPr>
      <w:t></w:t>
    </w:r>
    <w:r w:rsidRPr="002F14C0">
      <w:rPr>
        <w:rFonts w:ascii="C39T30Lfz" w:hAnsi="C39T30Lfz"/>
        <w:sz w:val="56"/>
      </w:rPr>
      <w:t></w:t>
    </w:r>
    <w:r w:rsidRPr="002F14C0">
      <w:rPr>
        <w:rFonts w:ascii="C39T30Lfz" w:hAnsi="C39T30Lfz"/>
        <w:sz w:val="56"/>
      </w:rPr>
      <w:t></w:t>
    </w:r>
    <w:r w:rsidRPr="002F14C0">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ECE/ADN/3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ADN/3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66F" w:rsidRPr="00AC3823" w:rsidRDefault="0042466F" w:rsidP="00AC3823">
      <w:pPr>
        <w:pStyle w:val="Footer"/>
        <w:tabs>
          <w:tab w:val="right" w:pos="2155"/>
        </w:tabs>
        <w:spacing w:after="80" w:line="240" w:lineRule="atLeast"/>
        <w:ind w:left="680"/>
        <w:rPr>
          <w:u w:val="single"/>
        </w:rPr>
      </w:pPr>
      <w:r>
        <w:rPr>
          <w:u w:val="single"/>
        </w:rPr>
        <w:tab/>
      </w:r>
    </w:p>
  </w:footnote>
  <w:footnote w:type="continuationSeparator" w:id="0">
    <w:p w:rsidR="0042466F" w:rsidRPr="00AC3823" w:rsidRDefault="0042466F" w:rsidP="00AC3823">
      <w:pPr>
        <w:pStyle w:val="Footer"/>
        <w:tabs>
          <w:tab w:val="right" w:pos="2155"/>
        </w:tabs>
        <w:spacing w:after="80" w:line="240" w:lineRule="atLeast"/>
        <w:ind w:left="680"/>
        <w:rPr>
          <w:u w:val="single"/>
        </w:rPr>
      </w:pPr>
      <w:r>
        <w:rPr>
          <w:u w:val="single"/>
        </w:rPr>
        <w:tab/>
      </w:r>
    </w:p>
  </w:footnote>
  <w:footnote w:type="continuationNotice" w:id="1">
    <w:p w:rsidR="0042466F" w:rsidRPr="00AC3823" w:rsidRDefault="0042466F">
      <w:pPr>
        <w:spacing w:line="240" w:lineRule="auto"/>
        <w:rPr>
          <w:sz w:val="2"/>
          <w:szCs w:val="2"/>
        </w:rPr>
      </w:pPr>
    </w:p>
  </w:footnote>
  <w:footnote w:id="2">
    <w:p w:rsidR="008C140A" w:rsidRPr="008C140A" w:rsidRDefault="008C140A">
      <w:pPr>
        <w:pStyle w:val="FootnoteText"/>
      </w:pPr>
      <w:r>
        <w:rPr>
          <w:rStyle w:val="FootnoteReference"/>
        </w:rPr>
        <w:tab/>
      </w:r>
      <w:r w:rsidRPr="008C140A">
        <w:rPr>
          <w:rStyle w:val="FootnoteReference"/>
          <w:vertAlign w:val="baseline"/>
        </w:rPr>
        <w:t>*</w:t>
      </w:r>
      <w:r w:rsidRPr="008C140A">
        <w:tab/>
      </w:r>
      <w:r>
        <w:t xml:space="preserve">Diffusé en langue allemande par la Commission Centrale pour la Navigation du Rhin sous la cote </w:t>
      </w:r>
      <w:r w:rsidRPr="00821213">
        <w:t>CCNR/ZKR/ADN/35.</w:t>
      </w:r>
    </w:p>
  </w:footnote>
  <w:footnote w:id="3">
    <w:p w:rsidR="0075468A" w:rsidRPr="0075468A" w:rsidRDefault="0075468A">
      <w:pPr>
        <w:pStyle w:val="FootnoteText"/>
      </w:pPr>
      <w:r>
        <w:rPr>
          <w:rStyle w:val="FootnoteReference"/>
        </w:rPr>
        <w:tab/>
      </w:r>
      <w:r w:rsidRPr="0075468A">
        <w:rPr>
          <w:rStyle w:val="FootnoteReference"/>
          <w:vertAlign w:val="baseline"/>
        </w:rPr>
        <w:t>*</w:t>
      </w:r>
      <w:r w:rsidRPr="0075468A">
        <w:tab/>
      </w:r>
      <w:r w:rsidRPr="00F658BB">
        <w:t>Se référer au document informel INF.3 soumis à</w:t>
      </w:r>
      <w:r>
        <w:t xml:space="preserve"> l</w:t>
      </w:r>
      <w:r w:rsidRPr="00F658BB">
        <w:t xml:space="preserve">a vingt-huitième session </w:t>
      </w:r>
      <w:r>
        <w:t xml:space="preserve">du Comité de sécurité de l’ADN, disponible à l’adresse suivante : </w:t>
      </w:r>
      <w:r w:rsidRPr="00F658BB">
        <w:t>http://www.unece.org/fileadmin/DAM/trans/doc/2016/</w:t>
      </w:r>
      <w:r>
        <w:t xml:space="preserve"> </w:t>
      </w:r>
      <w:r w:rsidRPr="00F658BB">
        <w:t>dgwp15ac2/WP15-AC2-28-inf03e.pdf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4C0" w:rsidRPr="002F14C0" w:rsidRDefault="002F14C0">
    <w:pPr>
      <w:pStyle w:val="Header"/>
    </w:pPr>
    <w:r>
      <w:t>ECE/ADN/35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4C0" w:rsidRPr="002F14C0" w:rsidRDefault="002F14C0" w:rsidP="002F14C0">
    <w:pPr>
      <w:pStyle w:val="Header"/>
      <w:jc w:val="right"/>
    </w:pPr>
    <w:r>
      <w:t>ECE/ADN/35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66F"/>
    <w:rsid w:val="00017F94"/>
    <w:rsid w:val="00023842"/>
    <w:rsid w:val="000334F9"/>
    <w:rsid w:val="0007796D"/>
    <w:rsid w:val="000B7790"/>
    <w:rsid w:val="000D3EE9"/>
    <w:rsid w:val="00111F2F"/>
    <w:rsid w:val="001433FD"/>
    <w:rsid w:val="0014365E"/>
    <w:rsid w:val="001541D3"/>
    <w:rsid w:val="00176178"/>
    <w:rsid w:val="001D45C4"/>
    <w:rsid w:val="001F525A"/>
    <w:rsid w:val="00223272"/>
    <w:rsid w:val="0024779E"/>
    <w:rsid w:val="002832AC"/>
    <w:rsid w:val="002D7C93"/>
    <w:rsid w:val="002F14C0"/>
    <w:rsid w:val="00334E77"/>
    <w:rsid w:val="00372C07"/>
    <w:rsid w:val="003F31D0"/>
    <w:rsid w:val="0042466F"/>
    <w:rsid w:val="00441C3B"/>
    <w:rsid w:val="0044323C"/>
    <w:rsid w:val="00446B0A"/>
    <w:rsid w:val="00446FE5"/>
    <w:rsid w:val="00452396"/>
    <w:rsid w:val="004D2C00"/>
    <w:rsid w:val="004E071E"/>
    <w:rsid w:val="004E468C"/>
    <w:rsid w:val="005316B0"/>
    <w:rsid w:val="005505B7"/>
    <w:rsid w:val="00573BE5"/>
    <w:rsid w:val="00586ED3"/>
    <w:rsid w:val="00596AA9"/>
    <w:rsid w:val="00646017"/>
    <w:rsid w:val="00693F6A"/>
    <w:rsid w:val="00706363"/>
    <w:rsid w:val="0071601D"/>
    <w:rsid w:val="0075468A"/>
    <w:rsid w:val="007948D1"/>
    <w:rsid w:val="007A62E6"/>
    <w:rsid w:val="0080684C"/>
    <w:rsid w:val="00821213"/>
    <w:rsid w:val="00871C75"/>
    <w:rsid w:val="008776DC"/>
    <w:rsid w:val="008C140A"/>
    <w:rsid w:val="009705C8"/>
    <w:rsid w:val="00975062"/>
    <w:rsid w:val="00981D37"/>
    <w:rsid w:val="009C1CF4"/>
    <w:rsid w:val="009D444F"/>
    <w:rsid w:val="00A30353"/>
    <w:rsid w:val="00AA113A"/>
    <w:rsid w:val="00AB2520"/>
    <w:rsid w:val="00AC3823"/>
    <w:rsid w:val="00AE0458"/>
    <w:rsid w:val="00AE323C"/>
    <w:rsid w:val="00AE6291"/>
    <w:rsid w:val="00AF4A3B"/>
    <w:rsid w:val="00B00181"/>
    <w:rsid w:val="00B00B0D"/>
    <w:rsid w:val="00B25A34"/>
    <w:rsid w:val="00B41BA8"/>
    <w:rsid w:val="00B765F7"/>
    <w:rsid w:val="00BA0CA9"/>
    <w:rsid w:val="00BB4A36"/>
    <w:rsid w:val="00C02897"/>
    <w:rsid w:val="00C80095"/>
    <w:rsid w:val="00CD68B4"/>
    <w:rsid w:val="00D055D5"/>
    <w:rsid w:val="00D3439C"/>
    <w:rsid w:val="00DB1831"/>
    <w:rsid w:val="00DC5432"/>
    <w:rsid w:val="00DD3BFD"/>
    <w:rsid w:val="00DF6678"/>
    <w:rsid w:val="00E0783F"/>
    <w:rsid w:val="00EF2E22"/>
    <w:rsid w:val="00F33C2B"/>
    <w:rsid w:val="00F660DF"/>
    <w:rsid w:val="00F77A14"/>
    <w:rsid w:val="00F80390"/>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F393E0C-BBC1-42F9-9036-CEE2430D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tref,BVI fnr,16 Point,Superscript 6 Point,Footnote,Footnote symbol,Footnote Refernece,Texto de nota al pie,Fußnotenzeichen_Raxen,Footnote number,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single space,ft,Footnote Text Char Char Char,Footnote Text Char Char,footnote text Char,single space Char,ft Char Char Char,ft Char Char,ft Char,FOOTNOTES,fn,Fußnote,F1,Geneva,Char,single space Char Char Char,fn Cha,FA Fu"/>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single space Char1,ft Char1,Footnote Text Char Char Char Char,Footnote Text Char Char Char1,footnote text Char Char,single space Char Char,ft Char Char Char Char,ft Char Char Char1,ft Char Char1,FOOTNOTES Char,fn Char,F1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D1B56-ED60-4C74-837B-E01F51F64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1455</Words>
  <Characters>8299</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ECE/ADN/35</vt:lpstr>
      <vt:lpstr>ECE/ADN/35</vt:lpstr>
    </vt:vector>
  </TitlesOfParts>
  <Company>DCM</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ECE/ADN/35</dc:title>
  <dc:subject>Final</dc:subject>
  <dc:creator>Julien Okrzesik</dc:creator>
  <cp:keywords/>
  <dc:description/>
  <cp:lastModifiedBy>02</cp:lastModifiedBy>
  <cp:revision>2</cp:revision>
  <cp:lastPrinted>2014-05-14T10:59:00Z</cp:lastPrinted>
  <dcterms:created xsi:type="dcterms:W3CDTF">2016-06-01T10:11:00Z</dcterms:created>
  <dcterms:modified xsi:type="dcterms:W3CDTF">2016-06-01T10:11:00Z</dcterms:modified>
</cp:coreProperties>
</file>