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99001C" w:rsidRDefault="0099001C" w:rsidP="00D3335D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A8760B">
              <w:rPr>
                <w:b/>
                <w:sz w:val="40"/>
                <w:szCs w:val="40"/>
              </w:rPr>
              <w:t>31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D3335D">
              <w:rPr>
                <w:b/>
                <w:sz w:val="40"/>
                <w:szCs w:val="40"/>
              </w:rPr>
              <w:t>26</w:t>
            </w:r>
          </w:p>
        </w:tc>
      </w:tr>
      <w:tr w:rsidR="0099001C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691F20" w:rsidRDefault="00A805EB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FD4F7E" w:rsidRPr="009F0F06" w:rsidRDefault="00A805EB" w:rsidP="00FD4F7E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="00FD4F7E">
              <w:rPr>
                <w:b/>
                <w:lang w:val="en-US"/>
              </w:rPr>
              <w:tab/>
            </w:r>
            <w:r w:rsidR="00D3335D" w:rsidRPr="00D3335D">
              <w:rPr>
                <w:b/>
                <w:lang w:val="en-US"/>
              </w:rPr>
              <w:t>6 July</w:t>
            </w:r>
            <w:r w:rsidR="006A7757" w:rsidRPr="00D3335D">
              <w:rPr>
                <w:b/>
                <w:lang w:val="en-US"/>
              </w:rPr>
              <w:t xml:space="preserve"> </w:t>
            </w:r>
            <w:r w:rsidR="00A8760B" w:rsidRPr="00D3335D">
              <w:rPr>
                <w:b/>
                <w:lang w:val="en-US"/>
              </w:rPr>
              <w:t>2016</w:t>
            </w:r>
          </w:p>
          <w:p w:rsidR="00A8760B" w:rsidRDefault="00A8760B" w:rsidP="009F3D53">
            <w:pPr>
              <w:jc w:val="both"/>
              <w:rPr>
                <w:b/>
              </w:rPr>
            </w:pPr>
          </w:p>
          <w:p w:rsidR="00A8760B" w:rsidRDefault="00A8760B" w:rsidP="009F3D53">
            <w:pPr>
              <w:jc w:val="both"/>
            </w:pPr>
            <w:r>
              <w:rPr>
                <w:b/>
              </w:rPr>
              <w:t>Thirty-first</w:t>
            </w:r>
            <w:r w:rsidRPr="000B4919">
              <w:rPr>
                <w:b/>
              </w:rPr>
              <w:t xml:space="preserve"> session</w:t>
            </w:r>
            <w:r w:rsidRPr="00283442">
              <w:t xml:space="preserve"> </w:t>
            </w:r>
          </w:p>
          <w:p w:rsidR="00A8760B" w:rsidRPr="000B4919" w:rsidRDefault="00A8760B" w:rsidP="00A8760B">
            <w:pPr>
              <w:jc w:val="both"/>
            </w:pPr>
            <w:r w:rsidRPr="00283442">
              <w:t xml:space="preserve">Geneva, </w:t>
            </w:r>
            <w:r>
              <w:t>5</w:t>
            </w:r>
            <w:r w:rsidRPr="00283442">
              <w:t xml:space="preserve">– </w:t>
            </w:r>
            <w:r>
              <w:t>8</w:t>
            </w:r>
            <w:r w:rsidRPr="00283442">
              <w:t xml:space="preserve"> </w:t>
            </w:r>
            <w:r>
              <w:t>July 2016</w:t>
            </w:r>
          </w:p>
          <w:p w:rsidR="00D3335D" w:rsidRPr="00DD2DCD" w:rsidRDefault="00D3335D" w:rsidP="00D3335D">
            <w:pPr>
              <w:contextualSpacing/>
            </w:pPr>
            <w:r w:rsidRPr="00DD2DCD">
              <w:t xml:space="preserve">Item </w:t>
            </w:r>
            <w:r>
              <w:t>3</w:t>
            </w:r>
            <w:r>
              <w:t xml:space="preserve"> (c)</w:t>
            </w:r>
            <w:r w:rsidRPr="00DD2DCD">
              <w:t xml:space="preserve"> of the provisional agenda</w:t>
            </w:r>
          </w:p>
          <w:p w:rsidR="009F3D53" w:rsidRDefault="00D3335D" w:rsidP="00D3335D">
            <w:pPr>
              <w:jc w:val="both"/>
              <w:rPr>
                <w:b/>
              </w:rPr>
            </w:pPr>
            <w:r w:rsidRPr="00B54E63">
              <w:rPr>
                <w:b/>
              </w:rPr>
              <w:t>Classification criteria and related hazard communication</w:t>
            </w:r>
            <w:r>
              <w:rPr>
                <w:b/>
              </w:rPr>
              <w:t>:</w:t>
            </w:r>
          </w:p>
          <w:p w:rsidR="00D3335D" w:rsidRPr="00283442" w:rsidRDefault="00D3335D" w:rsidP="00D3335D">
            <w:pPr>
              <w:jc w:val="both"/>
              <w:rPr>
                <w:b/>
              </w:rPr>
            </w:pPr>
            <w:r>
              <w:rPr>
                <w:b/>
              </w:rPr>
              <w:t>Practical classification issues</w:t>
            </w:r>
          </w:p>
          <w:p w:rsidR="0099001C" w:rsidRDefault="0099001C" w:rsidP="006A7757">
            <w:pPr>
              <w:spacing w:line="240" w:lineRule="exact"/>
            </w:pPr>
          </w:p>
        </w:tc>
      </w:tr>
    </w:tbl>
    <w:p w:rsidR="00D3335D" w:rsidRPr="00D3335D" w:rsidRDefault="00D3335D" w:rsidP="00D3335D">
      <w:pPr>
        <w:pStyle w:val="HCh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Pr="00D3335D">
        <w:rPr>
          <w:rFonts w:eastAsia="MS Mincho"/>
          <w:lang w:val="en-US" w:eastAsia="ja-JP"/>
        </w:rPr>
        <w:t>Update on the work of the informal correspondence group on practical classification issues</w:t>
      </w:r>
    </w:p>
    <w:p w:rsidR="00D3335D" w:rsidRPr="00E54B3C" w:rsidRDefault="00D3335D" w:rsidP="00D3335D">
      <w:pPr>
        <w:pStyle w:val="H1G"/>
        <w:rPr>
          <w:rFonts w:eastAsia="MS Mincho"/>
          <w:szCs w:val="24"/>
        </w:rPr>
      </w:pP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 w:rsidRPr="00E54B3C">
        <w:rPr>
          <w:rFonts w:eastAsia="MS Mincho"/>
          <w:szCs w:val="24"/>
        </w:rPr>
        <w:t>Transmitted by the expert from the United States of America on behalf of the in</w:t>
      </w:r>
      <w:r>
        <w:rPr>
          <w:rFonts w:eastAsia="MS Mincho"/>
          <w:szCs w:val="24"/>
        </w:rPr>
        <w:t>formal correspondence group on practical classification i</w:t>
      </w:r>
      <w:r w:rsidRPr="00E54B3C">
        <w:rPr>
          <w:rFonts w:eastAsia="MS Mincho"/>
          <w:szCs w:val="24"/>
        </w:rPr>
        <w:t>ssues</w:t>
      </w:r>
    </w:p>
    <w:p w:rsidR="00D3335D" w:rsidRPr="00C53907" w:rsidRDefault="00D3335D" w:rsidP="00D3335D">
      <w:pPr>
        <w:pStyle w:val="SingleTxtG"/>
        <w:tabs>
          <w:tab w:val="left" w:pos="1701"/>
        </w:tabs>
        <w:ind w:left="414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</w:p>
    <w:p w:rsidR="00D3335D" w:rsidRPr="00D3335D" w:rsidRDefault="00D3335D" w:rsidP="00D3335D">
      <w:pPr>
        <w:pStyle w:val="SingleTxtG"/>
      </w:pPr>
      <w:r w:rsidRPr="00D3335D">
        <w:t>1.</w:t>
      </w:r>
      <w:r w:rsidRPr="00D3335D">
        <w:tab/>
        <w:t xml:space="preserve">The Practical Classification Issues (PCI) informal correspondence group held a working group meeting surrounding the plenary session on 5 July 2016.  Based on discussions during this meeting, the PCI is proposing in the annex of this document an additional editorial amendment to item (g) of working paper ST/SG/AC.10/C.4/2016/9.  </w:t>
      </w:r>
    </w:p>
    <w:p w:rsidR="00D3335D" w:rsidRPr="00D21E04" w:rsidRDefault="00D3335D" w:rsidP="00D3335D">
      <w:pPr>
        <w:pStyle w:val="SingleTxtG"/>
        <w:tabs>
          <w:tab w:val="left" w:pos="1701"/>
        </w:tabs>
      </w:pPr>
      <w:r>
        <w:t>2.</w:t>
      </w:r>
      <w:r>
        <w:tab/>
      </w:r>
      <w:r w:rsidRPr="00D21E04">
        <w:t xml:space="preserve">In addition, </w:t>
      </w:r>
      <w:r>
        <w:t>w</w:t>
      </w:r>
      <w:r w:rsidRPr="00D21E04">
        <w:t xml:space="preserve">ith respect to the editorial changes to the health hazard definitions as proposed in </w:t>
      </w:r>
      <w:r>
        <w:t>item (a)</w:t>
      </w:r>
      <w:r w:rsidRPr="00D21E04">
        <w:t xml:space="preserve"> of working paper </w:t>
      </w:r>
      <w:r w:rsidRPr="00D3335D">
        <w:t>ST/SG/AC.10/C.4/2016/9</w:t>
      </w:r>
      <w:r w:rsidRPr="00D21E04">
        <w:t xml:space="preserve">, the PCI group has provided proposed conforming changes to </w:t>
      </w:r>
      <w:r>
        <w:t xml:space="preserve">the definitions in </w:t>
      </w:r>
      <w:r w:rsidRPr="00D21E04">
        <w:t>GHS Chapter 1.2</w:t>
      </w:r>
      <w:r>
        <w:t>.</w:t>
      </w:r>
      <w:r w:rsidRPr="00D21E04">
        <w:t xml:space="preserve"> </w:t>
      </w:r>
    </w:p>
    <w:p w:rsidR="00D3335D" w:rsidRPr="00C53907" w:rsidRDefault="00D3335D" w:rsidP="00D3335D">
      <w:pPr>
        <w:pStyle w:val="SingleTxtG"/>
        <w:tabs>
          <w:tab w:val="left" w:pos="1701"/>
        </w:tabs>
        <w:ind w:left="414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teps</w:t>
      </w:r>
    </w:p>
    <w:p w:rsidR="00D3335D" w:rsidRDefault="00D3335D" w:rsidP="00D3335D">
      <w:pPr>
        <w:pStyle w:val="SingleTxtG"/>
        <w:tabs>
          <w:tab w:val="left" w:pos="1701"/>
        </w:tabs>
      </w:pPr>
      <w:r w:rsidRPr="00D21E04">
        <w:t xml:space="preserve">3.  </w:t>
      </w:r>
      <w:r w:rsidRPr="00D21E04">
        <w:tab/>
      </w:r>
      <w:r>
        <w:t>Pending feedback from this document, the PCI group plans to submit a working paper for the 32</w:t>
      </w:r>
      <w:r w:rsidRPr="00905603">
        <w:rPr>
          <w:vertAlign w:val="superscript"/>
        </w:rPr>
        <w:t>nd</w:t>
      </w:r>
      <w:r>
        <w:t xml:space="preserve"> sessio</w:t>
      </w:r>
      <w:r>
        <w:t>n for consideration by the Sub-C</w:t>
      </w:r>
      <w:r>
        <w:t>ommittee.</w:t>
      </w:r>
    </w:p>
    <w:p w:rsidR="00D3335D" w:rsidRDefault="00D3335D" w:rsidP="00D3335D">
      <w:pPr>
        <w:ind w:left="1134"/>
      </w:pPr>
    </w:p>
    <w:p w:rsidR="00D3335D" w:rsidRPr="00BF76E0" w:rsidRDefault="00D3335D" w:rsidP="00BF76E0">
      <w:pPr>
        <w:pStyle w:val="HChG"/>
        <w:rPr>
          <w:rFonts w:eastAsia="MS Mincho"/>
          <w:lang w:val="en-US" w:eastAsia="ja-JP"/>
        </w:rPr>
      </w:pPr>
      <w:r>
        <w:rPr>
          <w:sz w:val="20"/>
        </w:rPr>
        <w:br w:type="page"/>
      </w:r>
      <w:r w:rsidR="00BF76E0" w:rsidRPr="00BF76E0">
        <w:rPr>
          <w:rFonts w:eastAsia="MS Mincho"/>
          <w:lang w:val="en-US" w:eastAsia="ja-JP"/>
        </w:rPr>
        <w:tab/>
      </w:r>
      <w:r w:rsidR="00BF76E0" w:rsidRPr="00BF76E0">
        <w:rPr>
          <w:rFonts w:eastAsia="MS Mincho"/>
          <w:lang w:val="en-US" w:eastAsia="ja-JP"/>
        </w:rPr>
        <w:tab/>
      </w:r>
      <w:r w:rsidRPr="00BF76E0">
        <w:rPr>
          <w:rFonts w:eastAsia="MS Mincho"/>
          <w:lang w:val="en-US" w:eastAsia="ja-JP"/>
        </w:rPr>
        <w:t>Annex</w:t>
      </w:r>
    </w:p>
    <w:p w:rsidR="00D3335D" w:rsidRPr="001E534D" w:rsidRDefault="00BF76E0" w:rsidP="00BF76E0">
      <w:pPr>
        <w:pStyle w:val="HChG"/>
      </w:pPr>
      <w:r>
        <w:tab/>
      </w:r>
      <w:r>
        <w:tab/>
      </w:r>
      <w:r w:rsidR="00D3335D">
        <w:t xml:space="preserve">Proposed amendments to </w:t>
      </w:r>
      <w:r w:rsidR="00D3335D" w:rsidRPr="001E534D">
        <w:t>Chapter 3.1</w:t>
      </w:r>
    </w:p>
    <w:p w:rsidR="00D3335D" w:rsidRPr="001E534D" w:rsidRDefault="00D3335D" w:rsidP="00BF76E0">
      <w:pPr>
        <w:pStyle w:val="SingleTxtG"/>
      </w:pPr>
      <w:r w:rsidRPr="001E534D">
        <w:t xml:space="preserve">In Table 3.1.1 amend the value for the oral and dermal rows in the Category 5 column from </w:t>
      </w:r>
      <w:r w:rsidR="00BF76E0">
        <w:t>“</w:t>
      </w:r>
      <w:r w:rsidRPr="001E534D">
        <w:t>5000</w:t>
      </w:r>
      <w:r w:rsidR="00BF76E0">
        <w:t>”</w:t>
      </w:r>
      <w:r w:rsidRPr="001E534D">
        <w:t xml:space="preserve"> to read </w:t>
      </w:r>
      <w:r w:rsidR="00BF76E0">
        <w:t>“</w:t>
      </w:r>
      <w:r w:rsidRPr="001E534D">
        <w:t>2000 &lt; ATE ≤ 5000</w:t>
      </w:r>
      <w:r w:rsidR="00BF76E0">
        <w:t>”</w:t>
      </w:r>
      <w:r w:rsidRPr="001E534D">
        <w:t>.</w:t>
      </w:r>
    </w:p>
    <w:p w:rsidR="00D3335D" w:rsidRPr="00BF76E0" w:rsidRDefault="00BF76E0" w:rsidP="00BF76E0">
      <w:pPr>
        <w:pStyle w:val="HChG"/>
      </w:pPr>
      <w:r>
        <w:tab/>
      </w:r>
      <w:r>
        <w:tab/>
      </w:r>
      <w:r>
        <w:t>Proposed amendments to</w:t>
      </w:r>
      <w:r w:rsidRPr="001E534D">
        <w:t xml:space="preserve"> </w:t>
      </w:r>
      <w:r w:rsidR="00D3335D" w:rsidRPr="001E534D">
        <w:t>Chapter 1.2</w:t>
      </w:r>
    </w:p>
    <w:p w:rsidR="00D3335D" w:rsidRPr="001E534D" w:rsidRDefault="00D3335D" w:rsidP="00BF76E0">
      <w:pPr>
        <w:pStyle w:val="SingleTxtG"/>
      </w:pPr>
      <w:r w:rsidRPr="001E534D">
        <w:t>Delete the definitions of the following terms from Chapter 1.2:</w:t>
      </w:r>
    </w:p>
    <w:p w:rsidR="00D3335D" w:rsidRPr="001E534D" w:rsidRDefault="00D3335D" w:rsidP="00BF76E0">
      <w:pPr>
        <w:pStyle w:val="Bullet1G"/>
      </w:pPr>
      <w:r w:rsidRPr="001E534D">
        <w:t>Skin corrosion</w:t>
      </w:r>
    </w:p>
    <w:p w:rsidR="00D3335D" w:rsidRPr="001E534D" w:rsidRDefault="00D3335D" w:rsidP="00BF76E0">
      <w:pPr>
        <w:pStyle w:val="Bullet1G"/>
      </w:pPr>
      <w:r w:rsidRPr="001E534D">
        <w:t>Skin irritation</w:t>
      </w:r>
    </w:p>
    <w:p w:rsidR="00D3335D" w:rsidRPr="001E534D" w:rsidRDefault="00D3335D" w:rsidP="00BF76E0">
      <w:pPr>
        <w:pStyle w:val="Bullet1G"/>
      </w:pPr>
      <w:r w:rsidRPr="001E534D">
        <w:t>Serious eye damage</w:t>
      </w:r>
    </w:p>
    <w:p w:rsidR="00D3335D" w:rsidRPr="001E534D" w:rsidRDefault="00D3335D" w:rsidP="00BF76E0">
      <w:pPr>
        <w:pStyle w:val="Bullet1G"/>
      </w:pPr>
      <w:r w:rsidRPr="001E534D">
        <w:t>Eye irritation</w:t>
      </w:r>
    </w:p>
    <w:p w:rsidR="00D3335D" w:rsidRPr="001E534D" w:rsidRDefault="00D3335D" w:rsidP="00BF76E0">
      <w:pPr>
        <w:pStyle w:val="Bullet1G"/>
      </w:pPr>
      <w:r w:rsidRPr="001E534D">
        <w:t>Dermal corrosion</w:t>
      </w:r>
    </w:p>
    <w:p w:rsidR="00D3335D" w:rsidRPr="001E534D" w:rsidRDefault="00D3335D" w:rsidP="00BF76E0">
      <w:pPr>
        <w:pStyle w:val="Bullet1G"/>
      </w:pPr>
      <w:r w:rsidRPr="001E534D">
        <w:t>Dermal irritation</w:t>
      </w:r>
    </w:p>
    <w:p w:rsidR="00D3335D" w:rsidRDefault="00D3335D" w:rsidP="00BF76E0">
      <w:pPr>
        <w:pStyle w:val="SingleTxtG"/>
      </w:pPr>
      <w:r w:rsidRPr="001E534D">
        <w:t xml:space="preserve">Modify the definitions for </w:t>
      </w:r>
      <w:r w:rsidR="00BF76E0">
        <w:t>“</w:t>
      </w:r>
      <w:r w:rsidRPr="001E534D">
        <w:t>respiratory sensitizer</w:t>
      </w:r>
      <w:r w:rsidR="00BF76E0">
        <w:t>”</w:t>
      </w:r>
      <w:r w:rsidRPr="001E534D">
        <w:t xml:space="preserve"> and </w:t>
      </w:r>
      <w:r w:rsidR="00BF76E0">
        <w:t>“</w:t>
      </w:r>
      <w:r w:rsidRPr="001E534D">
        <w:t>skin sensitizer</w:t>
      </w:r>
      <w:r w:rsidR="00BF76E0">
        <w:t>”</w:t>
      </w:r>
      <w:r w:rsidRPr="001E534D">
        <w:t xml:space="preserve"> as follows (</w:t>
      </w:r>
      <w:r w:rsidRPr="00BF76E0">
        <w:rPr>
          <w:i/>
        </w:rPr>
        <w:t>new text is underlined</w:t>
      </w:r>
      <w:r w:rsidRPr="001E534D">
        <w:t>):</w:t>
      </w:r>
    </w:p>
    <w:p w:rsidR="00BF76E0" w:rsidRPr="001E534D" w:rsidRDefault="00BF76E0" w:rsidP="0077514E">
      <w:pPr>
        <w:pStyle w:val="SingleTxtG"/>
        <w:ind w:left="1560"/>
        <w:rPr>
          <w:u w:val="single"/>
        </w:rPr>
      </w:pPr>
      <w:r>
        <w:rPr>
          <w:b/>
          <w:bCs/>
          <w:i/>
          <w:iCs/>
        </w:rPr>
        <w:t>“</w:t>
      </w:r>
      <w:r w:rsidRPr="001E534D">
        <w:rPr>
          <w:b/>
          <w:bCs/>
          <w:i/>
          <w:iCs/>
        </w:rPr>
        <w:t>Respiratory sensitizer</w:t>
      </w:r>
      <w:r w:rsidRPr="001E534D">
        <w:t xml:space="preserve"> means a substance </w:t>
      </w:r>
      <w:r w:rsidRPr="001E534D">
        <w:rPr>
          <w:u w:val="single"/>
        </w:rPr>
        <w:t>or mixture</w:t>
      </w:r>
      <w:r w:rsidRPr="001E534D">
        <w:t xml:space="preserve"> that induces hypersensitivity of the airways following inhalation of the substance </w:t>
      </w:r>
      <w:r w:rsidRPr="001E534D">
        <w:rPr>
          <w:u w:val="single"/>
        </w:rPr>
        <w:t>or mixture.</w:t>
      </w:r>
      <w:r>
        <w:rPr>
          <w:u w:val="single"/>
        </w:rPr>
        <w:t>”</w:t>
      </w:r>
    </w:p>
    <w:p w:rsidR="00BF76E0" w:rsidRPr="001E534D" w:rsidRDefault="00BF76E0" w:rsidP="0077514E">
      <w:pPr>
        <w:pStyle w:val="SingleTxtG"/>
        <w:ind w:left="1560"/>
      </w:pPr>
      <w:r>
        <w:rPr>
          <w:b/>
          <w:bCs/>
          <w:i/>
          <w:iCs/>
        </w:rPr>
        <w:t>“</w:t>
      </w:r>
      <w:r w:rsidRPr="001E534D">
        <w:rPr>
          <w:b/>
          <w:bCs/>
          <w:i/>
          <w:iCs/>
        </w:rPr>
        <w:t xml:space="preserve">Skin sensitizer </w:t>
      </w:r>
      <w:r w:rsidRPr="001E534D">
        <w:t xml:space="preserve">means a substance </w:t>
      </w:r>
      <w:r w:rsidRPr="001E534D">
        <w:rPr>
          <w:u w:val="single"/>
        </w:rPr>
        <w:t>or mixture</w:t>
      </w:r>
      <w:r w:rsidRPr="001E534D">
        <w:t xml:space="preserve"> that will induce an allergic response following skin contact.</w:t>
      </w:r>
      <w:r>
        <w:t>”</w:t>
      </w:r>
    </w:p>
    <w:p w:rsidR="0025322D" w:rsidRPr="0025322D" w:rsidRDefault="0025322D" w:rsidP="0025322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322D" w:rsidRPr="0025322D" w:rsidSect="00990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81" w:rsidRDefault="00D63881"/>
  </w:endnote>
  <w:endnote w:type="continuationSeparator" w:id="0">
    <w:p w:rsidR="00D63881" w:rsidRDefault="00D63881"/>
  </w:endnote>
  <w:endnote w:type="continuationNotice" w:id="1">
    <w:p w:rsidR="00D63881" w:rsidRDefault="00D63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767746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D7387D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767746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4pt;margin-top:-6.25pt;width:73.25pt;height:18.15pt;z-index:251657728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81" w:rsidRPr="000B175B" w:rsidRDefault="00D638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3881" w:rsidRPr="00FC68B7" w:rsidRDefault="00D638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3881" w:rsidRDefault="00D638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366CA7">
    <w:pPr>
      <w:pStyle w:val="Header"/>
    </w:pPr>
    <w:bookmarkStart w:id="0" w:name="_GoBack"/>
    <w:bookmarkEnd w:id="0"/>
    <w:r w:rsidRPr="00767746">
      <w:t>UN/SCEGHS/</w:t>
    </w:r>
    <w:r w:rsidR="00A8760B" w:rsidRPr="00767746">
      <w:t>31</w:t>
    </w:r>
    <w:r w:rsidRPr="00767746">
      <w:t>/INF.</w:t>
    </w:r>
    <w:r w:rsidR="00767746" w:rsidRPr="00767746">
      <w:t>26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Header"/>
      <w:jc w:val="right"/>
    </w:pPr>
    <w:r>
      <w:t>UN/SCEGHS/2</w:t>
    </w:r>
    <w:r w:rsidR="00B30E8F">
      <w:t>6</w:t>
    </w:r>
    <w:r>
      <w:t>/</w:t>
    </w:r>
    <w:proofErr w:type="spellStart"/>
    <w:r>
      <w:t>INF.xx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46" w:rsidRDefault="00767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E64BE"/>
    <w:multiLevelType w:val="hybridMultilevel"/>
    <w:tmpl w:val="18909ADC"/>
    <w:lvl w:ilvl="0" w:tplc="BF223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27D27"/>
    <w:multiLevelType w:val="hybridMultilevel"/>
    <w:tmpl w:val="2E420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38D212DF"/>
    <w:multiLevelType w:val="hybridMultilevel"/>
    <w:tmpl w:val="38684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01C"/>
    <w:rsid w:val="00002EFA"/>
    <w:rsid w:val="00033B3D"/>
    <w:rsid w:val="00050F6B"/>
    <w:rsid w:val="00072C8C"/>
    <w:rsid w:val="00081647"/>
    <w:rsid w:val="000931C0"/>
    <w:rsid w:val="000B175B"/>
    <w:rsid w:val="000B3A0F"/>
    <w:rsid w:val="000C6544"/>
    <w:rsid w:val="000D10AA"/>
    <w:rsid w:val="000E0415"/>
    <w:rsid w:val="001220B8"/>
    <w:rsid w:val="00156F3C"/>
    <w:rsid w:val="00162BF7"/>
    <w:rsid w:val="00190AEA"/>
    <w:rsid w:val="001B4B04"/>
    <w:rsid w:val="001C6663"/>
    <w:rsid w:val="001C7895"/>
    <w:rsid w:val="001D26DF"/>
    <w:rsid w:val="001E47FD"/>
    <w:rsid w:val="00211E0B"/>
    <w:rsid w:val="002405A7"/>
    <w:rsid w:val="0025322D"/>
    <w:rsid w:val="00257E45"/>
    <w:rsid w:val="00262488"/>
    <w:rsid w:val="002D59D3"/>
    <w:rsid w:val="003107FA"/>
    <w:rsid w:val="003127A2"/>
    <w:rsid w:val="003229D8"/>
    <w:rsid w:val="0033745A"/>
    <w:rsid w:val="003642AF"/>
    <w:rsid w:val="00366CA7"/>
    <w:rsid w:val="0039277A"/>
    <w:rsid w:val="003972E0"/>
    <w:rsid w:val="003C2CC4"/>
    <w:rsid w:val="003C3936"/>
    <w:rsid w:val="003D4B23"/>
    <w:rsid w:val="003F1ED3"/>
    <w:rsid w:val="004325CB"/>
    <w:rsid w:val="00446DE4"/>
    <w:rsid w:val="00460DD9"/>
    <w:rsid w:val="00467F71"/>
    <w:rsid w:val="004A41CA"/>
    <w:rsid w:val="004E7ED6"/>
    <w:rsid w:val="00503228"/>
    <w:rsid w:val="00505384"/>
    <w:rsid w:val="00532EF8"/>
    <w:rsid w:val="005420F2"/>
    <w:rsid w:val="005B2C89"/>
    <w:rsid w:val="005B3DB3"/>
    <w:rsid w:val="005E22FE"/>
    <w:rsid w:val="00611FC4"/>
    <w:rsid w:val="006176FB"/>
    <w:rsid w:val="00627ED0"/>
    <w:rsid w:val="00640B26"/>
    <w:rsid w:val="00665595"/>
    <w:rsid w:val="00691F20"/>
    <w:rsid w:val="00693543"/>
    <w:rsid w:val="006A7392"/>
    <w:rsid w:val="006A7757"/>
    <w:rsid w:val="006E564B"/>
    <w:rsid w:val="0071349F"/>
    <w:rsid w:val="00720DEB"/>
    <w:rsid w:val="0072632A"/>
    <w:rsid w:val="00733AAE"/>
    <w:rsid w:val="00767746"/>
    <w:rsid w:val="0077514E"/>
    <w:rsid w:val="00781A60"/>
    <w:rsid w:val="007A0B22"/>
    <w:rsid w:val="007B6BA5"/>
    <w:rsid w:val="007C3390"/>
    <w:rsid w:val="007C4F4B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6AF7"/>
    <w:rsid w:val="00871FD5"/>
    <w:rsid w:val="008979B1"/>
    <w:rsid w:val="008A6B25"/>
    <w:rsid w:val="008A6C4F"/>
    <w:rsid w:val="008B6E26"/>
    <w:rsid w:val="008E0E46"/>
    <w:rsid w:val="008E4C4C"/>
    <w:rsid w:val="00907AD2"/>
    <w:rsid w:val="00911047"/>
    <w:rsid w:val="00963CBA"/>
    <w:rsid w:val="009650E6"/>
    <w:rsid w:val="00974A8D"/>
    <w:rsid w:val="0099001C"/>
    <w:rsid w:val="00991261"/>
    <w:rsid w:val="009F3A17"/>
    <w:rsid w:val="009F3D53"/>
    <w:rsid w:val="00A1427D"/>
    <w:rsid w:val="00A55FB2"/>
    <w:rsid w:val="00A72F22"/>
    <w:rsid w:val="00A748A6"/>
    <w:rsid w:val="00A80459"/>
    <w:rsid w:val="00A805EB"/>
    <w:rsid w:val="00A8760B"/>
    <w:rsid w:val="00A879A4"/>
    <w:rsid w:val="00AA496B"/>
    <w:rsid w:val="00AE71F3"/>
    <w:rsid w:val="00B30179"/>
    <w:rsid w:val="00B30E8F"/>
    <w:rsid w:val="00B33EC0"/>
    <w:rsid w:val="00B81E12"/>
    <w:rsid w:val="00B97D28"/>
    <w:rsid w:val="00BC74E9"/>
    <w:rsid w:val="00BD2146"/>
    <w:rsid w:val="00BE4F74"/>
    <w:rsid w:val="00BE618E"/>
    <w:rsid w:val="00BF76E0"/>
    <w:rsid w:val="00C17699"/>
    <w:rsid w:val="00C1778D"/>
    <w:rsid w:val="00C41A28"/>
    <w:rsid w:val="00C463DD"/>
    <w:rsid w:val="00C745C3"/>
    <w:rsid w:val="00C945EB"/>
    <w:rsid w:val="00CE4A8F"/>
    <w:rsid w:val="00D055EB"/>
    <w:rsid w:val="00D2031B"/>
    <w:rsid w:val="00D25FE2"/>
    <w:rsid w:val="00D317BB"/>
    <w:rsid w:val="00D3335D"/>
    <w:rsid w:val="00D35D8F"/>
    <w:rsid w:val="00D43252"/>
    <w:rsid w:val="00D63881"/>
    <w:rsid w:val="00D7387D"/>
    <w:rsid w:val="00D978C6"/>
    <w:rsid w:val="00DA67AD"/>
    <w:rsid w:val="00DB5D0F"/>
    <w:rsid w:val="00DC3242"/>
    <w:rsid w:val="00DE7F20"/>
    <w:rsid w:val="00DF12F7"/>
    <w:rsid w:val="00DF2C64"/>
    <w:rsid w:val="00E02C81"/>
    <w:rsid w:val="00E04A75"/>
    <w:rsid w:val="00E06EAB"/>
    <w:rsid w:val="00E130AB"/>
    <w:rsid w:val="00E31C87"/>
    <w:rsid w:val="00E677EC"/>
    <w:rsid w:val="00E70DF5"/>
    <w:rsid w:val="00E7260F"/>
    <w:rsid w:val="00E80F5F"/>
    <w:rsid w:val="00E87921"/>
    <w:rsid w:val="00E96630"/>
    <w:rsid w:val="00EA264E"/>
    <w:rsid w:val="00EA3A41"/>
    <w:rsid w:val="00ED71D9"/>
    <w:rsid w:val="00ED7A2A"/>
    <w:rsid w:val="00EF1D7F"/>
    <w:rsid w:val="00F53EDA"/>
    <w:rsid w:val="00F73015"/>
    <w:rsid w:val="00F7753D"/>
    <w:rsid w:val="00F85F34"/>
    <w:rsid w:val="00FA06F7"/>
    <w:rsid w:val="00FB171A"/>
    <w:rsid w:val="00FC09B8"/>
    <w:rsid w:val="00FC68B7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SingleTxtGChar1">
    <w:name w:val="_ Single Txt_G Char1"/>
    <w:locked/>
    <w:rsid w:val="00D3335D"/>
    <w:rPr>
      <w:lang w:val="en-GB"/>
    </w:rPr>
  </w:style>
  <w:style w:type="paragraph" w:styleId="ListParagraph">
    <w:name w:val="List Paragraph"/>
    <w:basedOn w:val="Normal"/>
    <w:uiPriority w:val="34"/>
    <w:qFormat/>
    <w:rsid w:val="00D3335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1GChar">
    <w:name w:val="_ H_1_G Char"/>
    <w:link w:val="H1G"/>
    <w:uiPriority w:val="99"/>
    <w:locked/>
    <w:rsid w:val="00D3335D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DFF0-E1C3-4159-86DC-86F5D734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9</cp:revision>
  <cp:lastPrinted>2008-09-29T11:49:00Z</cp:lastPrinted>
  <dcterms:created xsi:type="dcterms:W3CDTF">2015-06-23T07:37:00Z</dcterms:created>
  <dcterms:modified xsi:type="dcterms:W3CDTF">2016-07-06T14:44:00Z</dcterms:modified>
</cp:coreProperties>
</file>