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2309A7" w:rsidRDefault="00C457E2" w:rsidP="00C457E2">
            <w:pPr>
              <w:jc w:val="right"/>
            </w:pPr>
            <w:r w:rsidRPr="00C457E2">
              <w:rPr>
                <w:sz w:val="40"/>
              </w:rPr>
              <w:t>ST</w:t>
            </w:r>
            <w:r>
              <w:t>/SG/AC.10/C.4/2016/9</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3107FA" w:rsidRDefault="00C457E2" w:rsidP="00C457E2">
            <w:pPr>
              <w:spacing w:before="240" w:line="240" w:lineRule="exact"/>
            </w:pPr>
            <w:r>
              <w:t>Distr.: General</w:t>
            </w:r>
          </w:p>
          <w:p w:rsidR="00C457E2" w:rsidRDefault="00C457E2" w:rsidP="00C457E2">
            <w:pPr>
              <w:spacing w:line="240" w:lineRule="exact"/>
            </w:pPr>
            <w:r>
              <w:t>1</w:t>
            </w:r>
            <w:r w:rsidR="00934706">
              <w:t>4</w:t>
            </w:r>
            <w:r>
              <w:t xml:space="preserve"> April 2016</w:t>
            </w:r>
          </w:p>
          <w:p w:rsidR="00C457E2" w:rsidRDefault="00C457E2" w:rsidP="00C457E2">
            <w:pPr>
              <w:spacing w:line="240" w:lineRule="exact"/>
            </w:pPr>
          </w:p>
          <w:p w:rsidR="00C457E2" w:rsidRDefault="00C457E2" w:rsidP="00C457E2">
            <w:pPr>
              <w:spacing w:line="240" w:lineRule="exact"/>
            </w:pPr>
            <w:r>
              <w:t>Original: English</w:t>
            </w:r>
          </w:p>
        </w:tc>
      </w:tr>
    </w:tbl>
    <w:p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rsidR="003E32B5" w:rsidRDefault="003E32B5" w:rsidP="003E32B5">
      <w:pPr>
        <w:spacing w:before="120"/>
        <w:rPr>
          <w:b/>
        </w:rPr>
      </w:pPr>
      <w:r>
        <w:rPr>
          <w:b/>
        </w:rPr>
        <w:t xml:space="preserve">Thirty-first </w:t>
      </w:r>
      <w:proofErr w:type="gramStart"/>
      <w:r>
        <w:rPr>
          <w:b/>
        </w:rPr>
        <w:t>session</w:t>
      </w:r>
      <w:proofErr w:type="gramEnd"/>
    </w:p>
    <w:p w:rsidR="003E32B5" w:rsidRDefault="003E32B5" w:rsidP="003E32B5">
      <w:r>
        <w:t>Geneva, 5-8 July 2016</w:t>
      </w:r>
    </w:p>
    <w:p w:rsidR="003E32B5" w:rsidRDefault="003E32B5" w:rsidP="003E32B5">
      <w:r>
        <w:t>Item 3 (c) of the provisional agenda</w:t>
      </w:r>
    </w:p>
    <w:p w:rsidR="003E32B5" w:rsidRDefault="003E32B5" w:rsidP="003E32B5">
      <w:pPr>
        <w:rPr>
          <w:b/>
        </w:rPr>
      </w:pPr>
      <w:r>
        <w:rPr>
          <w:b/>
        </w:rPr>
        <w:t>Classification criteria and related hazard communication</w:t>
      </w:r>
      <w:proofErr w:type="gramStart"/>
      <w:r w:rsidRPr="00011F43">
        <w:rPr>
          <w:b/>
        </w:rPr>
        <w:t>:</w:t>
      </w:r>
      <w:proofErr w:type="gramEnd"/>
      <w:r>
        <w:rPr>
          <w:b/>
        </w:rPr>
        <w:br/>
        <w:t>Practical classification issues</w:t>
      </w:r>
    </w:p>
    <w:p w:rsidR="003E32B5" w:rsidRPr="00011F43" w:rsidRDefault="003E32B5" w:rsidP="003E32B5">
      <w:pPr>
        <w:pStyle w:val="HChG"/>
      </w:pPr>
      <w:r w:rsidRPr="00011F43">
        <w:tab/>
      </w:r>
      <w:r w:rsidRPr="00011F43">
        <w:tab/>
        <w:t>Proposals to address issues from the programme of work for the practical classification issues correspondence group</w:t>
      </w:r>
    </w:p>
    <w:p w:rsidR="003E32B5" w:rsidRPr="006F2710" w:rsidRDefault="003E32B5" w:rsidP="003E32B5">
      <w:pPr>
        <w:pStyle w:val="H1G"/>
        <w:rPr>
          <w:sz w:val="20"/>
        </w:rPr>
      </w:pPr>
      <w:r w:rsidRPr="006F2710">
        <w:tab/>
      </w:r>
      <w:r w:rsidRPr="006F2710">
        <w:tab/>
        <w:t>Transmitted by the expert from the United States of America on behalf of the informal correspondence group on practical classification issues</w:t>
      </w:r>
      <w:r>
        <w:rPr>
          <w:rStyle w:val="FootnoteReference"/>
        </w:rPr>
        <w:footnoteReference w:id="2"/>
      </w:r>
    </w:p>
    <w:p w:rsidR="003E32B5" w:rsidRPr="000B2554" w:rsidRDefault="003E32B5" w:rsidP="003E32B5">
      <w:pPr>
        <w:pStyle w:val="HChG"/>
        <w:rPr>
          <w:szCs w:val="28"/>
        </w:rPr>
      </w:pPr>
      <w:r w:rsidRPr="006F2710">
        <w:tab/>
      </w:r>
      <w:r w:rsidRPr="006F2710">
        <w:tab/>
      </w:r>
      <w:r w:rsidRPr="000B2554">
        <w:rPr>
          <w:szCs w:val="28"/>
        </w:rPr>
        <w:t>Purpose</w:t>
      </w:r>
    </w:p>
    <w:p w:rsidR="003E32B5" w:rsidRPr="001B1CF3" w:rsidRDefault="003E32B5" w:rsidP="001B1CF3">
      <w:pPr>
        <w:pStyle w:val="SingleTxtG"/>
      </w:pPr>
      <w:r w:rsidRPr="001B1CF3">
        <w:t>1.</w:t>
      </w:r>
      <w:r w:rsidRPr="001B1CF3">
        <w:tab/>
        <w:t>By way of this document, the informal correspondence working group on practical classification issues (PCI) is providing recommendations to clarify classification criteria in the GHS.</w:t>
      </w:r>
    </w:p>
    <w:p w:rsidR="003E32B5" w:rsidRDefault="007D3016" w:rsidP="007D3016">
      <w:pPr>
        <w:pStyle w:val="HChG"/>
      </w:pPr>
      <w:r>
        <w:tab/>
      </w:r>
      <w:r>
        <w:tab/>
      </w:r>
      <w:r w:rsidR="003E32B5" w:rsidRPr="000B2554">
        <w:t>Background</w:t>
      </w:r>
      <w:r w:rsidR="003E32B5">
        <w:t xml:space="preserve"> </w:t>
      </w:r>
    </w:p>
    <w:p w:rsidR="003E32B5" w:rsidRPr="000B2554" w:rsidRDefault="003E32B5" w:rsidP="007D3016">
      <w:pPr>
        <w:pStyle w:val="SingleTxtG"/>
        <w:spacing w:before="120"/>
      </w:pPr>
      <w:r w:rsidRPr="000B2554">
        <w:t>2</w:t>
      </w:r>
      <w:r>
        <w:t>.</w:t>
      </w:r>
      <w:r>
        <w:tab/>
      </w:r>
      <w:r w:rsidRPr="000B2554">
        <w:t>During the t</w:t>
      </w:r>
      <w:r>
        <w:t>hirtieth</w:t>
      </w:r>
      <w:r w:rsidRPr="000B2554">
        <w:t xml:space="preserve"> session, the PCI Group submitted inform</w:t>
      </w:r>
      <w:r>
        <w:t>al</w:t>
      </w:r>
      <w:r w:rsidRPr="000B2554">
        <w:t xml:space="preserve"> </w:t>
      </w:r>
      <w:r w:rsidR="001B1CF3">
        <w:t xml:space="preserve">document </w:t>
      </w:r>
      <w:r w:rsidRPr="001B1CF3">
        <w:t>INF.16</w:t>
      </w:r>
      <w:r>
        <w:t xml:space="preserve"> </w:t>
      </w:r>
      <w:r w:rsidRPr="000B2554">
        <w:t>to the Sub-Committee, providing an update on the work undertaken by the group. The PCI group met surrounding the Sub-Committee meeting to further discuss the proposals presented in INF.</w:t>
      </w:r>
      <w:r>
        <w:t>16, in addition to two other proposals</w:t>
      </w:r>
      <w:r w:rsidRPr="000B2554">
        <w:t xml:space="preserve">. </w:t>
      </w:r>
      <w:r>
        <w:t xml:space="preserve">As a result of discussions on these issues, </w:t>
      </w:r>
      <w:r w:rsidRPr="000B2554">
        <w:t>the PCI has developed the proposed editorial changes to the GHS as provided in this working document.</w:t>
      </w:r>
      <w:r w:rsidRPr="000B2554">
        <w:tab/>
      </w:r>
    </w:p>
    <w:p w:rsidR="003E32B5" w:rsidRPr="006F2710" w:rsidRDefault="003E32B5" w:rsidP="007D3016">
      <w:pPr>
        <w:pStyle w:val="HChG"/>
      </w:pPr>
      <w:r>
        <w:lastRenderedPageBreak/>
        <w:tab/>
      </w:r>
      <w:r>
        <w:tab/>
      </w:r>
      <w:r w:rsidRPr="007D3016">
        <w:t>Proposal</w:t>
      </w:r>
    </w:p>
    <w:p w:rsidR="00482E3C" w:rsidRDefault="003E32B5" w:rsidP="001B1CF3">
      <w:pPr>
        <w:pStyle w:val="SingleTxtG"/>
      </w:pPr>
      <w:r>
        <w:t>3</w:t>
      </w:r>
      <w:r w:rsidRPr="006F2710">
        <w:t>.</w:t>
      </w:r>
      <w:r w:rsidRPr="006F2710">
        <w:tab/>
        <w:t xml:space="preserve">The correspondence group </w:t>
      </w:r>
      <w:r w:rsidR="001B1CF3">
        <w:t>invites</w:t>
      </w:r>
      <w:r>
        <w:t xml:space="preserve"> the Sub-Committee </w:t>
      </w:r>
      <w:r w:rsidR="001B1CF3">
        <w:t xml:space="preserve">to consider </w:t>
      </w:r>
      <w:r>
        <w:t>t</w:t>
      </w:r>
      <w:r w:rsidRPr="004544AA">
        <w:t>he recommended editorial amendments to the GHS</w:t>
      </w:r>
      <w:r>
        <w:t xml:space="preserve"> text</w:t>
      </w:r>
      <w:r w:rsidRPr="00191279">
        <w:t xml:space="preserve"> </w:t>
      </w:r>
      <w:r>
        <w:t>as set forth in the Annex of this document</w:t>
      </w:r>
      <w:r w:rsidRPr="004544AA">
        <w:t>.</w:t>
      </w:r>
      <w:r>
        <w:t xml:space="preserve">  </w:t>
      </w:r>
    </w:p>
    <w:p w:rsidR="009F0F06" w:rsidRDefault="003E32B5" w:rsidP="001B1CF3">
      <w:pPr>
        <w:pStyle w:val="SingleTxtG"/>
      </w:pPr>
      <w:r>
        <w:t>4.</w:t>
      </w:r>
      <w:r>
        <w:tab/>
        <w:t xml:space="preserve">With respect to the proposed editorial changes to the </w:t>
      </w:r>
      <w:r w:rsidR="001B1CF3">
        <w:t>health hazard definitions (item </w:t>
      </w:r>
      <w:r>
        <w:t>(a))</w:t>
      </w:r>
      <w:proofErr w:type="gramStart"/>
      <w:r>
        <w:t>,</w:t>
      </w:r>
      <w:proofErr w:type="gramEnd"/>
      <w:r>
        <w:t xml:space="preserve"> the PCI group will submit an informal paper documenting the conforming changes to GHS Chapter 1.2.</w:t>
      </w:r>
    </w:p>
    <w:p w:rsidR="003A789F" w:rsidRDefault="003A789F">
      <w:pPr>
        <w:suppressAutoHyphens w:val="0"/>
        <w:spacing w:line="240" w:lineRule="auto"/>
      </w:pPr>
      <w:r>
        <w:br w:type="page"/>
      </w:r>
    </w:p>
    <w:p w:rsidR="007F04C9" w:rsidRDefault="003A789F" w:rsidP="003A789F">
      <w:pPr>
        <w:pStyle w:val="HChG"/>
      </w:pPr>
      <w:bookmarkStart w:id="0" w:name="_GoBack"/>
      <w:bookmarkEnd w:id="0"/>
      <w:r w:rsidRPr="003A789F">
        <w:lastRenderedPageBreak/>
        <w:t>Annex</w:t>
      </w:r>
    </w:p>
    <w:p w:rsidR="003A789F" w:rsidRDefault="003A789F" w:rsidP="003A789F">
      <w:pPr>
        <w:pStyle w:val="HChG"/>
      </w:pPr>
      <w:r>
        <w:tab/>
      </w:r>
      <w:r>
        <w:tab/>
      </w:r>
      <w:r w:rsidRPr="003A789F">
        <w:t>Proposed e</w:t>
      </w:r>
      <w:r w:rsidR="002E47AC">
        <w:t>ditorial amendments to the GHS</w:t>
      </w:r>
    </w:p>
    <w:p w:rsidR="007F04C9" w:rsidRPr="007F04C9" w:rsidRDefault="007F04C9" w:rsidP="007F04C9">
      <w:pPr>
        <w:pStyle w:val="SingleTxtG"/>
      </w:pPr>
      <w:r w:rsidRPr="007F04C9">
        <w:rPr>
          <w:b/>
          <w:i/>
          <w:u w:val="single"/>
        </w:rPr>
        <w:t>Note by the secretariat</w:t>
      </w:r>
      <w:r w:rsidRPr="007F04C9">
        <w:rPr>
          <w:i/>
        </w:rPr>
        <w:t>:  Items (a), (d), (g), (h) and (</w:t>
      </w:r>
      <w:proofErr w:type="spellStart"/>
      <w:r w:rsidRPr="007F04C9">
        <w:rPr>
          <w:i/>
        </w:rPr>
        <w:t>i</w:t>
      </w:r>
      <w:proofErr w:type="spellEnd"/>
      <w:r w:rsidRPr="007F04C9">
        <w:rPr>
          <w:i/>
        </w:rPr>
        <w:t xml:space="preserve">) </w:t>
      </w:r>
      <w:r>
        <w:rPr>
          <w:i/>
        </w:rPr>
        <w:t>below</w:t>
      </w:r>
      <w:r w:rsidRPr="007F04C9">
        <w:rPr>
          <w:i/>
        </w:rPr>
        <w:t xml:space="preserve"> refer to </w:t>
      </w:r>
      <w:r w:rsidR="003D388E">
        <w:rPr>
          <w:i/>
        </w:rPr>
        <w:t xml:space="preserve">items in </w:t>
      </w:r>
      <w:r w:rsidRPr="007F04C9">
        <w:rPr>
          <w:i/>
        </w:rPr>
        <w:t>the programme of work for the informal correspondence group agreed by the Sub-Committee at its 28th session  (refer to informa</w:t>
      </w:r>
      <w:r w:rsidR="004D33BB">
        <w:rPr>
          <w:i/>
        </w:rPr>
        <w:t>tion</w:t>
      </w:r>
      <w:r w:rsidRPr="007F04C9">
        <w:rPr>
          <w:i/>
        </w:rPr>
        <w:t xml:space="preserve"> document INF.32</w:t>
      </w:r>
      <w:r w:rsidR="004D33BB">
        <w:rPr>
          <w:i/>
        </w:rPr>
        <w:t xml:space="preserve"> (28th session)</w:t>
      </w:r>
      <w:r>
        <w:rPr>
          <w:i/>
        </w:rPr>
        <w:t>)</w:t>
      </w:r>
      <w:r w:rsidRPr="007F04C9">
        <w:rPr>
          <w:i/>
        </w:rPr>
        <w:t>.</w:t>
      </w:r>
    </w:p>
    <w:p w:rsidR="003A789F" w:rsidRPr="0018242C" w:rsidRDefault="003A789F" w:rsidP="00864C42">
      <w:pPr>
        <w:pStyle w:val="H1G"/>
        <w:jc w:val="both"/>
      </w:pPr>
      <w:r>
        <w:tab/>
      </w:r>
      <w:r w:rsidRPr="00495425">
        <w:t>Item (a):</w:t>
      </w:r>
      <w:r w:rsidR="002A2C6F">
        <w:t xml:space="preserve"> </w:t>
      </w:r>
      <w:r w:rsidR="002A2C6F">
        <w:tab/>
      </w:r>
      <w:r w:rsidRPr="0018242C">
        <w:t>Review the definitions in each of the health hazard chapters for consistency in the way the definitions are provided. For example, some definitions are taken directly from OECD test guidelines while others are more general (i.e., they</w:t>
      </w:r>
      <w:r w:rsidR="002A2C6F">
        <w:t xml:space="preserve"> don’t refer to specific tests)</w:t>
      </w:r>
    </w:p>
    <w:p w:rsidR="003A789F" w:rsidRPr="00A70C7F" w:rsidRDefault="003A789F" w:rsidP="003A789F">
      <w:pPr>
        <w:pStyle w:val="H23G"/>
        <w:rPr>
          <w:lang w:val="en-US"/>
        </w:rPr>
      </w:pPr>
      <w:r>
        <w:rPr>
          <w:lang w:val="en-US"/>
        </w:rPr>
        <w:tab/>
      </w:r>
      <w:r>
        <w:rPr>
          <w:lang w:val="en-US"/>
        </w:rPr>
        <w:tab/>
      </w:r>
      <w:r w:rsidRPr="00A70C7F">
        <w:rPr>
          <w:lang w:val="en-US"/>
        </w:rPr>
        <w:t xml:space="preserve">Chapter 3.1 </w:t>
      </w:r>
    </w:p>
    <w:p w:rsidR="003A789F" w:rsidRPr="006F5E91" w:rsidRDefault="003A789F" w:rsidP="00A73D52">
      <w:pPr>
        <w:pStyle w:val="SingleTxtG"/>
        <w:tabs>
          <w:tab w:val="left" w:pos="2268"/>
        </w:tabs>
      </w:pPr>
      <w:bookmarkStart w:id="1" w:name="_renumber"/>
      <w:bookmarkEnd w:id="1"/>
      <w:r>
        <w:t>3.1.1</w:t>
      </w:r>
      <w:r>
        <w:tab/>
      </w:r>
      <w:r w:rsidR="00EA3403">
        <w:t>Amend</w:t>
      </w:r>
      <w:r>
        <w:t xml:space="preserve"> the definition for “acute toxicity” </w:t>
      </w:r>
      <w:r w:rsidR="00EA3403">
        <w:t>to read as follows</w:t>
      </w:r>
      <w:r>
        <w:t>:</w:t>
      </w:r>
    </w:p>
    <w:p w:rsidR="003A789F" w:rsidRPr="006F5E91" w:rsidRDefault="003A789F" w:rsidP="00A73D52">
      <w:pPr>
        <w:pStyle w:val="SingleTxtG"/>
      </w:pPr>
      <w:r>
        <w:rPr>
          <w:i/>
          <w:iCs/>
        </w:rPr>
        <w:t>“</w:t>
      </w:r>
      <w:r w:rsidRPr="006F5E91">
        <w:rPr>
          <w:i/>
          <w:iCs/>
        </w:rPr>
        <w:t xml:space="preserve">Acute toxicity </w:t>
      </w:r>
      <w:r w:rsidRPr="006F5E91">
        <w:t>refers to serious adverse health effects (i.e., lethality) occurring after a single or short-term oral, dermal or inhalation exposure to a substance or mixture.</w:t>
      </w:r>
      <w:r>
        <w:t>”</w:t>
      </w:r>
    </w:p>
    <w:p w:rsidR="003A789F" w:rsidRPr="003A789F" w:rsidRDefault="003A789F" w:rsidP="00A73D52">
      <w:pPr>
        <w:pStyle w:val="SingleTxtG"/>
        <w:tabs>
          <w:tab w:val="left" w:pos="2268"/>
        </w:tabs>
      </w:pPr>
      <w:r>
        <w:t>3.1.2.1</w:t>
      </w:r>
      <w:r>
        <w:tab/>
      </w:r>
      <w:r w:rsidRPr="003A789F">
        <w:t>Amend as follows</w:t>
      </w:r>
      <w:r w:rsidR="002074DD">
        <w:t xml:space="preserve"> </w:t>
      </w:r>
      <w:r w:rsidR="002074DD" w:rsidRPr="002074DD">
        <w:rPr>
          <w:i/>
        </w:rPr>
        <w:t>(new text is underlined)</w:t>
      </w:r>
      <w:r w:rsidRPr="003A789F">
        <w:t>:</w:t>
      </w:r>
    </w:p>
    <w:p w:rsidR="003A789F" w:rsidRPr="006F5E91" w:rsidRDefault="00401BE5" w:rsidP="00A73D52">
      <w:pPr>
        <w:pStyle w:val="SingleTxtG"/>
        <w:tabs>
          <w:tab w:val="left" w:pos="2268"/>
        </w:tabs>
      </w:pPr>
      <w:r>
        <w:t>“</w:t>
      </w:r>
      <w:r w:rsidR="003A789F" w:rsidRPr="006F5E91">
        <w:t>3.1.2.1</w:t>
      </w:r>
      <w:r>
        <w:tab/>
      </w:r>
      <w:r w:rsidR="003A789F" w:rsidRPr="006F5E91">
        <w:t>Substances can be allocated to one of five hazard categories based on acute toxicity by the oral, dermal or inhalation route according to the numeric cut-off criteria as shown in the table below. Acute toxicity values are expressed as (approximate) LD</w:t>
      </w:r>
      <w:r w:rsidR="003A789F" w:rsidRPr="00401BE5">
        <w:rPr>
          <w:vertAlign w:val="subscript"/>
        </w:rPr>
        <w:t>50</w:t>
      </w:r>
      <w:r w:rsidR="003A789F" w:rsidRPr="006F5E91">
        <w:t xml:space="preserve"> (oral, dermal) or LC</w:t>
      </w:r>
      <w:r w:rsidR="003A789F" w:rsidRPr="00B52A63">
        <w:rPr>
          <w:vertAlign w:val="subscript"/>
        </w:rPr>
        <w:t xml:space="preserve">50 </w:t>
      </w:r>
      <w:r w:rsidR="003A789F" w:rsidRPr="006F5E91">
        <w:t>(inhalation) values or as acute toxicity estimates (ATE).   </w:t>
      </w:r>
      <w:r w:rsidR="003A789F" w:rsidRPr="006F5E91">
        <w:rPr>
          <w:u w:val="single"/>
        </w:rPr>
        <w:t xml:space="preserve">While some </w:t>
      </w:r>
      <w:r w:rsidR="003A789F" w:rsidRPr="006F5E91">
        <w:rPr>
          <w:i/>
          <w:u w:val="single"/>
        </w:rPr>
        <w:t>in vivo</w:t>
      </w:r>
      <w:r w:rsidR="003A789F" w:rsidRPr="006F5E91">
        <w:rPr>
          <w:u w:val="single"/>
        </w:rPr>
        <w:t xml:space="preserve"> methods </w:t>
      </w:r>
      <w:r w:rsidR="003A789F">
        <w:rPr>
          <w:u w:val="single"/>
        </w:rPr>
        <w:t>determine LD</w:t>
      </w:r>
      <w:r w:rsidR="003A789F" w:rsidRPr="00401BE5">
        <w:rPr>
          <w:u w:val="single"/>
          <w:vertAlign w:val="subscript"/>
        </w:rPr>
        <w:t>50</w:t>
      </w:r>
      <w:r w:rsidR="003A789F">
        <w:rPr>
          <w:u w:val="single"/>
        </w:rPr>
        <w:t>/LC</w:t>
      </w:r>
      <w:r w:rsidR="003A789F" w:rsidRPr="00401BE5">
        <w:rPr>
          <w:u w:val="single"/>
          <w:vertAlign w:val="subscript"/>
        </w:rPr>
        <w:t>50</w:t>
      </w:r>
      <w:r w:rsidR="003A789F">
        <w:rPr>
          <w:u w:val="single"/>
        </w:rPr>
        <w:t xml:space="preserve"> values directly</w:t>
      </w:r>
      <w:r w:rsidR="003A789F" w:rsidRPr="006F5E91">
        <w:rPr>
          <w:u w:val="single"/>
        </w:rPr>
        <w:t xml:space="preserve">, other newer </w:t>
      </w:r>
      <w:r w:rsidR="003A789F" w:rsidRPr="006F5E91">
        <w:rPr>
          <w:i/>
          <w:u w:val="single"/>
        </w:rPr>
        <w:t>in vivo</w:t>
      </w:r>
      <w:r w:rsidR="003A789F" w:rsidRPr="006F5E91">
        <w:rPr>
          <w:u w:val="single"/>
        </w:rPr>
        <w:t xml:space="preserve"> methods </w:t>
      </w:r>
      <w:r w:rsidR="003A789F">
        <w:rPr>
          <w:u w:val="single"/>
        </w:rPr>
        <w:t xml:space="preserve">(e.g., using fewer animals) </w:t>
      </w:r>
      <w:r w:rsidR="003A789F" w:rsidRPr="006F5E91">
        <w:rPr>
          <w:u w:val="single"/>
        </w:rPr>
        <w:t>consider</w:t>
      </w:r>
      <w:r w:rsidR="003A789F">
        <w:rPr>
          <w:u w:val="single"/>
        </w:rPr>
        <w:t xml:space="preserve"> other indicators of acute toxicity, such as</w:t>
      </w:r>
      <w:r w:rsidR="003A789F" w:rsidRPr="006F5E91">
        <w:rPr>
          <w:u w:val="single"/>
        </w:rPr>
        <w:t xml:space="preserve"> significant clinical signs of toxicity</w:t>
      </w:r>
      <w:r w:rsidR="003A789F">
        <w:rPr>
          <w:u w:val="single"/>
        </w:rPr>
        <w:t>, which are used by reference to assign the hazard category.</w:t>
      </w:r>
      <w:r w:rsidR="003A789F" w:rsidRPr="006F5E91">
        <w:rPr>
          <w:u w:val="single"/>
        </w:rPr>
        <w:t xml:space="preserve"> </w:t>
      </w:r>
      <w:r w:rsidR="003A789F" w:rsidRPr="006F5E91">
        <w:t> Explanatory notes are shown following Table 3.1.1.</w:t>
      </w:r>
      <w:proofErr w:type="gramStart"/>
      <w:r>
        <w:t>”.</w:t>
      </w:r>
      <w:proofErr w:type="gramEnd"/>
    </w:p>
    <w:p w:rsidR="003A789F" w:rsidRPr="00401BE5" w:rsidRDefault="00401BE5" w:rsidP="00401BE5">
      <w:pPr>
        <w:pStyle w:val="H23G"/>
        <w:rPr>
          <w:lang w:val="en-US"/>
        </w:rPr>
      </w:pPr>
      <w:r>
        <w:rPr>
          <w:lang w:val="en-US"/>
        </w:rPr>
        <w:tab/>
      </w:r>
      <w:r>
        <w:rPr>
          <w:lang w:val="en-US"/>
        </w:rPr>
        <w:tab/>
        <w:t>Chapter 3.2</w:t>
      </w:r>
    </w:p>
    <w:p w:rsidR="003A789F" w:rsidRPr="00D21378" w:rsidRDefault="00401BE5" w:rsidP="00845BBE">
      <w:pPr>
        <w:pStyle w:val="SingleTxtG"/>
        <w:tabs>
          <w:tab w:val="left" w:pos="2268"/>
        </w:tabs>
      </w:pPr>
      <w:r w:rsidRPr="00D21378">
        <w:t>3.2.1.1</w:t>
      </w:r>
      <w:r w:rsidRPr="00D21378">
        <w:tab/>
      </w:r>
      <w:r w:rsidR="00D21378" w:rsidRPr="00D21378">
        <w:t>Amend</w:t>
      </w:r>
      <w:r w:rsidR="001F7029">
        <w:t xml:space="preserve"> </w:t>
      </w:r>
      <w:r w:rsidR="00D21378" w:rsidRPr="00D21378">
        <w:t>to read as follows</w:t>
      </w:r>
      <w:r w:rsidR="002E47AC" w:rsidRPr="00D21378">
        <w:t>:</w:t>
      </w:r>
    </w:p>
    <w:p w:rsidR="003A789F" w:rsidRPr="00D21378" w:rsidRDefault="00D21378" w:rsidP="00D21378">
      <w:pPr>
        <w:pStyle w:val="SingleTxtG"/>
      </w:pPr>
      <w:r w:rsidRPr="00D21378">
        <w:rPr>
          <w:i/>
          <w:iCs/>
        </w:rPr>
        <w:t>“</w:t>
      </w:r>
      <w:r w:rsidR="003A789F" w:rsidRPr="00D21378">
        <w:rPr>
          <w:i/>
          <w:iCs/>
        </w:rPr>
        <w:t>Skin corrosion</w:t>
      </w:r>
      <w:r w:rsidR="003A789F" w:rsidRPr="00D21378">
        <w:t xml:space="preserve"> refers to the production of irreversible damage to the skin; namely, visible necrosis through the epidermis and into the dermis occurring after exposure to a substance or mixture.</w:t>
      </w:r>
    </w:p>
    <w:p w:rsidR="003A789F" w:rsidRPr="00C7409D" w:rsidRDefault="003A789F" w:rsidP="00D21378">
      <w:pPr>
        <w:pStyle w:val="SingleTxtG"/>
        <w:rPr>
          <w:sz w:val="24"/>
          <w:szCs w:val="24"/>
        </w:rPr>
      </w:pPr>
      <w:r w:rsidRPr="00D21378">
        <w:rPr>
          <w:i/>
          <w:iCs/>
        </w:rPr>
        <w:t>Skin irritation</w:t>
      </w:r>
      <w:r w:rsidRPr="00D21378">
        <w:t xml:space="preserve"> refers to the production of reversible damage to the skin occurring after exposure to a substance or mixture.</w:t>
      </w:r>
      <w:proofErr w:type="gramStart"/>
      <w:r w:rsidR="00D21378" w:rsidRPr="00D21378">
        <w:t>”</w:t>
      </w:r>
      <w:r w:rsidR="00D21378">
        <w:t>.</w:t>
      </w:r>
      <w:proofErr w:type="gramEnd"/>
    </w:p>
    <w:p w:rsidR="003A789F" w:rsidRPr="003E03B8" w:rsidRDefault="003E03B8" w:rsidP="003E03B8">
      <w:pPr>
        <w:pStyle w:val="H23G"/>
        <w:rPr>
          <w:lang w:val="en-US"/>
        </w:rPr>
      </w:pPr>
      <w:r>
        <w:rPr>
          <w:lang w:val="en-US"/>
        </w:rPr>
        <w:tab/>
      </w:r>
      <w:r>
        <w:rPr>
          <w:lang w:val="en-US"/>
        </w:rPr>
        <w:tab/>
      </w:r>
      <w:r w:rsidR="003A789F" w:rsidRPr="003E03B8">
        <w:rPr>
          <w:lang w:val="en-US"/>
        </w:rPr>
        <w:t>Chapter 3.3</w:t>
      </w:r>
    </w:p>
    <w:p w:rsidR="003A789F" w:rsidRDefault="003E03B8" w:rsidP="003E03B8">
      <w:pPr>
        <w:pStyle w:val="SingleTxtG"/>
      </w:pPr>
      <w:r>
        <w:t>3.3.1.1</w:t>
      </w:r>
      <w:r>
        <w:tab/>
      </w:r>
      <w:r>
        <w:tab/>
        <w:t>Amend</w:t>
      </w:r>
      <w:r w:rsidR="003A789F">
        <w:t xml:space="preserve"> </w:t>
      </w:r>
      <w:r>
        <w:t>to read as follows</w:t>
      </w:r>
      <w:r w:rsidR="003A789F">
        <w:t>:</w:t>
      </w:r>
    </w:p>
    <w:p w:rsidR="003A789F" w:rsidRDefault="003E03B8" w:rsidP="003E03B8">
      <w:pPr>
        <w:pStyle w:val="SingleTxtG"/>
      </w:pPr>
      <w:r>
        <w:rPr>
          <w:i/>
          <w:iCs/>
        </w:rPr>
        <w:t>“</w:t>
      </w:r>
      <w:r w:rsidR="003A789F">
        <w:rPr>
          <w:i/>
          <w:iCs/>
        </w:rPr>
        <w:t>Serious eye damage</w:t>
      </w:r>
      <w:r w:rsidR="003A789F">
        <w:t xml:space="preserve"> refers to the production of tissue damage in the eye, or serious physical decay of vision, which is not fully reversible, occurring after exposure of the eye, to a substance or mixture.</w:t>
      </w:r>
    </w:p>
    <w:p w:rsidR="003A789F" w:rsidRPr="00A70C7F" w:rsidRDefault="003A789F" w:rsidP="003E03B8">
      <w:pPr>
        <w:pStyle w:val="SingleTxtG"/>
        <w:rPr>
          <w:b/>
        </w:rPr>
      </w:pPr>
      <w:r>
        <w:rPr>
          <w:i/>
          <w:iCs/>
        </w:rPr>
        <w:t>Eye irritation</w:t>
      </w:r>
      <w:r>
        <w:t xml:space="preserve"> refers to the production of changes in the eye, which are fully reversible, occurring after exposure of the eye, to a substance or mixture.</w:t>
      </w:r>
      <w:proofErr w:type="gramStart"/>
      <w:r w:rsidR="003E03B8">
        <w:t>”</w:t>
      </w:r>
      <w:r w:rsidR="001F7029">
        <w:t>.</w:t>
      </w:r>
      <w:proofErr w:type="gramEnd"/>
    </w:p>
    <w:p w:rsidR="003A789F" w:rsidRPr="00943D42" w:rsidRDefault="00943D42" w:rsidP="004D33BB">
      <w:pPr>
        <w:pStyle w:val="H23G"/>
        <w:rPr>
          <w:lang w:val="en-US"/>
        </w:rPr>
      </w:pPr>
      <w:r>
        <w:rPr>
          <w:lang w:val="en-US"/>
        </w:rPr>
        <w:lastRenderedPageBreak/>
        <w:tab/>
      </w:r>
      <w:r>
        <w:rPr>
          <w:lang w:val="en-US"/>
        </w:rPr>
        <w:tab/>
      </w:r>
      <w:r w:rsidR="003A789F" w:rsidRPr="00943D42">
        <w:rPr>
          <w:lang w:val="en-US"/>
        </w:rPr>
        <w:t xml:space="preserve">Chapter 3.4 </w:t>
      </w:r>
    </w:p>
    <w:p w:rsidR="003A789F" w:rsidRPr="00943D42" w:rsidRDefault="00943D42" w:rsidP="004D33BB">
      <w:pPr>
        <w:pStyle w:val="SingleTxtG"/>
        <w:keepNext/>
        <w:keepLines/>
      </w:pPr>
      <w:r w:rsidRPr="00943D42">
        <w:t>3.4.1.1</w:t>
      </w:r>
      <w:r w:rsidRPr="00943D42">
        <w:tab/>
      </w:r>
      <w:r>
        <w:tab/>
      </w:r>
      <w:r w:rsidRPr="00943D42">
        <w:t>Amend to read as follows</w:t>
      </w:r>
      <w:r w:rsidR="003A789F" w:rsidRPr="00943D42">
        <w:t>:</w:t>
      </w:r>
    </w:p>
    <w:p w:rsidR="003A789F" w:rsidRDefault="00943D42" w:rsidP="004D33BB">
      <w:pPr>
        <w:pStyle w:val="SingleTxtG"/>
        <w:keepNext/>
        <w:keepLines/>
      </w:pPr>
      <w:r>
        <w:rPr>
          <w:i/>
        </w:rPr>
        <w:t>“</w:t>
      </w:r>
      <w:r w:rsidR="003A789F">
        <w:rPr>
          <w:i/>
        </w:rPr>
        <w:t>Respiratory sensitization</w:t>
      </w:r>
      <w:r w:rsidR="003A789F">
        <w:t xml:space="preserve"> refers </w:t>
      </w:r>
      <w:r w:rsidR="003A789F" w:rsidRPr="00E65F20">
        <w:t>to hypersensitivity</w:t>
      </w:r>
      <w:r w:rsidR="003A789F">
        <w:t xml:space="preserve"> of the airways after inhalation of a substance or a mixture.</w:t>
      </w:r>
    </w:p>
    <w:p w:rsidR="003A789F" w:rsidRDefault="003A789F" w:rsidP="00943D42">
      <w:pPr>
        <w:pStyle w:val="SingleTxtG"/>
      </w:pPr>
      <w:r>
        <w:rPr>
          <w:i/>
        </w:rPr>
        <w:t>Skin sensitization</w:t>
      </w:r>
      <w:r>
        <w:t xml:space="preserve"> refers to an allergic response after skin contact with a substance or a mixture.</w:t>
      </w:r>
      <w:proofErr w:type="gramStart"/>
      <w:r w:rsidR="00943D42">
        <w:t>”</w:t>
      </w:r>
      <w:r w:rsidR="00A73D52">
        <w:t>.</w:t>
      </w:r>
      <w:proofErr w:type="gramEnd"/>
    </w:p>
    <w:p w:rsidR="003A789F" w:rsidRPr="00943D42" w:rsidRDefault="00943D42" w:rsidP="00943D42">
      <w:pPr>
        <w:pStyle w:val="H23G"/>
        <w:rPr>
          <w:lang w:val="en-US"/>
        </w:rPr>
      </w:pPr>
      <w:r>
        <w:rPr>
          <w:lang w:val="en-US"/>
        </w:rPr>
        <w:tab/>
      </w:r>
      <w:r>
        <w:rPr>
          <w:lang w:val="en-US"/>
        </w:rPr>
        <w:tab/>
        <w:t>Chapter 3.5</w:t>
      </w:r>
    </w:p>
    <w:p w:rsidR="003A789F" w:rsidRPr="00DA3BF0" w:rsidRDefault="00943D42" w:rsidP="00943D42">
      <w:pPr>
        <w:pStyle w:val="SingleTxtG"/>
        <w:tabs>
          <w:tab w:val="left" w:pos="1985"/>
        </w:tabs>
      </w:pPr>
      <w:r>
        <w:t>3.5.1.1</w:t>
      </w:r>
      <w:r>
        <w:tab/>
      </w:r>
      <w:r w:rsidR="001F7029">
        <w:tab/>
      </w:r>
      <w:r w:rsidR="003A789F" w:rsidRPr="00DA3BF0">
        <w:t xml:space="preserve">Insert </w:t>
      </w:r>
      <w:r>
        <w:t xml:space="preserve">a </w:t>
      </w:r>
      <w:r w:rsidR="003A789F" w:rsidRPr="00DA3BF0">
        <w:t xml:space="preserve">new paragraph </w:t>
      </w:r>
      <w:r>
        <w:t xml:space="preserve">to read </w:t>
      </w:r>
      <w:r w:rsidR="003A789F" w:rsidRPr="00DA3BF0">
        <w:t>as follows:</w:t>
      </w:r>
    </w:p>
    <w:p w:rsidR="003A789F" w:rsidRPr="00DA3BF0" w:rsidRDefault="00943D42" w:rsidP="00BC1CAA">
      <w:pPr>
        <w:pStyle w:val="SingleTxtG"/>
      </w:pPr>
      <w:r>
        <w:t>“</w:t>
      </w:r>
      <w:r w:rsidR="003A789F" w:rsidRPr="00DA3BF0">
        <w:t xml:space="preserve">3.5.1.1 </w:t>
      </w:r>
      <w:r w:rsidR="003A789F" w:rsidRPr="00DA3BF0">
        <w:tab/>
      </w:r>
      <w:r w:rsidR="003A789F" w:rsidRPr="00DA3BF0">
        <w:rPr>
          <w:i/>
        </w:rPr>
        <w:t>Germ cell mutagenicity</w:t>
      </w:r>
      <w:r w:rsidR="003A789F" w:rsidRPr="00DA3BF0">
        <w:t xml:space="preserve"> refers to heritable gene mutations, including heritable structural and numerical chromosome aberrations in germ cells occurring after exposure to a substance or mixture.</w:t>
      </w:r>
      <w:proofErr w:type="gramStart"/>
      <w:r>
        <w:t>”</w:t>
      </w:r>
      <w:r w:rsidR="00A73D52">
        <w:t>.</w:t>
      </w:r>
      <w:proofErr w:type="gramEnd"/>
    </w:p>
    <w:p w:rsidR="003A789F" w:rsidRPr="00DA3BF0" w:rsidRDefault="00EA0C4F" w:rsidP="00943D42">
      <w:pPr>
        <w:pStyle w:val="SingleTxtG"/>
      </w:pPr>
      <w:r>
        <w:t>C</w:t>
      </w:r>
      <w:r w:rsidR="003A789F" w:rsidRPr="00DA3BF0">
        <w:t xml:space="preserve">urrent paragraphs 3.5.1.1 </w:t>
      </w:r>
      <w:r>
        <w:t>to</w:t>
      </w:r>
      <w:r w:rsidR="003A789F" w:rsidRPr="00DA3BF0">
        <w:t xml:space="preserve"> 3.5.1.4 </w:t>
      </w:r>
      <w:r>
        <w:t>become new paragraphs</w:t>
      </w:r>
      <w:r w:rsidR="003A789F" w:rsidRPr="00DA3BF0">
        <w:t xml:space="preserve"> 3.5.1.2 </w:t>
      </w:r>
      <w:r>
        <w:t>to</w:t>
      </w:r>
      <w:r w:rsidR="003A789F" w:rsidRPr="00DA3BF0">
        <w:t xml:space="preserve"> 3.5.1.5.</w:t>
      </w:r>
    </w:p>
    <w:p w:rsidR="003A789F" w:rsidRPr="00EA0C4F" w:rsidRDefault="00EA0C4F" w:rsidP="00EA0C4F">
      <w:pPr>
        <w:pStyle w:val="H23G"/>
        <w:rPr>
          <w:lang w:val="en-US"/>
        </w:rPr>
      </w:pPr>
      <w:bookmarkStart w:id="2" w:name="_Toc11573781"/>
      <w:r>
        <w:rPr>
          <w:lang w:val="en-US"/>
        </w:rPr>
        <w:tab/>
      </w:r>
      <w:r>
        <w:rPr>
          <w:lang w:val="en-US"/>
        </w:rPr>
        <w:tab/>
      </w:r>
      <w:r w:rsidR="003A789F" w:rsidRPr="00EA0C4F">
        <w:rPr>
          <w:lang w:val="en-US"/>
        </w:rPr>
        <w:t>Chapter 3.6</w:t>
      </w:r>
      <w:bookmarkEnd w:id="2"/>
    </w:p>
    <w:p w:rsidR="003A789F" w:rsidRDefault="00EA0C4F" w:rsidP="00EA0C4F">
      <w:pPr>
        <w:pStyle w:val="SingleTxtG"/>
        <w:tabs>
          <w:tab w:val="left" w:pos="1985"/>
        </w:tabs>
      </w:pPr>
      <w:r>
        <w:t>3.6.1</w:t>
      </w:r>
      <w:r>
        <w:tab/>
        <w:t xml:space="preserve">Amend the </w:t>
      </w:r>
      <w:r w:rsidR="003A789F" w:rsidRPr="00DA3BF0">
        <w:t xml:space="preserve">first sentence </w:t>
      </w:r>
      <w:r>
        <w:t>to read as follows</w:t>
      </w:r>
      <w:r w:rsidR="003A789F" w:rsidRPr="00DA3BF0">
        <w:t xml:space="preserve">: </w:t>
      </w:r>
    </w:p>
    <w:p w:rsidR="003A789F" w:rsidRPr="00AE5B4F" w:rsidRDefault="00EA0C4F" w:rsidP="00EA0C4F">
      <w:pPr>
        <w:pStyle w:val="SingleTxtG"/>
      </w:pPr>
      <w:r>
        <w:rPr>
          <w:i/>
        </w:rPr>
        <w:t>“</w:t>
      </w:r>
      <w:r w:rsidR="003A789F" w:rsidRPr="00AE5B4F">
        <w:rPr>
          <w:i/>
        </w:rPr>
        <w:t>Carcinogenicity</w:t>
      </w:r>
      <w:r w:rsidR="003A789F" w:rsidRPr="00AE5B4F">
        <w:t xml:space="preserve"> refers to the</w:t>
      </w:r>
      <w:r w:rsidR="003A789F" w:rsidRPr="00AE5B4F">
        <w:rPr>
          <w:color w:val="1F497D"/>
        </w:rPr>
        <w:t xml:space="preserve"> </w:t>
      </w:r>
      <w:r w:rsidR="003A789F" w:rsidRPr="00AE5B4F">
        <w:t>induction of cancer or an increase in the incidence of cancer after expo</w:t>
      </w:r>
      <w:bookmarkStart w:id="3" w:name="_Toc11573801"/>
      <w:r>
        <w:t>sure to a substance or mixture.</w:t>
      </w:r>
      <w:proofErr w:type="gramStart"/>
      <w:r>
        <w:t>”</w:t>
      </w:r>
      <w:r w:rsidR="00A73D52">
        <w:t>.</w:t>
      </w:r>
      <w:proofErr w:type="gramEnd"/>
    </w:p>
    <w:p w:rsidR="003A789F" w:rsidRPr="00EA0C4F" w:rsidRDefault="00EA0C4F" w:rsidP="00EA0C4F">
      <w:pPr>
        <w:pStyle w:val="H23G"/>
        <w:rPr>
          <w:lang w:val="en-US"/>
        </w:rPr>
      </w:pPr>
      <w:r>
        <w:rPr>
          <w:lang w:val="en-US"/>
        </w:rPr>
        <w:tab/>
      </w:r>
      <w:r>
        <w:rPr>
          <w:lang w:val="en-US"/>
        </w:rPr>
        <w:tab/>
      </w:r>
      <w:r w:rsidR="003A789F" w:rsidRPr="00EA0C4F">
        <w:rPr>
          <w:lang w:val="en-US"/>
        </w:rPr>
        <w:t>Chapter 3.7</w:t>
      </w:r>
    </w:p>
    <w:bookmarkEnd w:id="3"/>
    <w:p w:rsidR="00A73D52" w:rsidRDefault="00EA0C4F" w:rsidP="00BC51BF">
      <w:pPr>
        <w:pStyle w:val="SingleTxtG"/>
        <w:tabs>
          <w:tab w:val="left" w:pos="1985"/>
        </w:tabs>
        <w:ind w:left="1985" w:hanging="851"/>
      </w:pPr>
      <w:r>
        <w:t>3.7.1.1</w:t>
      </w:r>
      <w:r>
        <w:tab/>
      </w:r>
      <w:r w:rsidR="003A789F" w:rsidRPr="00EA0C4F">
        <w:t xml:space="preserve">Amend </w:t>
      </w:r>
      <w:r w:rsidR="00B26BEC">
        <w:t xml:space="preserve">the first sentence </w:t>
      </w:r>
      <w:r w:rsidR="003A789F" w:rsidRPr="00EA0C4F">
        <w:t>as follows</w:t>
      </w:r>
      <w:r w:rsidR="005E4A60">
        <w:t xml:space="preserve"> </w:t>
      </w:r>
      <w:r w:rsidR="005E4A60" w:rsidRPr="002074DD">
        <w:rPr>
          <w:i/>
        </w:rPr>
        <w:t>(new text is underlined</w:t>
      </w:r>
      <w:r w:rsidR="005E4A60">
        <w:rPr>
          <w:i/>
        </w:rPr>
        <w:t xml:space="preserve">, deleted text is </w:t>
      </w:r>
      <w:r w:rsidR="005E4A60">
        <w:rPr>
          <w:i/>
        </w:rPr>
        <w:br/>
        <w:t>str</w:t>
      </w:r>
      <w:r w:rsidR="00D1364C">
        <w:rPr>
          <w:i/>
        </w:rPr>
        <w:t>uck through</w:t>
      </w:r>
      <w:r w:rsidR="005E4A60" w:rsidRPr="002074DD">
        <w:rPr>
          <w:i/>
        </w:rPr>
        <w:t>)</w:t>
      </w:r>
      <w:r w:rsidR="003A789F" w:rsidRPr="00EA0C4F">
        <w:t>:</w:t>
      </w:r>
      <w:r w:rsidR="00BC51BF">
        <w:t xml:space="preserve"> </w:t>
      </w:r>
    </w:p>
    <w:p w:rsidR="00B26BEC" w:rsidRDefault="00A73D52" w:rsidP="00BC51BF">
      <w:pPr>
        <w:pStyle w:val="SingleTxtG"/>
        <w:tabs>
          <w:tab w:val="left" w:pos="1985"/>
        </w:tabs>
        <w:ind w:left="1985" w:hanging="851"/>
      </w:pPr>
      <w:r>
        <w:tab/>
      </w:r>
      <w:r w:rsidR="00EA0C4F">
        <w:rPr>
          <w:i/>
          <w:iCs/>
        </w:rPr>
        <w:t>“</w:t>
      </w:r>
      <w:r w:rsidR="003A789F" w:rsidRPr="002D6CA9">
        <w:rPr>
          <w:i/>
          <w:iCs/>
        </w:rPr>
        <w:t>Reproductive toxicity</w:t>
      </w:r>
      <w:r w:rsidR="003A789F" w:rsidRPr="002D6CA9">
        <w:t xml:space="preserve"> </w:t>
      </w:r>
      <w:r w:rsidR="003A789F" w:rsidRPr="002D6CA9">
        <w:rPr>
          <w:strike/>
        </w:rPr>
        <w:t>includes</w:t>
      </w:r>
      <w:r w:rsidR="003A789F" w:rsidRPr="002D6CA9">
        <w:t xml:space="preserve"> refers to adverse effects on sexual function and fertility in adult males and females, as well as developmental toxicity in the offspring</w:t>
      </w:r>
      <w:r w:rsidR="003A789F">
        <w:t>,</w:t>
      </w:r>
      <w:r w:rsidR="003A789F" w:rsidRPr="002D6CA9">
        <w:t xml:space="preserve"> </w:t>
      </w:r>
      <w:r w:rsidR="003A789F" w:rsidRPr="002D6CA9">
        <w:rPr>
          <w:u w:val="single"/>
        </w:rPr>
        <w:t>occurring after exposure to a substance or mixture</w:t>
      </w:r>
      <w:r w:rsidR="003A789F" w:rsidRPr="002D6CA9">
        <w:t>.</w:t>
      </w:r>
      <w:r w:rsidR="00B26BEC">
        <w:t>”</w:t>
      </w:r>
    </w:p>
    <w:p w:rsidR="003A789F" w:rsidRPr="002D6CA9" w:rsidRDefault="00B26BEC" w:rsidP="007E45FA">
      <w:pPr>
        <w:pStyle w:val="SingleTxtG"/>
        <w:ind w:left="1985"/>
      </w:pPr>
      <w:r>
        <w:t>In the last paragraph</w:t>
      </w:r>
      <w:r w:rsidR="007E45FA">
        <w:t>, replace “Nonetheless, chemicals with these effects” with “Nonetheless, substances and mixtures with these effects”.</w:t>
      </w:r>
      <w:r w:rsidR="003A789F" w:rsidRPr="002D6CA9">
        <w:rPr>
          <w:b/>
        </w:rPr>
        <w:t xml:space="preserve"> </w:t>
      </w:r>
    </w:p>
    <w:p w:rsidR="003A789F" w:rsidRPr="00EA0C4F" w:rsidRDefault="00EA0C4F" w:rsidP="00EA0C4F">
      <w:pPr>
        <w:pStyle w:val="H23G"/>
        <w:rPr>
          <w:lang w:val="en-US"/>
        </w:rPr>
      </w:pPr>
      <w:r>
        <w:rPr>
          <w:lang w:val="en-US"/>
        </w:rPr>
        <w:tab/>
      </w:r>
      <w:r>
        <w:rPr>
          <w:lang w:val="en-US"/>
        </w:rPr>
        <w:tab/>
        <w:t>Chapter 3.8</w:t>
      </w:r>
    </w:p>
    <w:p w:rsidR="003A789F" w:rsidRPr="00484BE2" w:rsidRDefault="00EA0C4F" w:rsidP="00EA0C4F">
      <w:pPr>
        <w:pStyle w:val="SingleTxtG"/>
        <w:rPr>
          <w:snapToGrid w:val="0"/>
        </w:rPr>
      </w:pPr>
      <w:r>
        <w:rPr>
          <w:snapToGrid w:val="0"/>
        </w:rPr>
        <w:t>3.8.1.1</w:t>
      </w:r>
      <w:r>
        <w:rPr>
          <w:snapToGrid w:val="0"/>
        </w:rPr>
        <w:tab/>
      </w:r>
      <w:r>
        <w:rPr>
          <w:snapToGrid w:val="0"/>
        </w:rPr>
        <w:tab/>
      </w:r>
      <w:r w:rsidR="003077F4">
        <w:rPr>
          <w:snapToGrid w:val="0"/>
        </w:rPr>
        <w:t>Amend to read as follows</w:t>
      </w:r>
      <w:r w:rsidR="003A789F" w:rsidRPr="00484BE2">
        <w:rPr>
          <w:snapToGrid w:val="0"/>
        </w:rPr>
        <w:t>:</w:t>
      </w:r>
    </w:p>
    <w:p w:rsidR="003A789F" w:rsidRPr="005D6D71" w:rsidRDefault="003077F4" w:rsidP="003077F4">
      <w:pPr>
        <w:pStyle w:val="SingleTxtG"/>
      </w:pPr>
      <w:r>
        <w:rPr>
          <w:i/>
          <w:snapToGrid w:val="0"/>
        </w:rPr>
        <w:t>“</w:t>
      </w:r>
      <w:r w:rsidR="003A789F" w:rsidRPr="00C7328C">
        <w:rPr>
          <w:i/>
          <w:snapToGrid w:val="0"/>
        </w:rPr>
        <w:t xml:space="preserve">Specific target organ toxicity – single exposure </w:t>
      </w:r>
      <w:r w:rsidR="003A789F" w:rsidRPr="005D6D71">
        <w:rPr>
          <w:snapToGrid w:val="0"/>
        </w:rPr>
        <w:t xml:space="preserve">refers to specific, non-lethal toxic effects on target organs that arise from a single exposure to a substance or mixture.  All significant health effects that can impair function, both reversible and irreversible, immediate and/or delayed </w:t>
      </w:r>
      <w:r w:rsidR="003A789F" w:rsidRPr="005D6D71">
        <w:t xml:space="preserve">and not specifically addressed in chapters 3.1 to 3.7 and 3.10 </w:t>
      </w:r>
      <w:r w:rsidR="003A789F" w:rsidRPr="005D6D71">
        <w:rPr>
          <w:snapToGrid w:val="0"/>
        </w:rPr>
        <w:t>are included</w:t>
      </w:r>
      <w:r w:rsidR="003A789F" w:rsidRPr="005D6D71">
        <w:t xml:space="preserve"> (see also para. 3.8.1.6).</w:t>
      </w:r>
      <w:r>
        <w:t>”</w:t>
      </w:r>
      <w:r w:rsidR="00A73D52">
        <w:t>.</w:t>
      </w:r>
    </w:p>
    <w:p w:rsidR="003A789F" w:rsidRPr="003077F4" w:rsidRDefault="003077F4" w:rsidP="003077F4">
      <w:pPr>
        <w:pStyle w:val="H23G"/>
        <w:rPr>
          <w:lang w:val="en-US"/>
        </w:rPr>
      </w:pPr>
      <w:bookmarkStart w:id="4" w:name="_Toc11573817"/>
      <w:r>
        <w:rPr>
          <w:lang w:val="en-US"/>
        </w:rPr>
        <w:tab/>
      </w:r>
      <w:r>
        <w:rPr>
          <w:lang w:val="en-US"/>
        </w:rPr>
        <w:tab/>
      </w:r>
      <w:r w:rsidR="003A789F" w:rsidRPr="003077F4">
        <w:rPr>
          <w:lang w:val="en-US"/>
        </w:rPr>
        <w:t xml:space="preserve">Chapter 3.9 </w:t>
      </w:r>
      <w:bookmarkEnd w:id="4"/>
    </w:p>
    <w:p w:rsidR="003A789F" w:rsidRPr="005D6D71" w:rsidRDefault="003077F4" w:rsidP="003077F4">
      <w:pPr>
        <w:pStyle w:val="SingleTxtG"/>
      </w:pPr>
      <w:r>
        <w:t>3.9.1.1</w:t>
      </w:r>
      <w:r>
        <w:tab/>
      </w:r>
      <w:r>
        <w:tab/>
        <w:t>Amend to read as follows:</w:t>
      </w:r>
    </w:p>
    <w:p w:rsidR="003A789F" w:rsidRPr="005D6D71" w:rsidRDefault="003077F4" w:rsidP="003077F4">
      <w:pPr>
        <w:pStyle w:val="SingleTxtG"/>
        <w:rPr>
          <w:snapToGrid w:val="0"/>
        </w:rPr>
      </w:pPr>
      <w:r>
        <w:rPr>
          <w:i/>
          <w:snapToGrid w:val="0"/>
        </w:rPr>
        <w:t>“</w:t>
      </w:r>
      <w:r w:rsidR="003A789F" w:rsidRPr="00C7328C">
        <w:rPr>
          <w:i/>
          <w:snapToGrid w:val="0"/>
        </w:rPr>
        <w:t xml:space="preserve">Specific target organ toxicity – repeated exposure </w:t>
      </w:r>
      <w:r w:rsidR="003A789F" w:rsidRPr="005D6D71">
        <w:rPr>
          <w:snapToGrid w:val="0"/>
        </w:rPr>
        <w:t xml:space="preserve">refers to specific toxic effects on target organs that arise from </w:t>
      </w:r>
      <w:r w:rsidR="003A789F">
        <w:rPr>
          <w:snapToGrid w:val="0"/>
        </w:rPr>
        <w:t>repeated</w:t>
      </w:r>
      <w:r w:rsidR="003A789F" w:rsidRPr="005D6D71">
        <w:rPr>
          <w:snapToGrid w:val="0"/>
        </w:rPr>
        <w:t xml:space="preserve"> exposure to a substance or mixture.  </w:t>
      </w:r>
      <w:r w:rsidR="003A789F" w:rsidRPr="005D6D71">
        <w:t xml:space="preserve">All significant health effects that can impair function, </w:t>
      </w:r>
      <w:r w:rsidR="003A789F">
        <w:t xml:space="preserve">both </w:t>
      </w:r>
      <w:r w:rsidR="003A789F" w:rsidRPr="005D6D71">
        <w:t>reversible and irreversible, immediate and/or delayed are included.</w:t>
      </w:r>
      <w:proofErr w:type="gramStart"/>
      <w:r>
        <w:t>”</w:t>
      </w:r>
      <w:r w:rsidR="00A73D52">
        <w:t>.</w:t>
      </w:r>
      <w:proofErr w:type="gramEnd"/>
    </w:p>
    <w:p w:rsidR="003A789F" w:rsidRDefault="003077F4" w:rsidP="007E45FA">
      <w:pPr>
        <w:pStyle w:val="H23G"/>
        <w:rPr>
          <w:lang w:val="en-US"/>
        </w:rPr>
      </w:pPr>
      <w:r>
        <w:rPr>
          <w:lang w:val="en-US"/>
        </w:rPr>
        <w:lastRenderedPageBreak/>
        <w:tab/>
      </w:r>
      <w:r>
        <w:rPr>
          <w:lang w:val="en-US"/>
        </w:rPr>
        <w:tab/>
      </w:r>
      <w:r w:rsidR="003A789F" w:rsidRPr="003077F4">
        <w:rPr>
          <w:lang w:val="en-US"/>
        </w:rPr>
        <w:t xml:space="preserve">Chapter 3.10 </w:t>
      </w:r>
    </w:p>
    <w:p w:rsidR="002F55C8" w:rsidRPr="002F55C8" w:rsidRDefault="002F55C8" w:rsidP="00BC1CAA">
      <w:pPr>
        <w:pStyle w:val="SingleTxtG"/>
        <w:keepNext/>
        <w:keepLines/>
        <w:tabs>
          <w:tab w:val="left" w:pos="2268"/>
        </w:tabs>
        <w:spacing w:after="80"/>
      </w:pPr>
      <w:r w:rsidRPr="002F55C8">
        <w:t>3.10.1</w:t>
      </w:r>
      <w:r w:rsidRPr="002F55C8">
        <w:tab/>
        <w:t>Amend the title to read: “</w:t>
      </w:r>
      <w:r w:rsidRPr="002F55C8">
        <w:rPr>
          <w:b/>
        </w:rPr>
        <w:t>Definitions and general considerations</w:t>
      </w:r>
      <w:r w:rsidRPr="002F55C8">
        <w:t>”</w:t>
      </w:r>
    </w:p>
    <w:p w:rsidR="003A789F" w:rsidRDefault="002F55C8" w:rsidP="00BC1CAA">
      <w:pPr>
        <w:pStyle w:val="SingleTxtG"/>
        <w:keepNext/>
        <w:keepLines/>
        <w:tabs>
          <w:tab w:val="left" w:pos="2268"/>
        </w:tabs>
        <w:spacing w:after="80"/>
      </w:pPr>
      <w:r>
        <w:t>3.10.1.1</w:t>
      </w:r>
      <w:r>
        <w:tab/>
      </w:r>
      <w:r w:rsidRPr="002F55C8">
        <w:tab/>
      </w:r>
      <w:r>
        <w:t>Delete.</w:t>
      </w:r>
    </w:p>
    <w:p w:rsidR="002F55C8" w:rsidRDefault="002F55C8" w:rsidP="00BC1CAA">
      <w:pPr>
        <w:pStyle w:val="SingleTxtG"/>
        <w:tabs>
          <w:tab w:val="left" w:pos="2268"/>
        </w:tabs>
        <w:spacing w:after="80"/>
      </w:pPr>
      <w:r>
        <w:t>3.10.1.2</w:t>
      </w:r>
      <w:r>
        <w:tab/>
        <w:t>Renumber as 3.10.1.1</w:t>
      </w:r>
      <w:r w:rsidR="00845BBE">
        <w:t>.</w:t>
      </w:r>
    </w:p>
    <w:p w:rsidR="002F55C8" w:rsidRDefault="002F55C8" w:rsidP="00BC1CAA">
      <w:pPr>
        <w:pStyle w:val="SingleTxtG"/>
        <w:keepNext/>
        <w:keepLines/>
        <w:tabs>
          <w:tab w:val="left" w:pos="2268"/>
        </w:tabs>
        <w:spacing w:after="80"/>
      </w:pPr>
      <w:r>
        <w:t>3.10.1.3</w:t>
      </w:r>
      <w:r>
        <w:tab/>
        <w:t>Renumber as 3.10.1.2 and amend to read:</w:t>
      </w:r>
    </w:p>
    <w:p w:rsidR="003A789F" w:rsidRDefault="002F55C8" w:rsidP="00BC1CAA">
      <w:pPr>
        <w:pStyle w:val="SingleTxtG"/>
        <w:spacing w:after="80"/>
        <w:ind w:left="2268"/>
      </w:pPr>
      <w:r w:rsidRPr="002F55C8">
        <w:tab/>
        <w:t>“</w:t>
      </w:r>
      <w:r w:rsidR="003A789F" w:rsidRPr="002F55C8">
        <w:rPr>
          <w:i/>
        </w:rPr>
        <w:t>Aspiration hazard</w:t>
      </w:r>
      <w:r w:rsidR="003A789F" w:rsidRPr="002F55C8">
        <w:t xml:space="preserve"> refers to severe acute effects such as chemical pneumonia, pulmonary injury or death after aspiration of a substance or mixture.</w:t>
      </w:r>
      <w:r w:rsidR="0018242C">
        <w:t>”</w:t>
      </w:r>
    </w:p>
    <w:p w:rsidR="002F55C8" w:rsidRPr="002F55C8" w:rsidRDefault="002F55C8" w:rsidP="002F55C8">
      <w:pPr>
        <w:pStyle w:val="SingleTxtG"/>
        <w:tabs>
          <w:tab w:val="left" w:pos="2268"/>
          <w:tab w:val="left" w:pos="3402"/>
        </w:tabs>
      </w:pPr>
      <w:r>
        <w:t xml:space="preserve">3.10.1.4 </w:t>
      </w:r>
      <w:proofErr w:type="gramStart"/>
      <w:r>
        <w:t>and</w:t>
      </w:r>
      <w:proofErr w:type="gramEnd"/>
      <w:r>
        <w:t xml:space="preserve"> 3.10.1.5</w:t>
      </w:r>
      <w:r>
        <w:tab/>
        <w:t>Renumber as 3.10.1.3 and 3.10.1.4</w:t>
      </w:r>
      <w:r w:rsidR="00542669">
        <w:t>.</w:t>
      </w:r>
    </w:p>
    <w:p w:rsidR="003A789F" w:rsidRPr="002A2C6F" w:rsidRDefault="0018242C" w:rsidP="00864C42">
      <w:pPr>
        <w:pStyle w:val="H1G"/>
        <w:jc w:val="both"/>
      </w:pPr>
      <w:r>
        <w:tab/>
        <w:t>Item (d):</w:t>
      </w:r>
      <w:r w:rsidR="002A2C6F">
        <w:t xml:space="preserve"> </w:t>
      </w:r>
      <w:r w:rsidR="002A2C6F">
        <w:tab/>
        <w:t>P</w:t>
      </w:r>
      <w:r w:rsidR="003A789F" w:rsidRPr="00A9475B">
        <w:t>ropose an editorial revision to the</w:t>
      </w:r>
      <w:r w:rsidR="00B52A63">
        <w:t xml:space="preserve"> last sentence in GHS paragraph </w:t>
      </w:r>
      <w:r w:rsidR="003A789F" w:rsidRPr="00A9475B">
        <w:t>3.1.2.3, which provides guidance on the use of data when evaluating acute toxicity “in several animal species”.  Currently, reference to effect in humans is only contained in a footnote (g) to Table 3.1.1 and with many competent authorities not selecting Category 5 the human reference has been lost in implementing regulations.  The goal of the proposed editorial revision is to make clear that both data from animal tests and human epidemiologic</w:t>
      </w:r>
      <w:r w:rsidR="002A2C6F">
        <w:t>al studies should be considered</w:t>
      </w:r>
    </w:p>
    <w:p w:rsidR="00A9475B" w:rsidRDefault="00A9475B" w:rsidP="00A9475B">
      <w:pPr>
        <w:pStyle w:val="H23G"/>
        <w:rPr>
          <w:lang w:val="en-US"/>
        </w:rPr>
      </w:pPr>
      <w:r>
        <w:rPr>
          <w:lang w:val="en-US"/>
        </w:rPr>
        <w:tab/>
      </w:r>
      <w:r>
        <w:rPr>
          <w:lang w:val="en-US"/>
        </w:rPr>
        <w:tab/>
      </w:r>
      <w:r w:rsidRPr="003077F4">
        <w:rPr>
          <w:lang w:val="en-US"/>
        </w:rPr>
        <w:t xml:space="preserve">Chapter 3.1 </w:t>
      </w:r>
    </w:p>
    <w:p w:rsidR="001F7029" w:rsidRDefault="00A9475B" w:rsidP="00A9475B">
      <w:pPr>
        <w:pStyle w:val="SingleTxtG"/>
      </w:pPr>
      <w:r w:rsidRPr="00A9475B">
        <w:t>3.1.2.3</w:t>
      </w:r>
      <w:r w:rsidRPr="00A9475B">
        <w:tab/>
      </w:r>
      <w:r w:rsidRPr="00A9475B">
        <w:tab/>
      </w:r>
      <w:r w:rsidR="006C6FD8">
        <w:t>Add</w:t>
      </w:r>
      <w:r w:rsidR="001F7029">
        <w:t xml:space="preserve"> the following new sentence at the end of the </w:t>
      </w:r>
      <w:r w:rsidR="006C6FD8">
        <w:t>paragraph</w:t>
      </w:r>
      <w:r w:rsidR="001F7029">
        <w:t xml:space="preserve">: </w:t>
      </w:r>
    </w:p>
    <w:p w:rsidR="003A789F" w:rsidRPr="006C6FD8" w:rsidRDefault="006C6FD8" w:rsidP="006C6FD8">
      <w:pPr>
        <w:pStyle w:val="SingleTxtG"/>
        <w:ind w:left="2268"/>
      </w:pPr>
      <w:r w:rsidRPr="006C6FD8">
        <w:t>“</w:t>
      </w:r>
      <w:r w:rsidR="003A789F" w:rsidRPr="006C6FD8">
        <w:t>In cases where data from human experience (i.e., occupational data, data from accident databases, epidemiology studies) is also available, it should be considered in a weight of evidence approach consistent with the principles described in section 1.3.2.4.9</w:t>
      </w:r>
      <w:proofErr w:type="gramStart"/>
      <w:r w:rsidR="003A789F" w:rsidRPr="006C6FD8">
        <w:t>. </w:t>
      </w:r>
      <w:r w:rsidR="00A9475B" w:rsidRPr="006C6FD8">
        <w:t>”</w:t>
      </w:r>
      <w:proofErr w:type="gramEnd"/>
      <w:r w:rsidR="00A9475B" w:rsidRPr="006C6FD8">
        <w:t>.</w:t>
      </w:r>
    </w:p>
    <w:p w:rsidR="003A789F" w:rsidRPr="002A2C6F" w:rsidRDefault="00A9475B" w:rsidP="00864C42">
      <w:pPr>
        <w:pStyle w:val="H1G"/>
        <w:jc w:val="both"/>
      </w:pPr>
      <w:r w:rsidRPr="002A2C6F">
        <w:tab/>
      </w:r>
      <w:r w:rsidR="003A789F" w:rsidRPr="002A2C6F">
        <w:t>Item (g):</w:t>
      </w:r>
      <w:r w:rsidR="002A2C6F" w:rsidRPr="002A2C6F">
        <w:tab/>
      </w:r>
      <w:r w:rsidR="003A789F" w:rsidRPr="002A2C6F">
        <w:t>Propose updating Table 3.1.1 to express acute toxicity values as a range. For example, acute toxicity values for acute oral toxicity Category 3 would be expressed as &gt;</w:t>
      </w:r>
      <w:r w:rsidR="002A2C6F">
        <w:t xml:space="preserve"> 50 and ≤ 300 or 50 &lt; ATE ≤ 300</w:t>
      </w:r>
    </w:p>
    <w:p w:rsidR="003A789F" w:rsidRPr="00A9475B" w:rsidRDefault="00A9475B" w:rsidP="00A9475B">
      <w:pPr>
        <w:pStyle w:val="H23G"/>
        <w:rPr>
          <w:lang w:val="en-US"/>
        </w:rPr>
      </w:pPr>
      <w:r>
        <w:rPr>
          <w:lang w:val="en-US"/>
        </w:rPr>
        <w:tab/>
      </w:r>
      <w:r>
        <w:rPr>
          <w:lang w:val="en-US"/>
        </w:rPr>
        <w:tab/>
      </w:r>
      <w:r w:rsidRPr="00A9475B">
        <w:rPr>
          <w:lang w:val="en-US"/>
        </w:rPr>
        <w:t>Chapter 3.1</w:t>
      </w:r>
    </w:p>
    <w:p w:rsidR="003A789F" w:rsidRPr="00A9475B" w:rsidRDefault="00A9475B" w:rsidP="00A9475B">
      <w:pPr>
        <w:pStyle w:val="SingleTxtG"/>
        <w:tabs>
          <w:tab w:val="left" w:pos="2268"/>
        </w:tabs>
      </w:pPr>
      <w:r w:rsidRPr="00A9475B">
        <w:t>3.1.2</w:t>
      </w:r>
      <w:r w:rsidRPr="00A9475B">
        <w:tab/>
      </w:r>
      <w:r>
        <w:t xml:space="preserve">Amend </w:t>
      </w:r>
      <w:r w:rsidR="003A789F" w:rsidRPr="00A9475B">
        <w:t xml:space="preserve">Table 3.1.1 </w:t>
      </w:r>
      <w:r>
        <w:t>to read</w:t>
      </w:r>
      <w:r w:rsidR="003A789F" w:rsidRPr="00A9475B">
        <w:t>:</w:t>
      </w:r>
    </w:p>
    <w:p w:rsidR="003A789F" w:rsidRPr="00A9475B" w:rsidRDefault="003A789F" w:rsidP="00A9475B">
      <w:pPr>
        <w:pStyle w:val="SingleTxtG"/>
        <w:jc w:val="center"/>
        <w:rPr>
          <w:b/>
        </w:rPr>
      </w:pPr>
      <w:r w:rsidRPr="00A9475B">
        <w:rPr>
          <w:b/>
        </w:rPr>
        <w:t>Table 3.1.1:  Acute toxicity estimate (ATE) values and criteria for acute toxicity hazard categories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417"/>
        <w:gridCol w:w="1560"/>
        <w:gridCol w:w="1576"/>
        <w:gridCol w:w="1400"/>
      </w:tblGrid>
      <w:tr w:rsidR="003A789F" w:rsidRPr="004A35B3" w:rsidTr="004D33BB">
        <w:trPr>
          <w:trHeight w:val="220"/>
          <w:jc w:val="center"/>
        </w:trPr>
        <w:tc>
          <w:tcPr>
            <w:tcW w:w="2410" w:type="dxa"/>
            <w:vAlign w:val="center"/>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b/>
                <w:bCs/>
                <w:sz w:val="16"/>
                <w:szCs w:val="16"/>
              </w:rPr>
            </w:pPr>
            <w:r w:rsidRPr="004A35B3">
              <w:rPr>
                <w:b/>
                <w:bCs/>
                <w:sz w:val="16"/>
                <w:szCs w:val="16"/>
              </w:rPr>
              <w:t>Exposure route</w:t>
            </w:r>
          </w:p>
        </w:tc>
        <w:tc>
          <w:tcPr>
            <w:tcW w:w="1276" w:type="dxa"/>
            <w:vAlign w:val="center"/>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40" w:right="-69"/>
              <w:jc w:val="center"/>
              <w:rPr>
                <w:b/>
                <w:bCs/>
                <w:sz w:val="16"/>
                <w:szCs w:val="16"/>
              </w:rPr>
            </w:pPr>
            <w:r w:rsidRPr="004A35B3">
              <w:rPr>
                <w:b/>
                <w:bCs/>
                <w:sz w:val="16"/>
                <w:szCs w:val="16"/>
              </w:rPr>
              <w:t>Category 1</w:t>
            </w:r>
          </w:p>
        </w:tc>
        <w:tc>
          <w:tcPr>
            <w:tcW w:w="1417" w:type="dxa"/>
            <w:vAlign w:val="center"/>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40" w:right="-69"/>
              <w:jc w:val="center"/>
              <w:rPr>
                <w:b/>
                <w:bCs/>
                <w:sz w:val="16"/>
                <w:szCs w:val="16"/>
              </w:rPr>
            </w:pPr>
            <w:r w:rsidRPr="004A35B3">
              <w:rPr>
                <w:b/>
                <w:bCs/>
                <w:sz w:val="16"/>
                <w:szCs w:val="16"/>
              </w:rPr>
              <w:t>Category 2</w:t>
            </w:r>
          </w:p>
        </w:tc>
        <w:tc>
          <w:tcPr>
            <w:tcW w:w="1560" w:type="dxa"/>
            <w:vAlign w:val="center"/>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40" w:right="-69"/>
              <w:jc w:val="center"/>
              <w:rPr>
                <w:b/>
                <w:bCs/>
                <w:sz w:val="16"/>
                <w:szCs w:val="16"/>
              </w:rPr>
            </w:pPr>
            <w:r w:rsidRPr="004A35B3">
              <w:rPr>
                <w:b/>
                <w:bCs/>
                <w:sz w:val="16"/>
                <w:szCs w:val="16"/>
              </w:rPr>
              <w:t>Category 3</w:t>
            </w:r>
          </w:p>
        </w:tc>
        <w:tc>
          <w:tcPr>
            <w:tcW w:w="1576" w:type="dxa"/>
            <w:vAlign w:val="center"/>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40" w:right="-69"/>
              <w:jc w:val="center"/>
              <w:rPr>
                <w:b/>
                <w:bCs/>
                <w:sz w:val="16"/>
                <w:szCs w:val="16"/>
              </w:rPr>
            </w:pPr>
            <w:r w:rsidRPr="004A35B3">
              <w:rPr>
                <w:b/>
                <w:bCs/>
                <w:sz w:val="16"/>
                <w:szCs w:val="16"/>
              </w:rPr>
              <w:t>Category 4</w:t>
            </w:r>
          </w:p>
        </w:tc>
        <w:tc>
          <w:tcPr>
            <w:tcW w:w="1400" w:type="dxa"/>
            <w:vAlign w:val="center"/>
          </w:tcPr>
          <w:p w:rsidR="003A789F" w:rsidRPr="004A35B3" w:rsidRDefault="003A789F" w:rsidP="004D33BB">
            <w:pPr>
              <w:pStyle w:val="Style1"/>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ind w:left="-140" w:right="-69"/>
              <w:jc w:val="center"/>
              <w:rPr>
                <w:b/>
                <w:bCs/>
                <w:sz w:val="16"/>
                <w:szCs w:val="16"/>
              </w:rPr>
            </w:pPr>
            <w:r w:rsidRPr="004A35B3">
              <w:rPr>
                <w:b/>
                <w:bCs/>
                <w:sz w:val="16"/>
                <w:szCs w:val="16"/>
              </w:rPr>
              <w:t>Category 5</w:t>
            </w:r>
          </w:p>
        </w:tc>
      </w:tr>
      <w:tr w:rsidR="003A789F" w:rsidRPr="004A35B3" w:rsidTr="004D33BB">
        <w:trPr>
          <w:cantSplit/>
          <w:trHeight w:val="124"/>
          <w:jc w:val="center"/>
        </w:trPr>
        <w:tc>
          <w:tcPr>
            <w:tcW w:w="2410"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b/>
                <w:bCs/>
                <w:sz w:val="16"/>
                <w:szCs w:val="16"/>
              </w:rPr>
              <w:t xml:space="preserve">Oral </w:t>
            </w:r>
            <w:r w:rsidRPr="004A35B3">
              <w:rPr>
                <w:sz w:val="16"/>
                <w:szCs w:val="16"/>
              </w:rPr>
              <w:t>(mg/kg bodyweight)</w:t>
            </w:r>
          </w:p>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i/>
                <w:iCs/>
                <w:sz w:val="16"/>
                <w:szCs w:val="16"/>
              </w:rPr>
              <w:t>See notes (a) and (b)</w:t>
            </w:r>
          </w:p>
        </w:tc>
        <w:tc>
          <w:tcPr>
            <w:tcW w:w="1276"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ATE ≤ 5</w:t>
            </w:r>
          </w:p>
        </w:tc>
        <w:tc>
          <w:tcPr>
            <w:tcW w:w="1417"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5 &lt;  ATE ≤  50</w:t>
            </w:r>
          </w:p>
        </w:tc>
        <w:tc>
          <w:tcPr>
            <w:tcW w:w="1560"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50 &lt;ATE ≤ 300</w:t>
            </w:r>
          </w:p>
        </w:tc>
        <w:tc>
          <w:tcPr>
            <w:tcW w:w="1576"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300&lt; ATE ≤ 2000</w:t>
            </w:r>
          </w:p>
        </w:tc>
        <w:tc>
          <w:tcPr>
            <w:tcW w:w="1400" w:type="dxa"/>
            <w:vMerge w:val="restart"/>
            <w:vAlign w:val="center"/>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5000</w:t>
            </w:r>
            <w:r w:rsidRPr="004A35B3">
              <w:rPr>
                <w:sz w:val="16"/>
                <w:szCs w:val="16"/>
              </w:rPr>
              <w:br/>
            </w:r>
            <w:r w:rsidRPr="004A35B3">
              <w:rPr>
                <w:i/>
                <w:iCs/>
                <w:sz w:val="16"/>
                <w:szCs w:val="16"/>
              </w:rPr>
              <w:t>See detailed</w:t>
            </w:r>
            <w:r w:rsidRPr="004A35B3">
              <w:rPr>
                <w:i/>
                <w:iCs/>
                <w:sz w:val="16"/>
                <w:szCs w:val="16"/>
              </w:rPr>
              <w:br/>
              <w:t>criteria in</w:t>
            </w:r>
            <w:r w:rsidRPr="004A35B3">
              <w:rPr>
                <w:i/>
                <w:iCs/>
                <w:sz w:val="16"/>
                <w:szCs w:val="16"/>
              </w:rPr>
              <w:br/>
              <w:t>Note (g)</w:t>
            </w:r>
          </w:p>
        </w:tc>
      </w:tr>
      <w:tr w:rsidR="003A789F" w:rsidRPr="004A35B3" w:rsidTr="004D33BB">
        <w:trPr>
          <w:cantSplit/>
          <w:trHeight w:val="158"/>
          <w:jc w:val="center"/>
        </w:trPr>
        <w:tc>
          <w:tcPr>
            <w:tcW w:w="2410"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b/>
                <w:bCs/>
                <w:sz w:val="16"/>
                <w:szCs w:val="16"/>
              </w:rPr>
              <w:t xml:space="preserve">Dermal </w:t>
            </w:r>
            <w:r w:rsidRPr="004A35B3">
              <w:rPr>
                <w:sz w:val="16"/>
                <w:szCs w:val="16"/>
              </w:rPr>
              <w:t>(mg/kg bodyweight)</w:t>
            </w:r>
          </w:p>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i/>
                <w:iCs/>
                <w:sz w:val="16"/>
                <w:szCs w:val="16"/>
              </w:rPr>
              <w:t>See notes (a) and (b)</w:t>
            </w:r>
          </w:p>
        </w:tc>
        <w:tc>
          <w:tcPr>
            <w:tcW w:w="1276"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ATE ≤ 50</w:t>
            </w:r>
          </w:p>
        </w:tc>
        <w:tc>
          <w:tcPr>
            <w:tcW w:w="1417"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50 &lt; ATE ≤ 200</w:t>
            </w:r>
          </w:p>
        </w:tc>
        <w:tc>
          <w:tcPr>
            <w:tcW w:w="1560"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200&lt; ATE ≤ 1000</w:t>
            </w:r>
          </w:p>
        </w:tc>
        <w:tc>
          <w:tcPr>
            <w:tcW w:w="1576"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1000&lt; ATE ≤ 2000</w:t>
            </w:r>
          </w:p>
        </w:tc>
        <w:tc>
          <w:tcPr>
            <w:tcW w:w="1400" w:type="dxa"/>
            <w:vMerge/>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u w:val="single"/>
              </w:rPr>
            </w:pPr>
          </w:p>
        </w:tc>
      </w:tr>
      <w:tr w:rsidR="003A789F" w:rsidRPr="004A35B3" w:rsidTr="004D33BB">
        <w:trPr>
          <w:cantSplit/>
          <w:trHeight w:val="206"/>
          <w:jc w:val="center"/>
        </w:trPr>
        <w:tc>
          <w:tcPr>
            <w:tcW w:w="2410"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b/>
                <w:bCs/>
                <w:sz w:val="16"/>
                <w:szCs w:val="16"/>
              </w:rPr>
              <w:t>Gases</w:t>
            </w:r>
            <w:r w:rsidRPr="004A35B3">
              <w:rPr>
                <w:sz w:val="16"/>
                <w:szCs w:val="16"/>
              </w:rPr>
              <w:t xml:space="preserve"> (</w:t>
            </w:r>
            <w:proofErr w:type="spellStart"/>
            <w:r w:rsidRPr="004A35B3">
              <w:rPr>
                <w:sz w:val="16"/>
                <w:szCs w:val="16"/>
              </w:rPr>
              <w:t>ppmV</w:t>
            </w:r>
            <w:proofErr w:type="spellEnd"/>
            <w:r w:rsidRPr="004A35B3">
              <w:rPr>
                <w:sz w:val="16"/>
                <w:szCs w:val="16"/>
              </w:rPr>
              <w:t>)</w:t>
            </w:r>
          </w:p>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153" w:hanging="1153"/>
              <w:rPr>
                <w:i/>
                <w:iCs/>
                <w:sz w:val="16"/>
                <w:szCs w:val="16"/>
              </w:rPr>
            </w:pPr>
            <w:r w:rsidRPr="004A35B3">
              <w:rPr>
                <w:i/>
                <w:iCs/>
                <w:sz w:val="16"/>
                <w:szCs w:val="16"/>
              </w:rPr>
              <w:t>See notes (a), (b) and (c)</w:t>
            </w:r>
          </w:p>
        </w:tc>
        <w:tc>
          <w:tcPr>
            <w:tcW w:w="1276"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ATE ≤ 100</w:t>
            </w:r>
          </w:p>
        </w:tc>
        <w:tc>
          <w:tcPr>
            <w:tcW w:w="1417"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100&lt; ATE ≤ 500</w:t>
            </w:r>
          </w:p>
        </w:tc>
        <w:tc>
          <w:tcPr>
            <w:tcW w:w="1560"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500&lt; ATE ≤ 2500</w:t>
            </w:r>
          </w:p>
        </w:tc>
        <w:tc>
          <w:tcPr>
            <w:tcW w:w="1576"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2500&lt; ATE ≤ 20000</w:t>
            </w:r>
          </w:p>
        </w:tc>
        <w:tc>
          <w:tcPr>
            <w:tcW w:w="1400" w:type="dxa"/>
            <w:vMerge w:val="restart"/>
            <w:vAlign w:val="center"/>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i/>
                <w:sz w:val="16"/>
                <w:szCs w:val="16"/>
                <w:u w:val="single"/>
                <w:vertAlign w:val="superscript"/>
              </w:rPr>
            </w:pPr>
            <w:r w:rsidRPr="004A35B3">
              <w:rPr>
                <w:i/>
                <w:iCs/>
                <w:sz w:val="16"/>
                <w:szCs w:val="16"/>
              </w:rPr>
              <w:t>See detailed</w:t>
            </w:r>
            <w:r w:rsidRPr="004A35B3">
              <w:rPr>
                <w:i/>
                <w:iCs/>
                <w:sz w:val="16"/>
                <w:szCs w:val="16"/>
              </w:rPr>
              <w:br/>
              <w:t>criteria in</w:t>
            </w:r>
            <w:r w:rsidRPr="004A35B3">
              <w:rPr>
                <w:i/>
                <w:iCs/>
                <w:sz w:val="16"/>
                <w:szCs w:val="16"/>
              </w:rPr>
              <w:br/>
              <w:t>Note (g)</w:t>
            </w:r>
          </w:p>
        </w:tc>
      </w:tr>
      <w:tr w:rsidR="003A789F" w:rsidRPr="004A35B3" w:rsidTr="00AB3199">
        <w:trPr>
          <w:cantSplit/>
          <w:trHeight w:val="289"/>
          <w:jc w:val="center"/>
        </w:trPr>
        <w:tc>
          <w:tcPr>
            <w:tcW w:w="2410"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b/>
                <w:bCs/>
                <w:sz w:val="16"/>
                <w:szCs w:val="16"/>
              </w:rPr>
              <w:t>Vapours</w:t>
            </w:r>
            <w:r w:rsidRPr="004A35B3">
              <w:rPr>
                <w:sz w:val="16"/>
                <w:szCs w:val="16"/>
              </w:rPr>
              <w:t xml:space="preserve"> (mg/l)</w:t>
            </w:r>
          </w:p>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i/>
                <w:iCs/>
                <w:sz w:val="16"/>
                <w:szCs w:val="16"/>
              </w:rPr>
              <w:t>See notes (a), (b), (c), (d) and (e)</w:t>
            </w:r>
          </w:p>
        </w:tc>
        <w:tc>
          <w:tcPr>
            <w:tcW w:w="1276"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ATE ≤ 0.5</w:t>
            </w:r>
          </w:p>
        </w:tc>
        <w:tc>
          <w:tcPr>
            <w:tcW w:w="1417"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0.5 &lt;ATE ≤ 2.0</w:t>
            </w:r>
          </w:p>
        </w:tc>
        <w:tc>
          <w:tcPr>
            <w:tcW w:w="1560"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2.0&lt; ATE ≤ 10.0</w:t>
            </w:r>
          </w:p>
        </w:tc>
        <w:tc>
          <w:tcPr>
            <w:tcW w:w="1576"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10.0&lt; ATE ≤ 20.0</w:t>
            </w:r>
          </w:p>
        </w:tc>
        <w:tc>
          <w:tcPr>
            <w:tcW w:w="1400" w:type="dxa"/>
            <w:vMerge/>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i/>
                <w:sz w:val="16"/>
                <w:szCs w:val="16"/>
                <w:u w:val="single"/>
                <w:vertAlign w:val="superscript"/>
              </w:rPr>
            </w:pPr>
          </w:p>
        </w:tc>
      </w:tr>
      <w:tr w:rsidR="003A789F" w:rsidRPr="004A35B3" w:rsidTr="00AB3199">
        <w:trPr>
          <w:cantSplit/>
          <w:trHeight w:val="365"/>
          <w:jc w:val="center"/>
        </w:trPr>
        <w:tc>
          <w:tcPr>
            <w:tcW w:w="2410"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b/>
                <w:bCs/>
                <w:sz w:val="16"/>
                <w:szCs w:val="16"/>
              </w:rPr>
              <w:t>Dusts and Mists</w:t>
            </w:r>
            <w:r w:rsidRPr="004A35B3">
              <w:rPr>
                <w:sz w:val="16"/>
                <w:szCs w:val="16"/>
              </w:rPr>
              <w:t xml:space="preserve"> (mg/l)</w:t>
            </w:r>
          </w:p>
          <w:p w:rsidR="003A789F" w:rsidRPr="004A35B3" w:rsidRDefault="003A789F" w:rsidP="004D33BB">
            <w:pPr>
              <w:pStyle w:val="HTMLAddres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iCs w:val="0"/>
                <w:sz w:val="16"/>
                <w:szCs w:val="16"/>
              </w:rPr>
              <w:t>See</w:t>
            </w:r>
            <w:r w:rsidRPr="004A35B3">
              <w:rPr>
                <w:i w:val="0"/>
                <w:iCs w:val="0"/>
                <w:sz w:val="16"/>
                <w:szCs w:val="16"/>
              </w:rPr>
              <w:t xml:space="preserve"> </w:t>
            </w:r>
            <w:r w:rsidRPr="004A35B3">
              <w:rPr>
                <w:iCs w:val="0"/>
                <w:sz w:val="16"/>
                <w:szCs w:val="16"/>
              </w:rPr>
              <w:t>notes (a), (b), (c) and</w:t>
            </w:r>
            <w:r w:rsidRPr="004A35B3">
              <w:rPr>
                <w:sz w:val="16"/>
                <w:szCs w:val="16"/>
              </w:rPr>
              <w:t xml:space="preserve"> (f) </w:t>
            </w:r>
          </w:p>
        </w:tc>
        <w:tc>
          <w:tcPr>
            <w:tcW w:w="1276"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ATE ≤ 0.05</w:t>
            </w:r>
          </w:p>
        </w:tc>
        <w:tc>
          <w:tcPr>
            <w:tcW w:w="1417"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0.05&lt; ATE ≤ 0.5</w:t>
            </w:r>
          </w:p>
        </w:tc>
        <w:tc>
          <w:tcPr>
            <w:tcW w:w="1560"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0.5&lt; ATE ≤ 1.0</w:t>
            </w:r>
          </w:p>
        </w:tc>
        <w:tc>
          <w:tcPr>
            <w:tcW w:w="1576" w:type="dxa"/>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1.0&lt; ATE ≤ 5.0</w:t>
            </w:r>
          </w:p>
        </w:tc>
        <w:tc>
          <w:tcPr>
            <w:tcW w:w="1400" w:type="dxa"/>
            <w:vMerge/>
          </w:tcPr>
          <w:p w:rsidR="003A789F" w:rsidRPr="004A35B3" w:rsidRDefault="003A789F" w:rsidP="004D33B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i/>
                <w:sz w:val="16"/>
                <w:szCs w:val="16"/>
                <w:u w:val="single"/>
                <w:vertAlign w:val="superscript"/>
              </w:rPr>
            </w:pPr>
          </w:p>
        </w:tc>
      </w:tr>
    </w:tbl>
    <w:p w:rsidR="003A789F" w:rsidRDefault="003A789F" w:rsidP="00AB3199">
      <w:pPr>
        <w:spacing w:before="120"/>
        <w:jc w:val="center"/>
        <w:rPr>
          <w:i/>
          <w:iCs/>
        </w:rPr>
      </w:pPr>
      <w:r w:rsidRPr="0081498D">
        <w:rPr>
          <w:b/>
          <w:bCs/>
          <w:i/>
          <w:iCs/>
        </w:rPr>
        <w:t>Note</w:t>
      </w:r>
      <w:r w:rsidRPr="0081498D">
        <w:rPr>
          <w:i/>
          <w:iCs/>
        </w:rPr>
        <w:t>:</w:t>
      </w:r>
      <w:r w:rsidRPr="0081498D">
        <w:tab/>
      </w:r>
      <w:r w:rsidRPr="0081498D">
        <w:rPr>
          <w:i/>
          <w:iCs/>
        </w:rPr>
        <w:t>Gases concentration are expressed in parts per million per volume (</w:t>
      </w:r>
      <w:proofErr w:type="spellStart"/>
      <w:r w:rsidRPr="0081498D">
        <w:rPr>
          <w:i/>
          <w:iCs/>
        </w:rPr>
        <w:t>ppmV</w:t>
      </w:r>
      <w:proofErr w:type="spellEnd"/>
      <w:r w:rsidRPr="0081498D">
        <w:rPr>
          <w:i/>
          <w:iCs/>
        </w:rPr>
        <w:t>).</w:t>
      </w:r>
    </w:p>
    <w:p w:rsidR="003A789F" w:rsidRPr="00DD4C83" w:rsidRDefault="00AB3199" w:rsidP="00864C42">
      <w:pPr>
        <w:pStyle w:val="H1G"/>
        <w:jc w:val="both"/>
      </w:pPr>
      <w:r>
        <w:lastRenderedPageBreak/>
        <w:tab/>
      </w:r>
      <w:r w:rsidR="003A789F" w:rsidRPr="00AB3199">
        <w:t>Item (h):</w:t>
      </w:r>
      <w:r w:rsidR="002A2C6F">
        <w:tab/>
      </w:r>
      <w:r w:rsidR="003A789F" w:rsidRPr="00DD4C83">
        <w:t>Review the information in Table 1.5.1 for aspiration</w:t>
      </w:r>
      <w:r w:rsidR="00DD4C83">
        <w:t xml:space="preserve"> hazard Category 1 and Category </w:t>
      </w:r>
      <w:r w:rsidR="003A789F" w:rsidRPr="00DD4C83">
        <w:t>2 and dete</w:t>
      </w:r>
      <w:r w:rsidR="002A2C6F">
        <w:t>rmine if an update is necessary</w:t>
      </w:r>
      <w:r w:rsidR="003A789F" w:rsidRPr="00DD4C83">
        <w:t xml:space="preserve">  </w:t>
      </w:r>
    </w:p>
    <w:p w:rsidR="00DD4C83" w:rsidRPr="00A9475B" w:rsidRDefault="00DD4C83" w:rsidP="00177B80">
      <w:pPr>
        <w:pStyle w:val="H23G"/>
        <w:rPr>
          <w:lang w:val="en-US"/>
        </w:rPr>
      </w:pPr>
      <w:r>
        <w:rPr>
          <w:lang w:val="en-US"/>
        </w:rPr>
        <w:tab/>
      </w:r>
      <w:r>
        <w:rPr>
          <w:lang w:val="en-US"/>
        </w:rPr>
        <w:tab/>
      </w:r>
      <w:r w:rsidRPr="00A9475B">
        <w:rPr>
          <w:lang w:val="en-US"/>
        </w:rPr>
        <w:t xml:space="preserve">Chapter </w:t>
      </w:r>
      <w:r>
        <w:rPr>
          <w:lang w:val="en-US"/>
        </w:rPr>
        <w:t>1.5</w:t>
      </w:r>
    </w:p>
    <w:p w:rsidR="003A789F" w:rsidRPr="00DD4C83" w:rsidRDefault="00DD4C83" w:rsidP="00177B80">
      <w:pPr>
        <w:pStyle w:val="SingleTxtG"/>
        <w:keepNext/>
        <w:keepLines/>
      </w:pPr>
      <w:r>
        <w:t>In table</w:t>
      </w:r>
      <w:r w:rsidR="003A789F" w:rsidRPr="00DD4C83">
        <w:t xml:space="preserve"> 1.5.1 </w:t>
      </w:r>
      <w:r>
        <w:t xml:space="preserve">amend the rows applicable to aspiration hazard categories 1 and 2 </w:t>
      </w:r>
      <w:r w:rsidR="003A789F" w:rsidRPr="00DD4C83">
        <w:t>as follows</w:t>
      </w:r>
      <w:r w:rsidR="0011363C">
        <w:t xml:space="preserve"> </w:t>
      </w:r>
      <w:r w:rsidR="0011363C" w:rsidRPr="002074DD">
        <w:rPr>
          <w:i/>
        </w:rPr>
        <w:t>(new text is underlined</w:t>
      </w:r>
      <w:r w:rsidR="0011363C">
        <w:rPr>
          <w:i/>
        </w:rPr>
        <w:t>, deleted text is struck through</w:t>
      </w:r>
      <w:r w:rsidR="0011363C" w:rsidRPr="002074DD">
        <w:rPr>
          <w:i/>
        </w:rPr>
        <w:t>)</w:t>
      </w:r>
      <w:r w:rsidR="003A789F" w:rsidRPr="00DD4C83">
        <w:t>:</w:t>
      </w:r>
    </w:p>
    <w:tbl>
      <w:tblPr>
        <w:tblW w:w="7831" w:type="dxa"/>
        <w:jc w:val="center"/>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9"/>
        <w:gridCol w:w="5012"/>
      </w:tblGrid>
      <w:tr w:rsidR="003A789F" w:rsidRPr="00DD4C83" w:rsidTr="00DD4C83">
        <w:trPr>
          <w:trHeight w:val="266"/>
          <w:jc w:val="center"/>
        </w:trPr>
        <w:tc>
          <w:tcPr>
            <w:tcW w:w="2819" w:type="dxa"/>
          </w:tcPr>
          <w:p w:rsidR="003A789F" w:rsidRPr="00DD4C83" w:rsidRDefault="00DD4C83" w:rsidP="004A35B3">
            <w:pPr>
              <w:keepNext/>
              <w:keepLines/>
              <w:tabs>
                <w:tab w:val="left" w:pos="1134"/>
                <w:tab w:val="left" w:pos="1701"/>
                <w:tab w:val="left" w:pos="2268"/>
                <w:tab w:val="left" w:pos="2835"/>
                <w:tab w:val="left" w:pos="3969"/>
                <w:tab w:val="left" w:pos="4536"/>
              </w:tabs>
              <w:spacing w:beforeLines="20" w:before="48" w:afterLines="20" w:after="48" w:line="240" w:lineRule="auto"/>
              <w:rPr>
                <w:b/>
                <w:bCs/>
                <w:color w:val="000000"/>
                <w:szCs w:val="22"/>
              </w:rPr>
            </w:pPr>
            <w:r w:rsidRPr="00DD4C83">
              <w:rPr>
                <w:b/>
                <w:bCs/>
                <w:color w:val="000000"/>
                <w:szCs w:val="22"/>
              </w:rPr>
              <w:t>H</w:t>
            </w:r>
            <w:r w:rsidR="003A789F" w:rsidRPr="00DD4C83">
              <w:rPr>
                <w:b/>
                <w:bCs/>
                <w:color w:val="000000"/>
                <w:szCs w:val="22"/>
              </w:rPr>
              <w:t>azard class</w:t>
            </w:r>
          </w:p>
        </w:tc>
        <w:tc>
          <w:tcPr>
            <w:tcW w:w="5012" w:type="dxa"/>
          </w:tcPr>
          <w:p w:rsidR="003A789F" w:rsidRPr="00DD4C83" w:rsidRDefault="003A789F" w:rsidP="004A35B3">
            <w:pPr>
              <w:keepNext/>
              <w:keepLines/>
              <w:tabs>
                <w:tab w:val="left" w:pos="1134"/>
                <w:tab w:val="left" w:pos="1701"/>
                <w:tab w:val="left" w:pos="2268"/>
                <w:tab w:val="left" w:pos="2835"/>
                <w:tab w:val="left" w:pos="3969"/>
                <w:tab w:val="left" w:pos="4536"/>
              </w:tabs>
              <w:spacing w:beforeLines="20" w:before="48" w:afterLines="20" w:after="48" w:line="240" w:lineRule="auto"/>
              <w:jc w:val="center"/>
              <w:rPr>
                <w:b/>
                <w:bCs/>
                <w:color w:val="000000"/>
                <w:szCs w:val="22"/>
              </w:rPr>
            </w:pPr>
            <w:r w:rsidRPr="00DD4C83">
              <w:rPr>
                <w:b/>
                <w:bCs/>
                <w:color w:val="000000"/>
                <w:szCs w:val="22"/>
              </w:rPr>
              <w:t>Cut-off value/concentration limit</w:t>
            </w:r>
          </w:p>
        </w:tc>
      </w:tr>
      <w:tr w:rsidR="003A789F" w:rsidRPr="00DD4C83" w:rsidTr="00DD4C83">
        <w:trPr>
          <w:trHeight w:val="266"/>
          <w:jc w:val="center"/>
        </w:trPr>
        <w:tc>
          <w:tcPr>
            <w:tcW w:w="2819" w:type="dxa"/>
          </w:tcPr>
          <w:p w:rsidR="003A789F" w:rsidRPr="00DD4C83" w:rsidRDefault="003A789F" w:rsidP="004A35B3">
            <w:pPr>
              <w:keepNext/>
              <w:keepLines/>
              <w:tabs>
                <w:tab w:val="left" w:pos="1134"/>
                <w:tab w:val="left" w:pos="1701"/>
                <w:tab w:val="left" w:pos="2268"/>
                <w:tab w:val="left" w:pos="2835"/>
                <w:tab w:val="left" w:pos="3969"/>
                <w:tab w:val="left" w:pos="4536"/>
              </w:tabs>
              <w:spacing w:beforeLines="20" w:before="48" w:afterLines="20" w:after="48" w:line="240" w:lineRule="auto"/>
              <w:rPr>
                <w:color w:val="000000"/>
                <w:szCs w:val="22"/>
              </w:rPr>
            </w:pPr>
            <w:r w:rsidRPr="00DD4C83">
              <w:rPr>
                <w:bCs/>
                <w:szCs w:val="22"/>
              </w:rPr>
              <w:t>Aspiration hazard (Category 1)</w:t>
            </w:r>
          </w:p>
        </w:tc>
        <w:tc>
          <w:tcPr>
            <w:tcW w:w="5012" w:type="dxa"/>
          </w:tcPr>
          <w:p w:rsidR="003A789F" w:rsidRPr="00DD4C83" w:rsidRDefault="003A789F" w:rsidP="004A35B3">
            <w:pPr>
              <w:keepNext/>
              <w:keepLines/>
              <w:tabs>
                <w:tab w:val="left" w:pos="1134"/>
                <w:tab w:val="left" w:pos="1701"/>
                <w:tab w:val="left" w:pos="2268"/>
                <w:tab w:val="left" w:pos="2835"/>
                <w:tab w:val="left" w:pos="3969"/>
                <w:tab w:val="left" w:pos="4536"/>
              </w:tabs>
              <w:spacing w:beforeLines="20" w:before="48" w:afterLines="20" w:after="48" w:line="240" w:lineRule="auto"/>
              <w:jc w:val="center"/>
              <w:rPr>
                <w:bCs/>
                <w:strike/>
                <w:szCs w:val="22"/>
                <w:u w:val="single"/>
              </w:rPr>
            </w:pPr>
            <w:r w:rsidRPr="00DD4C83">
              <w:rPr>
                <w:color w:val="000000"/>
                <w:szCs w:val="22"/>
                <w:u w:val="single"/>
              </w:rPr>
              <w:sym w:font="Symbol" w:char="F0B3"/>
            </w:r>
            <w:r w:rsidRPr="00DD4C83">
              <w:rPr>
                <w:color w:val="000000"/>
                <w:szCs w:val="22"/>
                <w:u w:val="single"/>
              </w:rPr>
              <w:t xml:space="preserve"> 1.0%</w:t>
            </w:r>
          </w:p>
          <w:p w:rsidR="003A789F" w:rsidRPr="00DD4C83" w:rsidRDefault="003A789F" w:rsidP="004A35B3">
            <w:pPr>
              <w:keepNext/>
              <w:keepLines/>
              <w:tabs>
                <w:tab w:val="left" w:pos="1134"/>
                <w:tab w:val="left" w:pos="1701"/>
                <w:tab w:val="left" w:pos="2268"/>
                <w:tab w:val="left" w:pos="2835"/>
                <w:tab w:val="left" w:pos="3969"/>
                <w:tab w:val="left" w:pos="4536"/>
              </w:tabs>
              <w:spacing w:beforeLines="20" w:before="48" w:afterLines="20" w:after="48" w:line="240" w:lineRule="auto"/>
              <w:jc w:val="center"/>
              <w:rPr>
                <w:strike/>
                <w:color w:val="000000"/>
                <w:szCs w:val="22"/>
              </w:rPr>
            </w:pPr>
            <w:r w:rsidRPr="00DD4C83">
              <w:rPr>
                <w:bCs/>
                <w:strike/>
                <w:szCs w:val="22"/>
              </w:rPr>
              <w:t xml:space="preserve">≥ 10% of Category 1 ingredient(s) and kinematic viscosity </w:t>
            </w:r>
            <w:r w:rsidRPr="00DD4C83">
              <w:rPr>
                <w:strike/>
                <w:szCs w:val="22"/>
              </w:rPr>
              <w:t>≤ 20.5 mm</w:t>
            </w:r>
            <w:r w:rsidRPr="00DD4C83">
              <w:rPr>
                <w:strike/>
                <w:szCs w:val="22"/>
                <w:vertAlign w:val="superscript"/>
              </w:rPr>
              <w:t>2</w:t>
            </w:r>
            <w:r w:rsidRPr="00DD4C83">
              <w:rPr>
                <w:strike/>
                <w:szCs w:val="22"/>
              </w:rPr>
              <w:t>/s at 40°C</w:t>
            </w:r>
          </w:p>
        </w:tc>
      </w:tr>
      <w:tr w:rsidR="003A789F" w:rsidRPr="00DD4C83" w:rsidTr="00DD4C83">
        <w:trPr>
          <w:trHeight w:val="266"/>
          <w:jc w:val="center"/>
        </w:trPr>
        <w:tc>
          <w:tcPr>
            <w:tcW w:w="2819" w:type="dxa"/>
          </w:tcPr>
          <w:p w:rsidR="003A789F" w:rsidRPr="00DD4C83" w:rsidRDefault="003A789F" w:rsidP="004A35B3">
            <w:pPr>
              <w:keepNext/>
              <w:keepLines/>
              <w:tabs>
                <w:tab w:val="left" w:pos="1134"/>
                <w:tab w:val="left" w:pos="1701"/>
                <w:tab w:val="left" w:pos="2268"/>
                <w:tab w:val="left" w:pos="2835"/>
                <w:tab w:val="left" w:pos="3969"/>
                <w:tab w:val="left" w:pos="4536"/>
              </w:tabs>
              <w:spacing w:beforeLines="20" w:before="48" w:afterLines="20" w:after="48" w:line="240" w:lineRule="auto"/>
              <w:rPr>
                <w:bCs/>
                <w:szCs w:val="22"/>
              </w:rPr>
            </w:pPr>
            <w:r w:rsidRPr="00DD4C83">
              <w:rPr>
                <w:bCs/>
                <w:szCs w:val="22"/>
              </w:rPr>
              <w:t>Aspiration hazard (Category 2)</w:t>
            </w:r>
          </w:p>
        </w:tc>
        <w:tc>
          <w:tcPr>
            <w:tcW w:w="5012" w:type="dxa"/>
          </w:tcPr>
          <w:p w:rsidR="003A789F" w:rsidRPr="00DD4C83" w:rsidRDefault="003A789F" w:rsidP="004A35B3">
            <w:pPr>
              <w:keepNext/>
              <w:keepLines/>
              <w:tabs>
                <w:tab w:val="left" w:pos="1134"/>
                <w:tab w:val="left" w:pos="1701"/>
                <w:tab w:val="left" w:pos="2268"/>
                <w:tab w:val="left" w:pos="2835"/>
                <w:tab w:val="left" w:pos="3969"/>
                <w:tab w:val="left" w:pos="4536"/>
              </w:tabs>
              <w:spacing w:beforeLines="20" w:before="48" w:afterLines="20" w:after="48" w:line="240" w:lineRule="auto"/>
              <w:jc w:val="center"/>
              <w:rPr>
                <w:bCs/>
                <w:strike/>
                <w:szCs w:val="22"/>
                <w:u w:val="single"/>
              </w:rPr>
            </w:pPr>
            <w:r w:rsidRPr="00DD4C83">
              <w:rPr>
                <w:color w:val="000000"/>
                <w:szCs w:val="22"/>
                <w:u w:val="single"/>
              </w:rPr>
              <w:sym w:font="Symbol" w:char="F0B3"/>
            </w:r>
            <w:r w:rsidRPr="00DD4C83">
              <w:rPr>
                <w:color w:val="000000"/>
                <w:szCs w:val="22"/>
                <w:u w:val="single"/>
              </w:rPr>
              <w:t xml:space="preserve"> 1.0%</w:t>
            </w:r>
          </w:p>
          <w:p w:rsidR="003A789F" w:rsidRPr="00DD4C83" w:rsidRDefault="003A789F" w:rsidP="004A35B3">
            <w:pPr>
              <w:keepNext/>
              <w:keepLines/>
              <w:tabs>
                <w:tab w:val="left" w:pos="1134"/>
                <w:tab w:val="left" w:pos="1701"/>
                <w:tab w:val="left" w:pos="2268"/>
                <w:tab w:val="left" w:pos="2835"/>
                <w:tab w:val="left" w:pos="3969"/>
                <w:tab w:val="left" w:pos="4536"/>
              </w:tabs>
              <w:spacing w:beforeLines="20" w:before="48" w:afterLines="20" w:after="48" w:line="240" w:lineRule="auto"/>
              <w:jc w:val="center"/>
              <w:rPr>
                <w:bCs/>
                <w:strike/>
                <w:szCs w:val="22"/>
              </w:rPr>
            </w:pPr>
            <w:r w:rsidRPr="00DD4C83">
              <w:rPr>
                <w:bCs/>
                <w:strike/>
                <w:szCs w:val="22"/>
              </w:rPr>
              <w:t xml:space="preserve">≥ 10% of Category 2 ingredient(s) and kinematic viscosity </w:t>
            </w:r>
            <w:r w:rsidRPr="00DD4C83">
              <w:rPr>
                <w:strike/>
                <w:szCs w:val="22"/>
              </w:rPr>
              <w:t>≤ 14 mm</w:t>
            </w:r>
            <w:r w:rsidRPr="00DD4C83">
              <w:rPr>
                <w:strike/>
                <w:szCs w:val="22"/>
                <w:vertAlign w:val="superscript"/>
              </w:rPr>
              <w:t>2</w:t>
            </w:r>
            <w:r w:rsidRPr="00DD4C83">
              <w:rPr>
                <w:strike/>
                <w:szCs w:val="22"/>
              </w:rPr>
              <w:t>/s at 40°C</w:t>
            </w:r>
          </w:p>
        </w:tc>
      </w:tr>
    </w:tbl>
    <w:p w:rsidR="003A789F" w:rsidRDefault="00DD4C83" w:rsidP="00864C42">
      <w:pPr>
        <w:pStyle w:val="H1G"/>
        <w:jc w:val="both"/>
        <w:rPr>
          <w:b w:val="0"/>
        </w:rPr>
      </w:pPr>
      <w:r>
        <w:tab/>
      </w:r>
      <w:r w:rsidR="003A789F" w:rsidRPr="00DD4C83">
        <w:t>Item (</w:t>
      </w:r>
      <w:proofErr w:type="spellStart"/>
      <w:r w:rsidR="003A789F" w:rsidRPr="00DD4C83">
        <w:t>i</w:t>
      </w:r>
      <w:proofErr w:type="spellEnd"/>
      <w:r w:rsidR="003A789F" w:rsidRPr="00DD4C83">
        <w:t>):</w:t>
      </w:r>
      <w:r w:rsidR="002A2C6F">
        <w:tab/>
      </w:r>
      <w:r w:rsidR="003A789F" w:rsidRPr="00DD4C83">
        <w:t>Propose updating the reference to the European Union Safety Data Sheet Directive 91/155/EEC in p</w:t>
      </w:r>
      <w:r w:rsidR="00864C42">
        <w:t>aragraph 1.5.3.3.3 since the EU </w:t>
      </w:r>
      <w:r w:rsidR="003A789F" w:rsidRPr="00DD4C83">
        <w:t xml:space="preserve">Directive 91/155/EEC has been repealed and replaced by Annex II of </w:t>
      </w:r>
      <w:hyperlink r:id="rId10" w:tgtFrame="_blank" w:tooltip="Regulation (EC) No 1907/2006 (REACH)" w:history="1">
        <w:r w:rsidR="003A789F" w:rsidRPr="00DD4C83">
          <w:t>Regulation (EC) No 1907/2006 (REACH)</w:t>
        </w:r>
      </w:hyperlink>
    </w:p>
    <w:p w:rsidR="00DD4C83" w:rsidRPr="00A9475B" w:rsidRDefault="00DD4C83" w:rsidP="00DD4C83">
      <w:pPr>
        <w:pStyle w:val="H23G"/>
        <w:rPr>
          <w:lang w:val="en-US"/>
        </w:rPr>
      </w:pPr>
      <w:r>
        <w:rPr>
          <w:lang w:val="en-US"/>
        </w:rPr>
        <w:tab/>
      </w:r>
      <w:r>
        <w:rPr>
          <w:lang w:val="en-US"/>
        </w:rPr>
        <w:tab/>
      </w:r>
      <w:r w:rsidRPr="00A9475B">
        <w:rPr>
          <w:lang w:val="en-US"/>
        </w:rPr>
        <w:t xml:space="preserve">Chapter </w:t>
      </w:r>
      <w:r>
        <w:rPr>
          <w:lang w:val="en-US"/>
        </w:rPr>
        <w:t>1.5</w:t>
      </w:r>
    </w:p>
    <w:p w:rsidR="003A789F" w:rsidRPr="006F5E91" w:rsidRDefault="00DD4C83" w:rsidP="00DD4C83">
      <w:pPr>
        <w:pStyle w:val="SingleTxtG"/>
      </w:pPr>
      <w:r>
        <w:t>1.5.3.3.1</w:t>
      </w:r>
      <w:r>
        <w:tab/>
      </w:r>
      <w:r w:rsidR="006C6FD8">
        <w:t>Add the following sentence at the end of the paragraph</w:t>
      </w:r>
      <w:r w:rsidR="003A789F">
        <w:t>:</w:t>
      </w:r>
    </w:p>
    <w:p w:rsidR="003A789F" w:rsidRPr="006C6FD8" w:rsidRDefault="00606F8F" w:rsidP="006C6FD8">
      <w:pPr>
        <w:pStyle w:val="SingleTxtG"/>
        <w:ind w:left="2268"/>
      </w:pPr>
      <w:r w:rsidRPr="006C6FD8">
        <w:t>“</w:t>
      </w:r>
      <w:r w:rsidR="003A789F" w:rsidRPr="006C6FD8">
        <w:t>Guidance on the preparation of SDS’s under the requirements of the GHS can be found in Annex 4.</w:t>
      </w:r>
      <w:proofErr w:type="gramStart"/>
      <w:r w:rsidRPr="006C6FD8">
        <w:t>”</w:t>
      </w:r>
      <w:r w:rsidR="006C6FD8">
        <w:t>.</w:t>
      </w:r>
      <w:proofErr w:type="gramEnd"/>
    </w:p>
    <w:p w:rsidR="00606F8F" w:rsidRDefault="00606F8F" w:rsidP="00606F8F">
      <w:pPr>
        <w:pStyle w:val="SingleTxtG"/>
      </w:pPr>
      <w:r w:rsidRPr="00606F8F">
        <w:t>1.5.3.3.3</w:t>
      </w:r>
      <w:r w:rsidRPr="00606F8F">
        <w:tab/>
      </w:r>
      <w:r>
        <w:t>Delete.</w:t>
      </w:r>
    </w:p>
    <w:p w:rsidR="00606F8F" w:rsidRDefault="00606F8F" w:rsidP="00606F8F">
      <w:pPr>
        <w:pStyle w:val="SingleTxtG"/>
      </w:pPr>
      <w:r>
        <w:t>1.5.3.3.4</w:t>
      </w:r>
      <w:r>
        <w:tab/>
        <w:t>Renumber as 1.5.3.3.3.</w:t>
      </w:r>
    </w:p>
    <w:p w:rsidR="00606F8F" w:rsidRPr="00606F8F" w:rsidRDefault="00606F8F" w:rsidP="00606F8F">
      <w:pPr>
        <w:pStyle w:val="SingleTxtG"/>
        <w:spacing w:before="240" w:after="0"/>
        <w:jc w:val="center"/>
        <w:rPr>
          <w:u w:val="single"/>
        </w:rPr>
      </w:pPr>
      <w:r>
        <w:rPr>
          <w:u w:val="single"/>
        </w:rPr>
        <w:tab/>
      </w:r>
      <w:r>
        <w:rPr>
          <w:u w:val="single"/>
        </w:rPr>
        <w:tab/>
      </w:r>
      <w:r>
        <w:rPr>
          <w:u w:val="single"/>
        </w:rPr>
        <w:tab/>
      </w:r>
    </w:p>
    <w:sectPr w:rsidR="00606F8F" w:rsidRPr="00606F8F" w:rsidSect="00C457E2">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E2" w:rsidRDefault="00C457E2"/>
  </w:endnote>
  <w:endnote w:type="continuationSeparator" w:id="0">
    <w:p w:rsidR="00C457E2" w:rsidRDefault="00C457E2"/>
  </w:endnote>
  <w:endnote w:type="continuationNotice" w:id="1">
    <w:p w:rsidR="00C457E2" w:rsidRDefault="00C45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E2" w:rsidRPr="00C457E2" w:rsidRDefault="00C457E2" w:rsidP="00C457E2">
    <w:pPr>
      <w:pStyle w:val="Footer"/>
      <w:tabs>
        <w:tab w:val="right" w:pos="9638"/>
      </w:tabs>
      <w:rPr>
        <w:sz w:val="18"/>
      </w:rPr>
    </w:pPr>
    <w:r w:rsidRPr="00C457E2">
      <w:rPr>
        <w:b/>
        <w:sz w:val="18"/>
      </w:rPr>
      <w:fldChar w:fldCharType="begin"/>
    </w:r>
    <w:r w:rsidRPr="00C457E2">
      <w:rPr>
        <w:b/>
        <w:sz w:val="18"/>
      </w:rPr>
      <w:instrText xml:space="preserve"> PAGE  \* MERGEFORMAT </w:instrText>
    </w:r>
    <w:r w:rsidRPr="00C457E2">
      <w:rPr>
        <w:b/>
        <w:sz w:val="18"/>
      </w:rPr>
      <w:fldChar w:fldCharType="separate"/>
    </w:r>
    <w:r w:rsidR="00F67DAD">
      <w:rPr>
        <w:b/>
        <w:noProof/>
        <w:sz w:val="18"/>
      </w:rPr>
      <w:t>2</w:t>
    </w:r>
    <w:r w:rsidRPr="00C457E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E2" w:rsidRPr="00C457E2" w:rsidRDefault="00C457E2" w:rsidP="00C457E2">
    <w:pPr>
      <w:pStyle w:val="Footer"/>
      <w:tabs>
        <w:tab w:val="right" w:pos="9638"/>
      </w:tabs>
      <w:rPr>
        <w:b/>
        <w:sz w:val="18"/>
      </w:rPr>
    </w:pPr>
    <w:r>
      <w:tab/>
    </w:r>
    <w:r w:rsidRPr="00C457E2">
      <w:rPr>
        <w:b/>
        <w:sz w:val="18"/>
      </w:rPr>
      <w:fldChar w:fldCharType="begin"/>
    </w:r>
    <w:r w:rsidRPr="00C457E2">
      <w:rPr>
        <w:b/>
        <w:sz w:val="18"/>
      </w:rPr>
      <w:instrText xml:space="preserve"> PAGE  \* MERGEFORMAT </w:instrText>
    </w:r>
    <w:r w:rsidRPr="00C457E2">
      <w:rPr>
        <w:b/>
        <w:sz w:val="18"/>
      </w:rPr>
      <w:fldChar w:fldCharType="separate"/>
    </w:r>
    <w:r w:rsidR="00F67DAD">
      <w:rPr>
        <w:b/>
        <w:noProof/>
        <w:sz w:val="18"/>
      </w:rPr>
      <w:t>3</w:t>
    </w:r>
    <w:r w:rsidRPr="00C457E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E2" w:rsidRPr="000B175B" w:rsidRDefault="00C457E2" w:rsidP="000B175B">
      <w:pPr>
        <w:tabs>
          <w:tab w:val="right" w:pos="2155"/>
        </w:tabs>
        <w:spacing w:after="80"/>
        <w:ind w:left="680"/>
        <w:rPr>
          <w:u w:val="single"/>
        </w:rPr>
      </w:pPr>
      <w:r>
        <w:rPr>
          <w:u w:val="single"/>
        </w:rPr>
        <w:tab/>
      </w:r>
    </w:p>
  </w:footnote>
  <w:footnote w:type="continuationSeparator" w:id="0">
    <w:p w:rsidR="00C457E2" w:rsidRPr="00FC68B7" w:rsidRDefault="00C457E2" w:rsidP="00FC68B7">
      <w:pPr>
        <w:tabs>
          <w:tab w:val="left" w:pos="2155"/>
        </w:tabs>
        <w:spacing w:after="80"/>
        <w:ind w:left="680"/>
        <w:rPr>
          <w:u w:val="single"/>
        </w:rPr>
      </w:pPr>
      <w:r>
        <w:rPr>
          <w:u w:val="single"/>
        </w:rPr>
        <w:tab/>
      </w:r>
    </w:p>
  </w:footnote>
  <w:footnote w:type="continuationNotice" w:id="1">
    <w:p w:rsidR="00C457E2" w:rsidRDefault="00C457E2"/>
  </w:footnote>
  <w:footnote w:id="2">
    <w:p w:rsidR="003E32B5" w:rsidRPr="003E32B5" w:rsidRDefault="001B1CF3">
      <w:pPr>
        <w:pStyle w:val="FootnoteText"/>
        <w:rPr>
          <w:lang w:val="fr-CH"/>
        </w:rPr>
      </w:pPr>
      <w:r>
        <w:tab/>
      </w:r>
      <w:r w:rsidR="003E32B5">
        <w:rPr>
          <w:rStyle w:val="FootnoteReference"/>
        </w:rPr>
        <w:footnoteRef/>
      </w:r>
      <w:r w:rsidR="003E32B5">
        <w:t xml:space="preserve"> </w:t>
      </w:r>
      <w:r>
        <w:tab/>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t>ST/SG/AC.10/C.4/56</w:t>
      </w:r>
      <w:r w:rsidRPr="00A04E8C">
        <w:t xml:space="preserve">, </w:t>
      </w:r>
      <w:r>
        <w:t>annex III and ST/SG/AC.10/</w:t>
      </w:r>
      <w:r w:rsidRPr="00A04E8C">
        <w:t>4</w:t>
      </w:r>
      <w:r>
        <w:t>2, para. </w:t>
      </w:r>
      <w:r w:rsidRPr="00A04E8C">
        <w:t>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E2" w:rsidRPr="00C457E2" w:rsidRDefault="00C457E2">
    <w:pPr>
      <w:pStyle w:val="Header"/>
    </w:pPr>
    <w:r>
      <w:t>ST/SG/AC.10/C.4/2016/9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E2" w:rsidRPr="00C457E2" w:rsidRDefault="00C457E2" w:rsidP="00C457E2">
    <w:pPr>
      <w:pStyle w:val="Header"/>
      <w:jc w:val="right"/>
    </w:pPr>
    <w:r>
      <w:t>ST/SG/AC.10/C.4/2016/9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E2"/>
    <w:rsid w:val="00050F6B"/>
    <w:rsid w:val="00057FD8"/>
    <w:rsid w:val="00072C8C"/>
    <w:rsid w:val="00091419"/>
    <w:rsid w:val="000931C0"/>
    <w:rsid w:val="000B175B"/>
    <w:rsid w:val="000B3A0F"/>
    <w:rsid w:val="000E0415"/>
    <w:rsid w:val="0010318E"/>
    <w:rsid w:val="0011363C"/>
    <w:rsid w:val="0011582C"/>
    <w:rsid w:val="00117787"/>
    <w:rsid w:val="00131D42"/>
    <w:rsid w:val="001633FB"/>
    <w:rsid w:val="001668EE"/>
    <w:rsid w:val="00177B80"/>
    <w:rsid w:val="0018242C"/>
    <w:rsid w:val="001B1CF3"/>
    <w:rsid w:val="001B4B04"/>
    <w:rsid w:val="001C6663"/>
    <w:rsid w:val="001C7895"/>
    <w:rsid w:val="001D26DF"/>
    <w:rsid w:val="001D2FDC"/>
    <w:rsid w:val="001E4B1D"/>
    <w:rsid w:val="001F7029"/>
    <w:rsid w:val="002074DD"/>
    <w:rsid w:val="00211E0B"/>
    <w:rsid w:val="002309A7"/>
    <w:rsid w:val="00237785"/>
    <w:rsid w:val="00241466"/>
    <w:rsid w:val="00264A48"/>
    <w:rsid w:val="002725CA"/>
    <w:rsid w:val="00280EB7"/>
    <w:rsid w:val="002A2C6F"/>
    <w:rsid w:val="002B1CDA"/>
    <w:rsid w:val="002B5FEF"/>
    <w:rsid w:val="002E47AC"/>
    <w:rsid w:val="002F55C8"/>
    <w:rsid w:val="003077F4"/>
    <w:rsid w:val="003107FA"/>
    <w:rsid w:val="003229D8"/>
    <w:rsid w:val="0039277A"/>
    <w:rsid w:val="003972E0"/>
    <w:rsid w:val="003A789F"/>
    <w:rsid w:val="003C2CC4"/>
    <w:rsid w:val="003D388E"/>
    <w:rsid w:val="003D4B23"/>
    <w:rsid w:val="003E03B8"/>
    <w:rsid w:val="003E32B5"/>
    <w:rsid w:val="00401BE5"/>
    <w:rsid w:val="004325CB"/>
    <w:rsid w:val="00437F3F"/>
    <w:rsid w:val="00446DE4"/>
    <w:rsid w:val="00482E3C"/>
    <w:rsid w:val="004A35B3"/>
    <w:rsid w:val="004B2C9D"/>
    <w:rsid w:val="004D33BB"/>
    <w:rsid w:val="00527910"/>
    <w:rsid w:val="005420F2"/>
    <w:rsid w:val="00542669"/>
    <w:rsid w:val="00590144"/>
    <w:rsid w:val="005B3DB3"/>
    <w:rsid w:val="005E4A60"/>
    <w:rsid w:val="00606F8F"/>
    <w:rsid w:val="00611FC4"/>
    <w:rsid w:val="006176FB"/>
    <w:rsid w:val="0063419C"/>
    <w:rsid w:val="00640B26"/>
    <w:rsid w:val="006A7392"/>
    <w:rsid w:val="006C0D34"/>
    <w:rsid w:val="006C6FD8"/>
    <w:rsid w:val="006E564B"/>
    <w:rsid w:val="00714B73"/>
    <w:rsid w:val="0072632A"/>
    <w:rsid w:val="00790791"/>
    <w:rsid w:val="007B6BA5"/>
    <w:rsid w:val="007C3390"/>
    <w:rsid w:val="007C4F4B"/>
    <w:rsid w:val="007D3016"/>
    <w:rsid w:val="007E45FA"/>
    <w:rsid w:val="007F04C9"/>
    <w:rsid w:val="007F6611"/>
    <w:rsid w:val="008175E9"/>
    <w:rsid w:val="008242D7"/>
    <w:rsid w:val="00845BBE"/>
    <w:rsid w:val="00864C42"/>
    <w:rsid w:val="00871FD5"/>
    <w:rsid w:val="008862F7"/>
    <w:rsid w:val="008979B1"/>
    <w:rsid w:val="008A6B25"/>
    <w:rsid w:val="008A6C4F"/>
    <w:rsid w:val="008E0E46"/>
    <w:rsid w:val="00934706"/>
    <w:rsid w:val="00943D42"/>
    <w:rsid w:val="00945A5D"/>
    <w:rsid w:val="00963CBA"/>
    <w:rsid w:val="0099124E"/>
    <w:rsid w:val="00991261"/>
    <w:rsid w:val="0099386C"/>
    <w:rsid w:val="009F0F06"/>
    <w:rsid w:val="00A1427D"/>
    <w:rsid w:val="00A56BA9"/>
    <w:rsid w:val="00A72F22"/>
    <w:rsid w:val="00A73D52"/>
    <w:rsid w:val="00A748A6"/>
    <w:rsid w:val="00A75EC9"/>
    <w:rsid w:val="00A81FD3"/>
    <w:rsid w:val="00A879A4"/>
    <w:rsid w:val="00A9475B"/>
    <w:rsid w:val="00AB3199"/>
    <w:rsid w:val="00B26BEC"/>
    <w:rsid w:val="00B30179"/>
    <w:rsid w:val="00B3317B"/>
    <w:rsid w:val="00B52A63"/>
    <w:rsid w:val="00B81E12"/>
    <w:rsid w:val="00B93068"/>
    <w:rsid w:val="00BB078C"/>
    <w:rsid w:val="00BC1CAA"/>
    <w:rsid w:val="00BC51BF"/>
    <w:rsid w:val="00BC74E9"/>
    <w:rsid w:val="00BE618E"/>
    <w:rsid w:val="00C457E2"/>
    <w:rsid w:val="00C463DD"/>
    <w:rsid w:val="00C62F76"/>
    <w:rsid w:val="00C745C3"/>
    <w:rsid w:val="00CE4A8F"/>
    <w:rsid w:val="00CF5DB3"/>
    <w:rsid w:val="00D1364C"/>
    <w:rsid w:val="00D2031B"/>
    <w:rsid w:val="00D21378"/>
    <w:rsid w:val="00D25FE2"/>
    <w:rsid w:val="00D43252"/>
    <w:rsid w:val="00D753D8"/>
    <w:rsid w:val="00D906DA"/>
    <w:rsid w:val="00D96CC5"/>
    <w:rsid w:val="00D978C6"/>
    <w:rsid w:val="00DA67AD"/>
    <w:rsid w:val="00DD4C83"/>
    <w:rsid w:val="00E130AB"/>
    <w:rsid w:val="00E5644E"/>
    <w:rsid w:val="00E7260F"/>
    <w:rsid w:val="00E8535A"/>
    <w:rsid w:val="00E96630"/>
    <w:rsid w:val="00EA0C4F"/>
    <w:rsid w:val="00EA3403"/>
    <w:rsid w:val="00EA772F"/>
    <w:rsid w:val="00EB6832"/>
    <w:rsid w:val="00ED7A2A"/>
    <w:rsid w:val="00EF1D7F"/>
    <w:rsid w:val="00F40E75"/>
    <w:rsid w:val="00F54674"/>
    <w:rsid w:val="00F67DAD"/>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1"/>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Footnote Reference/"/>
    <w:basedOn w:val="DefaultParagraphFont"/>
    <w:rsid w:val="00A81FD3"/>
    <w:rPr>
      <w:rFonts w:ascii="Times New Roman" w:hAnsi="Times New Roman"/>
      <w:sz w:val="18"/>
      <w:vertAlign w:val="superscript"/>
    </w:rPr>
  </w:style>
  <w:style w:type="paragraph" w:styleId="FootnoteText">
    <w:name w:val="footnote text"/>
    <w:aliases w:val="5_G"/>
    <w:basedOn w:val="Normal"/>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C457E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457E2"/>
    <w:rPr>
      <w:rFonts w:ascii="Tahoma" w:hAnsi="Tahoma" w:cs="Tahoma"/>
      <w:sz w:val="16"/>
      <w:szCs w:val="16"/>
      <w:lang w:eastAsia="en-US"/>
    </w:rPr>
  </w:style>
  <w:style w:type="character" w:customStyle="1" w:styleId="HChGChar">
    <w:name w:val="_ H _Ch_G Char"/>
    <w:link w:val="HChG"/>
    <w:rsid w:val="003E32B5"/>
    <w:rPr>
      <w:b/>
      <w:sz w:val="28"/>
      <w:lang w:eastAsia="en-US"/>
    </w:rPr>
  </w:style>
  <w:style w:type="character" w:customStyle="1" w:styleId="SingleTxtGChar1">
    <w:name w:val="_ Single Txt_G Char1"/>
    <w:link w:val="SingleTxtG"/>
    <w:locked/>
    <w:rsid w:val="003E32B5"/>
    <w:rPr>
      <w:lang w:eastAsia="en-US"/>
    </w:rPr>
  </w:style>
  <w:style w:type="character" w:customStyle="1" w:styleId="H1GChar">
    <w:name w:val="_ H_1_G Char"/>
    <w:link w:val="H1G"/>
    <w:locked/>
    <w:rsid w:val="003E32B5"/>
    <w:rPr>
      <w:b/>
      <w:sz w:val="24"/>
      <w:lang w:eastAsia="en-US"/>
    </w:rPr>
  </w:style>
  <w:style w:type="paragraph" w:customStyle="1" w:styleId="GHSBodyText">
    <w:name w:val="GHSBody Text"/>
    <w:basedOn w:val="BodyText"/>
    <w:link w:val="GHSBodyTextChar"/>
    <w:rsid w:val="003A789F"/>
    <w:pPr>
      <w:tabs>
        <w:tab w:val="left" w:pos="1418"/>
        <w:tab w:val="left" w:pos="1985"/>
        <w:tab w:val="left" w:pos="2552"/>
        <w:tab w:val="left" w:pos="3119"/>
        <w:tab w:val="left" w:pos="3686"/>
      </w:tabs>
      <w:suppressAutoHyphens w:val="0"/>
      <w:autoSpaceDE w:val="0"/>
      <w:autoSpaceDN w:val="0"/>
      <w:adjustRightInd w:val="0"/>
      <w:spacing w:line="240" w:lineRule="auto"/>
      <w:jc w:val="both"/>
    </w:pPr>
    <w:rPr>
      <w:sz w:val="22"/>
    </w:rPr>
  </w:style>
  <w:style w:type="paragraph" w:customStyle="1" w:styleId="Style1">
    <w:name w:val="Style1"/>
    <w:basedOn w:val="Normal"/>
    <w:rsid w:val="003A789F"/>
    <w:pPr>
      <w:suppressAutoHyphens w:val="0"/>
      <w:spacing w:line="240" w:lineRule="auto"/>
    </w:pPr>
    <w:rPr>
      <w:sz w:val="22"/>
      <w:szCs w:val="24"/>
    </w:rPr>
  </w:style>
  <w:style w:type="paragraph" w:customStyle="1" w:styleId="GHSHeading4">
    <w:name w:val="GHSHeading4"/>
    <w:basedOn w:val="Normal"/>
    <w:rsid w:val="003A789F"/>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HTMLAddressChar">
    <w:name w:val="HTML Address Char"/>
    <w:basedOn w:val="DefaultParagraphFont"/>
    <w:link w:val="HTMLAddress"/>
    <w:rsid w:val="003A789F"/>
    <w:rPr>
      <w:i/>
      <w:iCs/>
      <w:lang w:eastAsia="en-US"/>
    </w:rPr>
  </w:style>
  <w:style w:type="paragraph" w:customStyle="1" w:styleId="GHSHeading3">
    <w:name w:val="GHSHeading3"/>
    <w:basedOn w:val="Heading3"/>
    <w:rsid w:val="003A789F"/>
    <w:pPr>
      <w:keepNext/>
      <w:tabs>
        <w:tab w:val="left" w:pos="1418"/>
      </w:tabs>
      <w:suppressAutoHyphens w:val="0"/>
      <w:autoSpaceDE w:val="0"/>
      <w:autoSpaceDN w:val="0"/>
      <w:adjustRightInd w:val="0"/>
    </w:pPr>
    <w:rPr>
      <w:b/>
      <w:bCs/>
      <w:color w:val="000000"/>
      <w:sz w:val="22"/>
      <w:szCs w:val="22"/>
      <w:lang w:eastAsia="fr-FR"/>
    </w:rPr>
  </w:style>
  <w:style w:type="character" w:customStyle="1" w:styleId="GHSBodyTextChar">
    <w:name w:val="GHSBody Text Char"/>
    <w:link w:val="GHSBodyText"/>
    <w:locked/>
    <w:rsid w:val="003A789F"/>
    <w:rPr>
      <w:sz w:val="22"/>
      <w:lang w:eastAsia="en-US"/>
    </w:rPr>
  </w:style>
  <w:style w:type="paragraph" w:customStyle="1" w:styleId="GHSFootnotetext">
    <w:name w:val="GHSFootnotetext"/>
    <w:basedOn w:val="Normal"/>
    <w:rsid w:val="003A789F"/>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1"/>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Footnote Reference/"/>
    <w:basedOn w:val="DefaultParagraphFont"/>
    <w:rsid w:val="00A81FD3"/>
    <w:rPr>
      <w:rFonts w:ascii="Times New Roman" w:hAnsi="Times New Roman"/>
      <w:sz w:val="18"/>
      <w:vertAlign w:val="superscript"/>
    </w:rPr>
  </w:style>
  <w:style w:type="paragraph" w:styleId="FootnoteText">
    <w:name w:val="footnote text"/>
    <w:aliases w:val="5_G"/>
    <w:basedOn w:val="Normal"/>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C457E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457E2"/>
    <w:rPr>
      <w:rFonts w:ascii="Tahoma" w:hAnsi="Tahoma" w:cs="Tahoma"/>
      <w:sz w:val="16"/>
      <w:szCs w:val="16"/>
      <w:lang w:eastAsia="en-US"/>
    </w:rPr>
  </w:style>
  <w:style w:type="character" w:customStyle="1" w:styleId="HChGChar">
    <w:name w:val="_ H _Ch_G Char"/>
    <w:link w:val="HChG"/>
    <w:rsid w:val="003E32B5"/>
    <w:rPr>
      <w:b/>
      <w:sz w:val="28"/>
      <w:lang w:eastAsia="en-US"/>
    </w:rPr>
  </w:style>
  <w:style w:type="character" w:customStyle="1" w:styleId="SingleTxtGChar1">
    <w:name w:val="_ Single Txt_G Char1"/>
    <w:link w:val="SingleTxtG"/>
    <w:locked/>
    <w:rsid w:val="003E32B5"/>
    <w:rPr>
      <w:lang w:eastAsia="en-US"/>
    </w:rPr>
  </w:style>
  <w:style w:type="character" w:customStyle="1" w:styleId="H1GChar">
    <w:name w:val="_ H_1_G Char"/>
    <w:link w:val="H1G"/>
    <w:locked/>
    <w:rsid w:val="003E32B5"/>
    <w:rPr>
      <w:b/>
      <w:sz w:val="24"/>
      <w:lang w:eastAsia="en-US"/>
    </w:rPr>
  </w:style>
  <w:style w:type="paragraph" w:customStyle="1" w:styleId="GHSBodyText">
    <w:name w:val="GHSBody Text"/>
    <w:basedOn w:val="BodyText"/>
    <w:link w:val="GHSBodyTextChar"/>
    <w:rsid w:val="003A789F"/>
    <w:pPr>
      <w:tabs>
        <w:tab w:val="left" w:pos="1418"/>
        <w:tab w:val="left" w:pos="1985"/>
        <w:tab w:val="left" w:pos="2552"/>
        <w:tab w:val="left" w:pos="3119"/>
        <w:tab w:val="left" w:pos="3686"/>
      </w:tabs>
      <w:suppressAutoHyphens w:val="0"/>
      <w:autoSpaceDE w:val="0"/>
      <w:autoSpaceDN w:val="0"/>
      <w:adjustRightInd w:val="0"/>
      <w:spacing w:line="240" w:lineRule="auto"/>
      <w:jc w:val="both"/>
    </w:pPr>
    <w:rPr>
      <w:sz w:val="22"/>
    </w:rPr>
  </w:style>
  <w:style w:type="paragraph" w:customStyle="1" w:styleId="Style1">
    <w:name w:val="Style1"/>
    <w:basedOn w:val="Normal"/>
    <w:rsid w:val="003A789F"/>
    <w:pPr>
      <w:suppressAutoHyphens w:val="0"/>
      <w:spacing w:line="240" w:lineRule="auto"/>
    </w:pPr>
    <w:rPr>
      <w:sz w:val="22"/>
      <w:szCs w:val="24"/>
    </w:rPr>
  </w:style>
  <w:style w:type="paragraph" w:customStyle="1" w:styleId="GHSHeading4">
    <w:name w:val="GHSHeading4"/>
    <w:basedOn w:val="Normal"/>
    <w:rsid w:val="003A789F"/>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HTMLAddressChar">
    <w:name w:val="HTML Address Char"/>
    <w:basedOn w:val="DefaultParagraphFont"/>
    <w:link w:val="HTMLAddress"/>
    <w:rsid w:val="003A789F"/>
    <w:rPr>
      <w:i/>
      <w:iCs/>
      <w:lang w:eastAsia="en-US"/>
    </w:rPr>
  </w:style>
  <w:style w:type="paragraph" w:customStyle="1" w:styleId="GHSHeading3">
    <w:name w:val="GHSHeading3"/>
    <w:basedOn w:val="Heading3"/>
    <w:rsid w:val="003A789F"/>
    <w:pPr>
      <w:keepNext/>
      <w:tabs>
        <w:tab w:val="left" w:pos="1418"/>
      </w:tabs>
      <w:suppressAutoHyphens w:val="0"/>
      <w:autoSpaceDE w:val="0"/>
      <w:autoSpaceDN w:val="0"/>
      <w:adjustRightInd w:val="0"/>
    </w:pPr>
    <w:rPr>
      <w:b/>
      <w:bCs/>
      <w:color w:val="000000"/>
      <w:sz w:val="22"/>
      <w:szCs w:val="22"/>
      <w:lang w:eastAsia="fr-FR"/>
    </w:rPr>
  </w:style>
  <w:style w:type="character" w:customStyle="1" w:styleId="GHSBodyTextChar">
    <w:name w:val="GHSBody Text Char"/>
    <w:link w:val="GHSBodyText"/>
    <w:locked/>
    <w:rsid w:val="003A789F"/>
    <w:rPr>
      <w:sz w:val="22"/>
      <w:lang w:eastAsia="en-US"/>
    </w:rPr>
  </w:style>
  <w:style w:type="paragraph" w:customStyle="1" w:styleId="GHSFootnotetext">
    <w:name w:val="GHSFootnotetext"/>
    <w:basedOn w:val="Normal"/>
    <w:rsid w:val="003A789F"/>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LexUriServ/LexUriServ.do?uri=OJ:L:2006:396:0001:0849:EN: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94A8-9C77-4425-9CEA-346E88E1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290</TotalTime>
  <Pages>6</Pages>
  <Words>1522</Words>
  <Characters>8098</Characters>
  <Application>Microsoft Office Word</Application>
  <DocSecurity>0</DocSecurity>
  <Lines>217</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18</cp:revision>
  <cp:lastPrinted>2016-04-14T09:46:00Z</cp:lastPrinted>
  <dcterms:created xsi:type="dcterms:W3CDTF">2016-04-13T07:33:00Z</dcterms:created>
  <dcterms:modified xsi:type="dcterms:W3CDTF">2016-04-14T09:47:00Z</dcterms:modified>
</cp:coreProperties>
</file>