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0305D3">
        <w:trPr>
          <w:trHeight w:hRule="exact" w:val="851"/>
        </w:trPr>
        <w:tc>
          <w:tcPr>
            <w:tcW w:w="1276" w:type="dxa"/>
            <w:tcBorders>
              <w:bottom w:val="single" w:sz="4" w:space="0" w:color="auto"/>
            </w:tcBorders>
          </w:tcPr>
          <w:p w:rsidR="00132EA9" w:rsidRPr="00DB58B5" w:rsidRDefault="00132EA9" w:rsidP="002E312D">
            <w:bookmarkStart w:id="0" w:name="_GoBack"/>
            <w:bookmarkEnd w:id="0"/>
          </w:p>
        </w:tc>
        <w:tc>
          <w:tcPr>
            <w:tcW w:w="2268" w:type="dxa"/>
            <w:tcBorders>
              <w:bottom w:val="single" w:sz="4" w:space="0" w:color="auto"/>
            </w:tcBorders>
            <w:vAlign w:val="bottom"/>
          </w:tcPr>
          <w:p w:rsidR="00132EA9" w:rsidRPr="00DB58B5" w:rsidRDefault="00132EA9" w:rsidP="009C312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2E312D" w:rsidP="002E312D">
            <w:pPr>
              <w:jc w:val="right"/>
            </w:pPr>
            <w:r w:rsidRPr="002E312D">
              <w:rPr>
                <w:sz w:val="40"/>
              </w:rPr>
              <w:t>ST</w:t>
            </w:r>
            <w:r>
              <w:t>/SG/AC.10/C.4/2016/9</w:t>
            </w:r>
          </w:p>
        </w:tc>
      </w:tr>
      <w:tr w:rsidR="00132EA9" w:rsidRPr="00DB58B5" w:rsidTr="009C3129">
        <w:trPr>
          <w:trHeight w:hRule="exact" w:val="2835"/>
        </w:trPr>
        <w:tc>
          <w:tcPr>
            <w:tcW w:w="1276" w:type="dxa"/>
            <w:tcBorders>
              <w:top w:val="single" w:sz="4" w:space="0" w:color="auto"/>
              <w:bottom w:val="single" w:sz="12" w:space="0" w:color="auto"/>
            </w:tcBorders>
          </w:tcPr>
          <w:p w:rsidR="00132EA9" w:rsidRPr="00DB58B5" w:rsidRDefault="00132EA9" w:rsidP="009C3129">
            <w:pPr>
              <w:spacing w:before="120"/>
              <w:jc w:val="center"/>
            </w:pPr>
            <w:r>
              <w:rPr>
                <w:noProof/>
                <w:lang w:val="en-GB" w:eastAsia="en-GB"/>
              </w:rPr>
              <w:drawing>
                <wp:inline distT="0" distB="0" distL="0" distR="0" wp14:anchorId="2E76D5A0" wp14:editId="1FEE2CF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9C3129">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2E312D" w:rsidP="009C3129">
            <w:pPr>
              <w:spacing w:before="240"/>
            </w:pPr>
            <w:r>
              <w:t>Distr. générale</w:t>
            </w:r>
          </w:p>
          <w:p w:rsidR="002E312D" w:rsidRDefault="002E312D" w:rsidP="002E312D">
            <w:pPr>
              <w:spacing w:line="240" w:lineRule="exact"/>
            </w:pPr>
            <w:r>
              <w:t>14 avril 2016</w:t>
            </w:r>
          </w:p>
          <w:p w:rsidR="002E312D" w:rsidRDefault="002E312D" w:rsidP="002E312D">
            <w:pPr>
              <w:spacing w:line="240" w:lineRule="exact"/>
            </w:pPr>
            <w:r>
              <w:t>Français</w:t>
            </w:r>
          </w:p>
          <w:p w:rsidR="002E312D" w:rsidRPr="00DB58B5" w:rsidRDefault="002E312D" w:rsidP="002E312D">
            <w:pPr>
              <w:spacing w:line="240" w:lineRule="exact"/>
            </w:pPr>
            <w:r>
              <w:t>Original : anglais</w:t>
            </w:r>
          </w:p>
        </w:tc>
      </w:tr>
    </w:tbl>
    <w:p w:rsidR="002E312D" w:rsidRPr="00CA0680" w:rsidRDefault="002E312D" w:rsidP="000305D3">
      <w:pPr>
        <w:spacing w:before="120"/>
        <w:rPr>
          <w:b/>
          <w:sz w:val="24"/>
          <w:szCs w:val="24"/>
        </w:rPr>
      </w:pPr>
      <w:r w:rsidRPr="00CA0680">
        <w:rPr>
          <w:b/>
          <w:sz w:val="24"/>
          <w:szCs w:val="24"/>
        </w:rPr>
        <w:t>Comité d</w:t>
      </w:r>
      <w:r w:rsidR="00C76037">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sidR="00C76037">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rsidR="002E312D" w:rsidRPr="00CA0680" w:rsidRDefault="002E312D" w:rsidP="000305D3">
      <w:pPr>
        <w:spacing w:before="120"/>
        <w:rPr>
          <w:b/>
        </w:rPr>
      </w:pPr>
      <w:r w:rsidRPr="00CA0680">
        <w:rPr>
          <w:b/>
        </w:rPr>
        <w:t>Sous</w:t>
      </w:r>
      <w:r>
        <w:rPr>
          <w:b/>
        </w:rPr>
        <w:t>-</w:t>
      </w:r>
      <w:r w:rsidRPr="00CA0680">
        <w:rPr>
          <w:b/>
        </w:rPr>
        <w:t>Comité d</w:t>
      </w:r>
      <w:r w:rsidR="00C76037">
        <w:rPr>
          <w:b/>
        </w:rPr>
        <w:t>’</w:t>
      </w:r>
      <w:r w:rsidRPr="00CA0680">
        <w:rPr>
          <w:b/>
        </w:rPr>
        <w:t xml:space="preserve">experts </w:t>
      </w:r>
      <w:r>
        <w:rPr>
          <w:b/>
        </w:rPr>
        <w:t>du Système général harmonisé</w:t>
      </w:r>
      <w:r>
        <w:rPr>
          <w:b/>
        </w:rPr>
        <w:br/>
        <w:t>de classification et d</w:t>
      </w:r>
      <w:r w:rsidR="00C76037">
        <w:rPr>
          <w:b/>
        </w:rPr>
        <w:t>’</w:t>
      </w:r>
      <w:r>
        <w:rPr>
          <w:b/>
        </w:rPr>
        <w:t>étiquetage des produits chimiques</w:t>
      </w:r>
    </w:p>
    <w:p w:rsidR="002E312D" w:rsidRDefault="002E312D" w:rsidP="000305D3">
      <w:pPr>
        <w:spacing w:before="120"/>
        <w:rPr>
          <w:b/>
        </w:rPr>
      </w:pPr>
      <w:r>
        <w:rPr>
          <w:b/>
        </w:rPr>
        <w:t>Trente et unième</w:t>
      </w:r>
      <w:r w:rsidRPr="00CA0680">
        <w:rPr>
          <w:b/>
        </w:rPr>
        <w:t xml:space="preserve"> session</w:t>
      </w:r>
    </w:p>
    <w:p w:rsidR="002E312D" w:rsidRDefault="002E312D" w:rsidP="000305D3">
      <w:r>
        <w:t>Genève, 5-8 juillet 2016</w:t>
      </w:r>
    </w:p>
    <w:p w:rsidR="002E312D" w:rsidRDefault="002E312D" w:rsidP="000305D3">
      <w:r>
        <w:t>Point 3 c) de l</w:t>
      </w:r>
      <w:r w:rsidR="00C76037">
        <w:t>’</w:t>
      </w:r>
      <w:r>
        <w:t>ordre du jour provisoire</w:t>
      </w:r>
    </w:p>
    <w:p w:rsidR="002E312D" w:rsidRPr="009F66A2" w:rsidRDefault="002E312D" w:rsidP="002E312D">
      <w:pPr>
        <w:rPr>
          <w:b/>
          <w:lang w:val="fr-FR"/>
        </w:rPr>
      </w:pPr>
      <w:r w:rsidRPr="009F66A2">
        <w:rPr>
          <w:b/>
          <w:lang w:val="fr-FR"/>
        </w:rPr>
        <w:t>Critères de classification et communication des dangers y relatifs</w:t>
      </w:r>
      <w:r>
        <w:rPr>
          <w:b/>
          <w:lang w:val="fr-FR"/>
        </w:rPr>
        <w:t xml:space="preserve"> : </w:t>
      </w:r>
      <w:r w:rsidRPr="009F66A2">
        <w:rPr>
          <w:b/>
          <w:lang w:val="fr-FR"/>
        </w:rPr>
        <w:br/>
        <w:t>Questions pratiques de classification</w:t>
      </w:r>
    </w:p>
    <w:p w:rsidR="002E312D" w:rsidRPr="009F66A2" w:rsidRDefault="002E312D" w:rsidP="002E312D">
      <w:pPr>
        <w:pStyle w:val="HChG"/>
        <w:rPr>
          <w:lang w:val="fr-FR"/>
        </w:rPr>
      </w:pPr>
      <w:r w:rsidRPr="009F66A2">
        <w:rPr>
          <w:lang w:val="fr-FR"/>
        </w:rPr>
        <w:tab/>
      </w:r>
      <w:r w:rsidRPr="009F66A2">
        <w:rPr>
          <w:lang w:val="fr-FR"/>
        </w:rPr>
        <w:tab/>
        <w:t xml:space="preserve">Propositions visant à résoudre les problèmes recensés </w:t>
      </w:r>
      <w:r w:rsidRPr="009F66A2">
        <w:rPr>
          <w:lang w:val="fr-FR"/>
        </w:rPr>
        <w:br/>
        <w:t xml:space="preserve">dans le cadre du programme de travail du groupe de travail </w:t>
      </w:r>
      <w:r w:rsidRPr="009F66A2">
        <w:rPr>
          <w:lang w:val="fr-FR"/>
        </w:rPr>
        <w:br/>
        <w:t xml:space="preserve">par correspondance chargé des questions pratiques </w:t>
      </w:r>
      <w:r w:rsidRPr="009F66A2">
        <w:rPr>
          <w:lang w:val="fr-FR"/>
        </w:rPr>
        <w:br/>
        <w:t>de classification</w:t>
      </w:r>
    </w:p>
    <w:p w:rsidR="002E312D" w:rsidRPr="009F66A2" w:rsidRDefault="002E312D" w:rsidP="002E312D">
      <w:pPr>
        <w:pStyle w:val="H1G"/>
        <w:rPr>
          <w:sz w:val="20"/>
          <w:lang w:val="fr-FR"/>
        </w:rPr>
      </w:pPr>
      <w:r w:rsidRPr="009F66A2">
        <w:rPr>
          <w:lang w:val="fr-FR"/>
        </w:rPr>
        <w:tab/>
      </w:r>
      <w:r w:rsidRPr="009F66A2">
        <w:rPr>
          <w:lang w:val="fr-FR"/>
        </w:rPr>
        <w:tab/>
        <w:t>Communication de l</w:t>
      </w:r>
      <w:r w:rsidR="00C76037">
        <w:rPr>
          <w:lang w:val="fr-FR"/>
        </w:rPr>
        <w:t>’</w:t>
      </w:r>
      <w:r w:rsidRPr="009F66A2">
        <w:rPr>
          <w:lang w:val="fr-FR"/>
        </w:rPr>
        <w:t>expert des États-Unis d</w:t>
      </w:r>
      <w:r w:rsidR="00C76037">
        <w:rPr>
          <w:lang w:val="fr-FR"/>
        </w:rPr>
        <w:t>’</w:t>
      </w:r>
      <w:r w:rsidRPr="009F66A2">
        <w:rPr>
          <w:lang w:val="fr-FR"/>
        </w:rPr>
        <w:t xml:space="preserve">Amérique </w:t>
      </w:r>
      <w:r>
        <w:rPr>
          <w:lang w:val="fr-FR"/>
        </w:rPr>
        <w:br/>
      </w:r>
      <w:r w:rsidRPr="009F66A2">
        <w:rPr>
          <w:lang w:val="fr-FR"/>
        </w:rPr>
        <w:t xml:space="preserve">au nom du groupe de travail informel par correspondance </w:t>
      </w:r>
      <w:r>
        <w:rPr>
          <w:lang w:val="fr-FR"/>
        </w:rPr>
        <w:br/>
      </w:r>
      <w:r w:rsidRPr="009F66A2">
        <w:rPr>
          <w:lang w:val="fr-FR"/>
        </w:rPr>
        <w:t>chargé des questions pratiques de classification</w:t>
      </w:r>
      <w:r w:rsidRPr="002E312D">
        <w:rPr>
          <w:rStyle w:val="FootnoteReference"/>
          <w:b w:val="0"/>
        </w:rPr>
        <w:footnoteReference w:id="2"/>
      </w:r>
    </w:p>
    <w:p w:rsidR="002E312D" w:rsidRPr="009F66A2" w:rsidRDefault="002E312D" w:rsidP="002E312D">
      <w:pPr>
        <w:pStyle w:val="HChG"/>
        <w:rPr>
          <w:lang w:val="fr-FR"/>
        </w:rPr>
      </w:pPr>
      <w:r w:rsidRPr="009F66A2">
        <w:rPr>
          <w:lang w:val="fr-FR"/>
        </w:rPr>
        <w:tab/>
      </w:r>
      <w:r w:rsidRPr="009F66A2">
        <w:rPr>
          <w:lang w:val="fr-FR"/>
        </w:rPr>
        <w:tab/>
        <w:t>Objet</w:t>
      </w:r>
    </w:p>
    <w:p w:rsidR="002E312D" w:rsidRPr="009F66A2" w:rsidRDefault="002E312D" w:rsidP="002E312D">
      <w:pPr>
        <w:pStyle w:val="ParNoG"/>
        <w:rPr>
          <w:lang w:val="fr-FR"/>
        </w:rPr>
      </w:pPr>
      <w:r w:rsidRPr="009F66A2">
        <w:rPr>
          <w:lang w:val="fr-FR"/>
        </w:rPr>
        <w:t>Par le présent document, le groupe de travail informel par correspondance chargé des questions pratiques de classification formule des recommandations visant à permettre de préciser les critères de classification dans le Système général harmonisé de classification et d</w:t>
      </w:r>
      <w:r w:rsidR="00C76037">
        <w:rPr>
          <w:lang w:val="fr-FR"/>
        </w:rPr>
        <w:t>’</w:t>
      </w:r>
      <w:r w:rsidRPr="009F66A2">
        <w:rPr>
          <w:lang w:val="fr-FR"/>
        </w:rPr>
        <w:t>étiquetage des produits chimiques (SGH).</w:t>
      </w:r>
    </w:p>
    <w:p w:rsidR="002E312D" w:rsidRPr="009F66A2" w:rsidRDefault="002E312D" w:rsidP="002E312D">
      <w:pPr>
        <w:pStyle w:val="HChG"/>
        <w:rPr>
          <w:lang w:val="fr-FR"/>
        </w:rPr>
      </w:pPr>
      <w:r w:rsidRPr="009F66A2">
        <w:rPr>
          <w:lang w:val="fr-FR"/>
        </w:rPr>
        <w:lastRenderedPageBreak/>
        <w:tab/>
      </w:r>
      <w:r w:rsidRPr="009F66A2">
        <w:rPr>
          <w:lang w:val="fr-FR"/>
        </w:rPr>
        <w:tab/>
        <w:t>Historique</w:t>
      </w:r>
    </w:p>
    <w:p w:rsidR="002E312D" w:rsidRPr="009F66A2" w:rsidRDefault="002E312D" w:rsidP="002E312D">
      <w:pPr>
        <w:pStyle w:val="ParNoG"/>
        <w:keepLines/>
        <w:tabs>
          <w:tab w:val="clear" w:pos="1701"/>
        </w:tabs>
        <w:rPr>
          <w:lang w:val="fr-FR"/>
        </w:rPr>
      </w:pPr>
      <w:r w:rsidRPr="009F66A2">
        <w:rPr>
          <w:lang w:val="fr-FR"/>
        </w:rPr>
        <w:t>À la trentième session du Sous-Comité d</w:t>
      </w:r>
      <w:r w:rsidR="00C76037">
        <w:rPr>
          <w:lang w:val="fr-FR"/>
        </w:rPr>
        <w:t>’</w:t>
      </w:r>
      <w:r w:rsidRPr="009F66A2">
        <w:rPr>
          <w:lang w:val="fr-FR"/>
        </w:rPr>
        <w:t>experts du SGH, le groupe de travail informel par correspondance chargé des questions pratiques de classification a soumis au Sous-Comité un document informel (INF.16) dans lequel il faisait le point sur les travaux menés en son sein. Les membres du groupe de travail se sont en outre réunis en marge de la session du Sous-Comité pour examiner plus avant les propositions formulées dans ce document, ainsi que deux autres propositions. À la suite de débats menés sur ces questions, le groupe de travail a élaboré les propositions de modifications d</w:t>
      </w:r>
      <w:r w:rsidR="00C76037">
        <w:rPr>
          <w:lang w:val="fr-FR"/>
        </w:rPr>
        <w:t>’</w:t>
      </w:r>
      <w:r w:rsidRPr="009F66A2">
        <w:rPr>
          <w:lang w:val="fr-FR"/>
        </w:rPr>
        <w:t>ordre rédactionnel à apporter au texte du SGH qui sont énoncées dans le présent document de travail.</w:t>
      </w:r>
    </w:p>
    <w:p w:rsidR="002E312D" w:rsidRPr="009F66A2" w:rsidRDefault="002E312D" w:rsidP="002E312D">
      <w:pPr>
        <w:pStyle w:val="HChG"/>
        <w:rPr>
          <w:lang w:val="fr-FR"/>
        </w:rPr>
      </w:pPr>
      <w:r w:rsidRPr="009F66A2">
        <w:rPr>
          <w:lang w:val="fr-FR"/>
        </w:rPr>
        <w:tab/>
      </w:r>
      <w:r w:rsidRPr="009F66A2">
        <w:rPr>
          <w:lang w:val="fr-FR"/>
        </w:rPr>
        <w:tab/>
        <w:t>Proposition</w:t>
      </w:r>
    </w:p>
    <w:p w:rsidR="002E312D" w:rsidRPr="009F66A2" w:rsidRDefault="002E312D" w:rsidP="002E312D">
      <w:pPr>
        <w:pStyle w:val="ParNoG"/>
        <w:tabs>
          <w:tab w:val="clear" w:pos="1701"/>
        </w:tabs>
        <w:rPr>
          <w:lang w:val="fr-FR"/>
        </w:rPr>
      </w:pPr>
      <w:r w:rsidRPr="009F66A2">
        <w:rPr>
          <w:lang w:val="fr-FR"/>
        </w:rPr>
        <w:t>Le groupe de travail par correspondance invite le Sous-Comité à examiner les propositions de modifications d</w:t>
      </w:r>
      <w:r w:rsidR="00C76037">
        <w:rPr>
          <w:lang w:val="fr-FR"/>
        </w:rPr>
        <w:t>’</w:t>
      </w:r>
      <w:r w:rsidRPr="009F66A2">
        <w:rPr>
          <w:lang w:val="fr-FR"/>
        </w:rPr>
        <w:t>ordre rédactionnel à apporter au texte du SGH qui sont énoncées dans l</w:t>
      </w:r>
      <w:r w:rsidR="00C76037">
        <w:rPr>
          <w:lang w:val="fr-FR"/>
        </w:rPr>
        <w:t>’</w:t>
      </w:r>
      <w:r w:rsidRPr="009F66A2">
        <w:rPr>
          <w:lang w:val="fr-FR"/>
        </w:rPr>
        <w:t>annexe au présent document</w:t>
      </w:r>
      <w:r>
        <w:rPr>
          <w:lang w:val="fr-FR"/>
        </w:rPr>
        <w:t xml:space="preserve">. </w:t>
      </w:r>
    </w:p>
    <w:p w:rsidR="002E312D" w:rsidRPr="009F66A2" w:rsidRDefault="002E312D" w:rsidP="002E312D">
      <w:pPr>
        <w:pStyle w:val="ParNoG"/>
        <w:tabs>
          <w:tab w:val="clear" w:pos="1701"/>
        </w:tabs>
        <w:rPr>
          <w:lang w:val="fr-FR"/>
        </w:rPr>
      </w:pPr>
      <w:r w:rsidRPr="009F66A2">
        <w:rPr>
          <w:lang w:val="fr-FR"/>
        </w:rPr>
        <w:t>Compte tenu des propositions de modifications d</w:t>
      </w:r>
      <w:r w:rsidR="00C76037">
        <w:rPr>
          <w:lang w:val="fr-FR"/>
        </w:rPr>
        <w:t>’</w:t>
      </w:r>
      <w:r w:rsidRPr="009F66A2">
        <w:rPr>
          <w:lang w:val="fr-FR"/>
        </w:rPr>
        <w:t>ordre rédactionnel concernant les définitions des dangers pour la santé (point a)), le groupe de travail par correspondance soumettra dans un document informel les changements à apporter</w:t>
      </w:r>
      <w:r>
        <w:rPr>
          <w:lang w:val="fr-FR"/>
        </w:rPr>
        <w:t xml:space="preserve"> au chapitre </w:t>
      </w:r>
      <w:r w:rsidRPr="009F66A2">
        <w:rPr>
          <w:lang w:val="fr-FR"/>
        </w:rPr>
        <w:t>1.2 du SGH pour conformité.</w:t>
      </w:r>
    </w:p>
    <w:p w:rsidR="002E312D" w:rsidRPr="009F66A2" w:rsidRDefault="002E312D" w:rsidP="002E312D">
      <w:pPr>
        <w:pStyle w:val="HChG"/>
        <w:rPr>
          <w:lang w:val="fr-FR"/>
        </w:rPr>
      </w:pPr>
      <w:r w:rsidRPr="009F66A2">
        <w:rPr>
          <w:lang w:val="fr-FR"/>
        </w:rPr>
        <w:br w:type="page"/>
      </w:r>
      <w:r w:rsidRPr="009F66A2">
        <w:rPr>
          <w:lang w:val="fr-FR"/>
        </w:rPr>
        <w:lastRenderedPageBreak/>
        <w:t>Annexe</w:t>
      </w:r>
    </w:p>
    <w:p w:rsidR="002E312D" w:rsidRPr="009F66A2" w:rsidRDefault="002E312D" w:rsidP="002E312D">
      <w:pPr>
        <w:pStyle w:val="HChG"/>
        <w:rPr>
          <w:lang w:val="fr-FR"/>
        </w:rPr>
      </w:pPr>
      <w:r w:rsidRPr="009F66A2">
        <w:rPr>
          <w:lang w:val="fr-FR"/>
        </w:rPr>
        <w:tab/>
      </w:r>
      <w:r w:rsidRPr="009F66A2">
        <w:rPr>
          <w:lang w:val="fr-FR"/>
        </w:rPr>
        <w:tab/>
        <w:t>Propositions de modifications d</w:t>
      </w:r>
      <w:r w:rsidR="00C76037">
        <w:rPr>
          <w:lang w:val="fr-FR"/>
        </w:rPr>
        <w:t>’</w:t>
      </w:r>
      <w:r w:rsidRPr="009F66A2">
        <w:rPr>
          <w:lang w:val="fr-FR"/>
        </w:rPr>
        <w:t>ordre rédactionnel à apporter au texte du SGH</w:t>
      </w:r>
    </w:p>
    <w:p w:rsidR="002E312D" w:rsidRPr="009F66A2" w:rsidRDefault="002E312D" w:rsidP="002E312D">
      <w:pPr>
        <w:pStyle w:val="SingleTxtG"/>
        <w:rPr>
          <w:lang w:val="fr-FR"/>
        </w:rPr>
      </w:pPr>
      <w:r w:rsidRPr="009F66A2">
        <w:rPr>
          <w:b/>
          <w:i/>
          <w:u w:val="single"/>
          <w:lang w:val="fr-FR"/>
        </w:rPr>
        <w:t>Note du secrétaria</w:t>
      </w:r>
      <w:r w:rsidR="00FF22F6">
        <w:rPr>
          <w:b/>
          <w:i/>
          <w:u w:val="single"/>
          <w:lang w:val="fr-FR"/>
        </w:rPr>
        <w:t>t</w:t>
      </w:r>
      <w:r w:rsidRPr="002E312D">
        <w:rPr>
          <w:i/>
          <w:lang w:val="fr-FR"/>
        </w:rPr>
        <w:t> :</w:t>
      </w:r>
      <w:r>
        <w:rPr>
          <w:i/>
          <w:lang w:val="fr-FR"/>
        </w:rPr>
        <w:t xml:space="preserve"> </w:t>
      </w:r>
      <w:r w:rsidRPr="009F66A2">
        <w:rPr>
          <w:i/>
          <w:lang w:val="fr-FR"/>
        </w:rPr>
        <w:t>Les points a), d), g), h) et i) ci-dessous se réfèrent à des points du programme de travail du groupe de correspondance informel adopté par le Sous-Comité à sa vingt-huitième session (voir le document d</w:t>
      </w:r>
      <w:r w:rsidR="00C76037">
        <w:rPr>
          <w:i/>
          <w:lang w:val="fr-FR"/>
        </w:rPr>
        <w:t>’</w:t>
      </w:r>
      <w:r w:rsidRPr="009F66A2">
        <w:rPr>
          <w:i/>
          <w:lang w:val="fr-FR"/>
        </w:rPr>
        <w:t>information INF.32 (</w:t>
      </w:r>
      <w:r>
        <w:rPr>
          <w:i/>
          <w:lang w:val="fr-FR"/>
        </w:rPr>
        <w:t xml:space="preserve">vingt-huitième </w:t>
      </w:r>
      <w:r w:rsidRPr="009F66A2">
        <w:rPr>
          <w:i/>
          <w:lang w:val="fr-FR"/>
        </w:rPr>
        <w:t>session)).</w:t>
      </w:r>
    </w:p>
    <w:p w:rsidR="002E312D" w:rsidRPr="009F66A2" w:rsidRDefault="002E312D" w:rsidP="002E312D">
      <w:pPr>
        <w:pStyle w:val="H1G"/>
        <w:rPr>
          <w:lang w:val="fr-FR"/>
        </w:rPr>
      </w:pPr>
      <w:r w:rsidRPr="009F66A2">
        <w:rPr>
          <w:lang w:val="fr-FR"/>
        </w:rPr>
        <w:tab/>
        <w:t xml:space="preserve">Point </w:t>
      </w:r>
      <w:r>
        <w:rPr>
          <w:lang w:val="fr-FR"/>
        </w:rPr>
        <w:t>a)</w:t>
      </w:r>
      <w:r w:rsidRPr="009F66A2">
        <w:rPr>
          <w:lang w:val="fr-FR"/>
        </w:rPr>
        <w:t xml:space="preserve"> </w:t>
      </w:r>
      <w:r w:rsidRPr="009F66A2">
        <w:rPr>
          <w:lang w:val="fr-FR"/>
        </w:rPr>
        <w:tab/>
        <w:t xml:space="preserve">Examiner les définitions dans chacun des </w:t>
      </w:r>
      <w:r>
        <w:rPr>
          <w:lang w:val="fr-FR"/>
        </w:rPr>
        <w:t>chapitre</w:t>
      </w:r>
      <w:r w:rsidRPr="009F66A2">
        <w:rPr>
          <w:lang w:val="fr-FR"/>
        </w:rPr>
        <w:t>s ayant trait aux dangers pour la santé en vue d</w:t>
      </w:r>
      <w:r w:rsidR="00C76037">
        <w:rPr>
          <w:lang w:val="fr-FR"/>
        </w:rPr>
        <w:t>’</w:t>
      </w:r>
      <w:r w:rsidRPr="009F66A2">
        <w:rPr>
          <w:lang w:val="fr-FR"/>
        </w:rPr>
        <w:t xml:space="preserve">améliorer la cohérence </w:t>
      </w:r>
      <w:r>
        <w:rPr>
          <w:lang w:val="fr-FR"/>
        </w:rPr>
        <w:br/>
      </w:r>
      <w:r w:rsidRPr="009F66A2">
        <w:rPr>
          <w:lang w:val="fr-FR"/>
        </w:rPr>
        <w:t>de</w:t>
      </w:r>
      <w:r>
        <w:rPr>
          <w:lang w:val="fr-FR"/>
        </w:rPr>
        <w:t xml:space="preserve"> </w:t>
      </w:r>
      <w:r w:rsidRPr="009F66A2">
        <w:rPr>
          <w:lang w:val="fr-FR"/>
        </w:rPr>
        <w:t>leur</w:t>
      </w:r>
      <w:r>
        <w:rPr>
          <w:lang w:val="fr-FR"/>
        </w:rPr>
        <w:t xml:space="preserve"> f</w:t>
      </w:r>
      <w:r w:rsidRPr="009F66A2">
        <w:rPr>
          <w:lang w:val="fr-FR"/>
        </w:rPr>
        <w:t xml:space="preserve">ormulation. Par exemple, certaines définitions sont </w:t>
      </w:r>
      <w:r>
        <w:rPr>
          <w:lang w:val="fr-FR"/>
        </w:rPr>
        <w:br/>
      </w:r>
      <w:r w:rsidRPr="009F66A2">
        <w:rPr>
          <w:lang w:val="fr-FR"/>
        </w:rPr>
        <w:t>reprises directement des Lignes directrices de l</w:t>
      </w:r>
      <w:r w:rsidR="00C76037">
        <w:rPr>
          <w:lang w:val="fr-FR"/>
        </w:rPr>
        <w:t>’</w:t>
      </w:r>
      <w:r w:rsidRPr="009F66A2">
        <w:rPr>
          <w:lang w:val="fr-FR"/>
        </w:rPr>
        <w:t xml:space="preserve">OCDE </w:t>
      </w:r>
      <w:r>
        <w:rPr>
          <w:lang w:val="fr-FR"/>
        </w:rPr>
        <w:br/>
      </w:r>
      <w:r w:rsidRPr="009F66A2">
        <w:rPr>
          <w:lang w:val="fr-FR"/>
        </w:rPr>
        <w:t>pour les essais de</w:t>
      </w:r>
      <w:r>
        <w:rPr>
          <w:lang w:val="fr-FR"/>
        </w:rPr>
        <w:t xml:space="preserve"> </w:t>
      </w:r>
      <w:r w:rsidRPr="009F66A2">
        <w:rPr>
          <w:lang w:val="fr-FR"/>
        </w:rPr>
        <w:t>produits chimiques, tandis que d</w:t>
      </w:r>
      <w:r w:rsidR="00C76037">
        <w:rPr>
          <w:lang w:val="fr-FR"/>
        </w:rPr>
        <w:t>’</w:t>
      </w:r>
      <w:r w:rsidRPr="009F66A2">
        <w:rPr>
          <w:lang w:val="fr-FR"/>
        </w:rPr>
        <w:t xml:space="preserve">autres </w:t>
      </w:r>
      <w:r>
        <w:rPr>
          <w:lang w:val="fr-FR"/>
        </w:rPr>
        <w:br/>
      </w:r>
      <w:r w:rsidRPr="009F66A2">
        <w:rPr>
          <w:lang w:val="fr-FR"/>
        </w:rPr>
        <w:t>sont plus générales (par</w:t>
      </w:r>
      <w:r>
        <w:rPr>
          <w:lang w:val="fr-FR"/>
        </w:rPr>
        <w:t xml:space="preserve"> </w:t>
      </w:r>
      <w:r w:rsidRPr="009F66A2">
        <w:rPr>
          <w:lang w:val="fr-FR"/>
        </w:rPr>
        <w:t xml:space="preserve">exemple, elles ne font pas référence </w:t>
      </w:r>
      <w:r>
        <w:rPr>
          <w:lang w:val="fr-FR"/>
        </w:rPr>
        <w:br/>
      </w:r>
      <w:r w:rsidRPr="009F66A2">
        <w:rPr>
          <w:lang w:val="fr-FR"/>
        </w:rPr>
        <w:t>à des essais particuliers)</w:t>
      </w:r>
    </w:p>
    <w:p w:rsidR="002E312D" w:rsidRPr="009F66A2" w:rsidRDefault="002E312D" w:rsidP="002E312D">
      <w:pPr>
        <w:pStyle w:val="H23G"/>
        <w:rPr>
          <w:lang w:val="fr-FR"/>
        </w:rPr>
      </w:pPr>
      <w:r w:rsidRPr="009F66A2">
        <w:rPr>
          <w:lang w:val="fr-FR"/>
        </w:rPr>
        <w:tab/>
      </w:r>
      <w:r w:rsidRPr="009F66A2">
        <w:rPr>
          <w:lang w:val="fr-FR"/>
        </w:rPr>
        <w:tab/>
      </w:r>
      <w:r>
        <w:rPr>
          <w:lang w:val="fr-FR"/>
        </w:rPr>
        <w:t>Chapitre</w:t>
      </w:r>
      <w:r w:rsidRPr="009F66A2">
        <w:rPr>
          <w:lang w:val="fr-FR"/>
        </w:rPr>
        <w:t xml:space="preserve"> 3.1 </w:t>
      </w:r>
    </w:p>
    <w:p w:rsidR="002E312D" w:rsidRPr="00EE61C3" w:rsidRDefault="00847BD8" w:rsidP="002E312D">
      <w:pPr>
        <w:pStyle w:val="SingleTxtG"/>
        <w:rPr>
          <w:lang w:val="fr-FR"/>
        </w:rPr>
      </w:pPr>
      <w:bookmarkStart w:id="1" w:name="_renumber"/>
      <w:bookmarkEnd w:id="1"/>
      <w:r w:rsidRPr="00847BD8">
        <w:rPr>
          <w:i/>
          <w:lang w:val="fr-FR"/>
        </w:rPr>
        <w:t xml:space="preserve">Paragraphe </w:t>
      </w:r>
      <w:r w:rsidR="002E312D" w:rsidRPr="00847BD8">
        <w:rPr>
          <w:i/>
          <w:lang w:val="fr-FR"/>
        </w:rPr>
        <w:t>3.1.1</w:t>
      </w:r>
      <w:r w:rsidR="002E312D" w:rsidRPr="00EE61C3">
        <w:rPr>
          <w:lang w:val="fr-FR"/>
        </w:rPr>
        <w:t xml:space="preserve">, </w:t>
      </w:r>
      <w:r w:rsidR="002E312D" w:rsidRPr="00847BD8">
        <w:rPr>
          <w:lang w:val="fr-FR"/>
        </w:rPr>
        <w:t>modifier</w:t>
      </w:r>
      <w:r w:rsidR="002E312D" w:rsidRPr="00EE61C3">
        <w:rPr>
          <w:lang w:val="fr-FR"/>
        </w:rPr>
        <w:t xml:space="preserve"> la définition de « </w:t>
      </w:r>
      <w:r w:rsidR="002E312D" w:rsidRPr="00EF754F">
        <w:rPr>
          <w:i/>
          <w:lang w:val="fr-FR"/>
        </w:rPr>
        <w:t>toxicité aiguë</w:t>
      </w:r>
      <w:r w:rsidR="002E312D" w:rsidRPr="00EE61C3">
        <w:rPr>
          <w:lang w:val="fr-FR"/>
        </w:rPr>
        <w:t> » comme suit :</w:t>
      </w:r>
    </w:p>
    <w:p w:rsidR="002E312D" w:rsidRPr="009F66A2" w:rsidRDefault="002E312D" w:rsidP="00254BCF">
      <w:pPr>
        <w:pStyle w:val="SingleTxtG"/>
        <w:tabs>
          <w:tab w:val="left" w:pos="2268"/>
        </w:tabs>
        <w:ind w:left="2268"/>
        <w:rPr>
          <w:lang w:val="fr-FR"/>
        </w:rPr>
      </w:pPr>
      <w:r>
        <w:rPr>
          <w:lang w:val="fr-FR"/>
        </w:rPr>
        <w:t>« </w:t>
      </w:r>
      <w:r w:rsidRPr="009F66A2">
        <w:rPr>
          <w:lang w:val="fr-FR"/>
        </w:rPr>
        <w:t xml:space="preserve">La </w:t>
      </w:r>
      <w:r w:rsidRPr="009F66A2">
        <w:rPr>
          <w:i/>
          <w:iCs/>
          <w:lang w:val="fr-FR"/>
        </w:rPr>
        <w:t xml:space="preserve">toxicité aiguë </w:t>
      </w:r>
      <w:r w:rsidRPr="009F66A2">
        <w:rPr>
          <w:lang w:val="fr-FR"/>
        </w:rPr>
        <w:t>consiste en des effets indésirables graves (y compris le décès) qui se manifestent après administration par voie orale ou cutanée d</w:t>
      </w:r>
      <w:r w:rsidR="00C76037">
        <w:rPr>
          <w:lang w:val="fr-FR"/>
        </w:rPr>
        <w:t>’</w:t>
      </w:r>
      <w:r w:rsidRPr="009F66A2">
        <w:rPr>
          <w:lang w:val="fr-FR"/>
        </w:rPr>
        <w:t>une dose unique ou suite à une exposition par inhalation d</w:t>
      </w:r>
      <w:r w:rsidR="00C76037">
        <w:rPr>
          <w:lang w:val="fr-FR"/>
        </w:rPr>
        <w:t>’</w:t>
      </w:r>
      <w:r w:rsidRPr="009F66A2">
        <w:rPr>
          <w:lang w:val="fr-FR"/>
        </w:rPr>
        <w:t>une substance ou d</w:t>
      </w:r>
      <w:r w:rsidR="00C76037">
        <w:rPr>
          <w:lang w:val="fr-FR"/>
        </w:rPr>
        <w:t>’</w:t>
      </w:r>
      <w:r w:rsidRPr="009F66A2">
        <w:rPr>
          <w:lang w:val="fr-FR"/>
        </w:rPr>
        <w:t>un mélange. ».</w:t>
      </w:r>
    </w:p>
    <w:p w:rsidR="002E312D" w:rsidRPr="00EE61C3" w:rsidRDefault="00847BD8" w:rsidP="002E312D">
      <w:pPr>
        <w:pStyle w:val="SingleTxtG"/>
        <w:tabs>
          <w:tab w:val="left" w:pos="2268"/>
        </w:tabs>
        <w:rPr>
          <w:lang w:val="fr-FR"/>
        </w:rPr>
      </w:pPr>
      <w:r w:rsidRPr="00847BD8">
        <w:rPr>
          <w:i/>
          <w:lang w:val="fr-FR"/>
        </w:rPr>
        <w:t xml:space="preserve">Paragraphe </w:t>
      </w:r>
      <w:r w:rsidR="002E312D" w:rsidRPr="00847BD8">
        <w:rPr>
          <w:i/>
          <w:lang w:val="fr-FR"/>
        </w:rPr>
        <w:t>3.1.2.1</w:t>
      </w:r>
      <w:r w:rsidR="002E312D" w:rsidRPr="00EE61C3">
        <w:rPr>
          <w:lang w:val="fr-FR"/>
        </w:rPr>
        <w:t xml:space="preserve">, </w:t>
      </w:r>
      <w:r w:rsidR="002E312D" w:rsidRPr="00847BD8">
        <w:rPr>
          <w:lang w:val="fr-FR"/>
        </w:rPr>
        <w:t>modifier</w:t>
      </w:r>
      <w:r w:rsidR="002E312D" w:rsidRPr="00EE61C3">
        <w:rPr>
          <w:lang w:val="fr-FR"/>
        </w:rPr>
        <w:t xml:space="preserve"> comme suit (</w:t>
      </w:r>
      <w:r w:rsidR="002E312D" w:rsidRPr="00EE61C3">
        <w:rPr>
          <w:i/>
          <w:iCs/>
          <w:lang w:val="fr-FR"/>
        </w:rPr>
        <w:t xml:space="preserve">les ajouts sont </w:t>
      </w:r>
      <w:r w:rsidR="002E312D" w:rsidRPr="00EE61C3">
        <w:rPr>
          <w:i/>
          <w:iCs/>
          <w:u w:val="single"/>
          <w:lang w:val="fr-FR"/>
        </w:rPr>
        <w:t>soulignés</w:t>
      </w:r>
      <w:r w:rsidR="002E312D" w:rsidRPr="00EE61C3">
        <w:rPr>
          <w:lang w:val="fr-FR"/>
        </w:rPr>
        <w:t>) :</w:t>
      </w:r>
    </w:p>
    <w:p w:rsidR="002E312D" w:rsidRPr="009F66A2" w:rsidRDefault="002E312D" w:rsidP="00254BCF">
      <w:pPr>
        <w:pStyle w:val="SingleTxtG"/>
        <w:tabs>
          <w:tab w:val="left" w:pos="2268"/>
        </w:tabs>
        <w:ind w:left="2268"/>
        <w:rPr>
          <w:lang w:val="fr-FR"/>
        </w:rPr>
      </w:pPr>
      <w:r w:rsidRPr="009F66A2">
        <w:rPr>
          <w:lang w:val="fr-FR"/>
        </w:rPr>
        <w:t>« Les substances peuvent être classées dans une des cinq catégories de danger de toxicité aiguë par voie orale ou cutanée ou par inhalation selon des valeurs seuil comme le montre le tableau ci-dessous. Les valeurs de toxicité aiguë sont exprimées en valeurs d</w:t>
      </w:r>
      <w:r w:rsidR="00C76037">
        <w:rPr>
          <w:lang w:val="fr-FR"/>
        </w:rPr>
        <w:t>’</w:t>
      </w:r>
      <w:r w:rsidRPr="009F66A2">
        <w:rPr>
          <w:lang w:val="fr-FR"/>
        </w:rPr>
        <w:t>estimation de la DL</w:t>
      </w:r>
      <w:r w:rsidRPr="009F66A2">
        <w:rPr>
          <w:vertAlign w:val="subscript"/>
          <w:lang w:val="fr-FR"/>
        </w:rPr>
        <w:t>50</w:t>
      </w:r>
      <w:r w:rsidRPr="009F66A2">
        <w:rPr>
          <w:lang w:val="fr-FR"/>
        </w:rPr>
        <w:t xml:space="preserve"> (orale, cutanée) ou de la CL</w:t>
      </w:r>
      <w:r w:rsidRPr="009F66A2">
        <w:rPr>
          <w:vertAlign w:val="subscript"/>
          <w:lang w:val="fr-FR"/>
        </w:rPr>
        <w:t xml:space="preserve">50 </w:t>
      </w:r>
      <w:r w:rsidRPr="009F66A2">
        <w:rPr>
          <w:lang w:val="fr-FR"/>
        </w:rPr>
        <w:t>(inhalation), ou en estimations de la toxicité aiguë (ETA)</w:t>
      </w:r>
      <w:r w:rsidR="00EF754F">
        <w:rPr>
          <w:lang w:val="fr-FR"/>
        </w:rPr>
        <w:t>.</w:t>
      </w:r>
      <w:r w:rsidRPr="009F66A2">
        <w:rPr>
          <w:lang w:val="fr-FR"/>
        </w:rPr>
        <w:t xml:space="preserve"> </w:t>
      </w:r>
      <w:r w:rsidRPr="009F66A2">
        <w:rPr>
          <w:u w:val="single"/>
          <w:lang w:val="fr-FR"/>
        </w:rPr>
        <w:t xml:space="preserve">Certaines méthodes </w:t>
      </w:r>
      <w:r w:rsidRPr="009F66A2">
        <w:rPr>
          <w:i/>
          <w:iCs/>
          <w:u w:val="single"/>
          <w:lang w:val="fr-FR"/>
        </w:rPr>
        <w:t xml:space="preserve">in vivo </w:t>
      </w:r>
      <w:r w:rsidRPr="009F66A2">
        <w:rPr>
          <w:u w:val="single"/>
          <w:lang w:val="fr-FR"/>
        </w:rPr>
        <w:t>permettent de détermine</w:t>
      </w:r>
      <w:r w:rsidR="00EF754F">
        <w:rPr>
          <w:u w:val="single"/>
          <w:lang w:val="fr-FR"/>
        </w:rPr>
        <w:t>r</w:t>
      </w:r>
      <w:r w:rsidRPr="009F66A2">
        <w:rPr>
          <w:u w:val="single"/>
          <w:lang w:val="fr-FR"/>
        </w:rPr>
        <w:t xml:space="preserve"> directement les valeurs D</w:t>
      </w:r>
      <w:r>
        <w:rPr>
          <w:u w:val="single"/>
          <w:lang w:val="fr-FR"/>
        </w:rPr>
        <w:t>L</w:t>
      </w:r>
      <w:r w:rsidRPr="009F66A2">
        <w:rPr>
          <w:u w:val="single"/>
          <w:vertAlign w:val="subscript"/>
          <w:lang w:val="fr-FR"/>
        </w:rPr>
        <w:t>50</w:t>
      </w:r>
      <w:r>
        <w:rPr>
          <w:u w:val="single"/>
          <w:lang w:val="fr-FR"/>
        </w:rPr>
        <w:t>/</w:t>
      </w:r>
      <w:r w:rsidRPr="009F66A2">
        <w:rPr>
          <w:u w:val="single"/>
          <w:lang w:val="fr-FR"/>
        </w:rPr>
        <w:t>C</w:t>
      </w:r>
      <w:r>
        <w:rPr>
          <w:u w:val="single"/>
          <w:lang w:val="fr-FR"/>
        </w:rPr>
        <w:t>L</w:t>
      </w:r>
      <w:r w:rsidRPr="009F66A2">
        <w:rPr>
          <w:u w:val="single"/>
          <w:vertAlign w:val="subscript"/>
          <w:lang w:val="fr-FR"/>
        </w:rPr>
        <w:t>50</w:t>
      </w:r>
      <w:r w:rsidRPr="009F66A2">
        <w:rPr>
          <w:u w:val="single"/>
          <w:lang w:val="fr-FR"/>
        </w:rPr>
        <w:t>, mais d</w:t>
      </w:r>
      <w:r w:rsidR="00C76037">
        <w:rPr>
          <w:u w:val="single"/>
          <w:lang w:val="fr-FR"/>
        </w:rPr>
        <w:t>’</w:t>
      </w:r>
      <w:r w:rsidRPr="009F66A2">
        <w:rPr>
          <w:u w:val="single"/>
          <w:lang w:val="fr-FR"/>
        </w:rPr>
        <w:t xml:space="preserve">autres méthodes </w:t>
      </w:r>
      <w:r w:rsidRPr="009F66A2">
        <w:rPr>
          <w:i/>
          <w:iCs/>
          <w:u w:val="single"/>
          <w:lang w:val="fr-FR"/>
        </w:rPr>
        <w:t xml:space="preserve">in vivo </w:t>
      </w:r>
      <w:r w:rsidRPr="009F66A2">
        <w:rPr>
          <w:u w:val="single"/>
          <w:lang w:val="fr-FR"/>
        </w:rPr>
        <w:t>plus récentes (qui nécessitent d</w:t>
      </w:r>
      <w:r w:rsidR="00C76037">
        <w:rPr>
          <w:u w:val="single"/>
          <w:lang w:val="fr-FR"/>
        </w:rPr>
        <w:t>’</w:t>
      </w:r>
      <w:r w:rsidRPr="009F66A2">
        <w:rPr>
          <w:u w:val="single"/>
          <w:lang w:val="fr-FR"/>
        </w:rPr>
        <w:t>utiliser un nombre moindre d</w:t>
      </w:r>
      <w:r w:rsidR="00C76037">
        <w:rPr>
          <w:u w:val="single"/>
          <w:lang w:val="fr-FR"/>
        </w:rPr>
        <w:t>’</w:t>
      </w:r>
      <w:r w:rsidRPr="009F66A2">
        <w:rPr>
          <w:u w:val="single"/>
          <w:lang w:val="fr-FR"/>
        </w:rPr>
        <w:t>animaux) considèrent d</w:t>
      </w:r>
      <w:r w:rsidR="00C76037">
        <w:rPr>
          <w:u w:val="single"/>
          <w:lang w:val="fr-FR"/>
        </w:rPr>
        <w:t>’</w:t>
      </w:r>
      <w:r w:rsidRPr="009F66A2">
        <w:rPr>
          <w:u w:val="single"/>
          <w:lang w:val="fr-FR"/>
        </w:rPr>
        <w:t>autres indicateurs de toxicité aiguë, tels que des signes cliniques graves de toxicité, qui sont utilisés par référence pour déterminer la catégorie de danger.</w:t>
      </w:r>
      <w:r w:rsidRPr="002E312D">
        <w:rPr>
          <w:lang w:val="fr-FR"/>
        </w:rPr>
        <w:t xml:space="preserve"> </w:t>
      </w:r>
      <w:r w:rsidRPr="009F66A2">
        <w:rPr>
          <w:lang w:val="fr-FR"/>
        </w:rPr>
        <w:t>Le tableau 3.1.1 est suivi de notes explicatives. ».</w:t>
      </w:r>
    </w:p>
    <w:p w:rsidR="002E312D" w:rsidRPr="009F66A2" w:rsidRDefault="002E312D" w:rsidP="002E312D">
      <w:pPr>
        <w:pStyle w:val="H23G"/>
        <w:rPr>
          <w:lang w:val="fr-FR"/>
        </w:rPr>
      </w:pPr>
      <w:r w:rsidRPr="009F66A2">
        <w:rPr>
          <w:lang w:val="fr-FR"/>
        </w:rPr>
        <w:tab/>
      </w:r>
      <w:r w:rsidRPr="009F66A2">
        <w:rPr>
          <w:lang w:val="fr-FR"/>
        </w:rPr>
        <w:tab/>
      </w:r>
      <w:r>
        <w:rPr>
          <w:lang w:val="fr-FR"/>
        </w:rPr>
        <w:t>Chapitre</w:t>
      </w:r>
      <w:r w:rsidRPr="009F66A2">
        <w:rPr>
          <w:lang w:val="fr-FR"/>
        </w:rPr>
        <w:t xml:space="preserve"> 3.2</w:t>
      </w:r>
    </w:p>
    <w:p w:rsidR="002E312D" w:rsidRPr="009F66A2" w:rsidRDefault="00847BD8" w:rsidP="002E312D">
      <w:pPr>
        <w:pStyle w:val="SingleTxtG"/>
        <w:rPr>
          <w:lang w:val="fr-FR"/>
        </w:rPr>
      </w:pPr>
      <w:r w:rsidRPr="00847BD8">
        <w:rPr>
          <w:i/>
          <w:lang w:val="fr-FR"/>
        </w:rPr>
        <w:t xml:space="preserve">Paragraphe </w:t>
      </w:r>
      <w:r w:rsidR="002E312D" w:rsidRPr="00847BD8">
        <w:rPr>
          <w:i/>
          <w:lang w:val="fr-FR"/>
        </w:rPr>
        <w:t>3.2.1.1</w:t>
      </w:r>
      <w:r w:rsidR="002E312D" w:rsidRPr="00EE61C3">
        <w:rPr>
          <w:lang w:val="fr-FR"/>
        </w:rPr>
        <w:t xml:space="preserve">, </w:t>
      </w:r>
      <w:r w:rsidR="002E312D" w:rsidRPr="00847BD8">
        <w:rPr>
          <w:lang w:val="fr-FR"/>
        </w:rPr>
        <w:t xml:space="preserve">modifier </w:t>
      </w:r>
      <w:r w:rsidR="002E312D" w:rsidRPr="009F66A2">
        <w:rPr>
          <w:lang w:val="fr-FR"/>
        </w:rPr>
        <w:t>comme suit</w:t>
      </w:r>
      <w:r w:rsidR="002E312D">
        <w:rPr>
          <w:lang w:val="fr-FR"/>
        </w:rPr>
        <w:t> :</w:t>
      </w:r>
    </w:p>
    <w:p w:rsidR="002E312D" w:rsidRPr="009F66A2" w:rsidRDefault="002E312D" w:rsidP="00254BCF">
      <w:pPr>
        <w:pStyle w:val="SingleTxtG"/>
        <w:tabs>
          <w:tab w:val="left" w:pos="2268"/>
        </w:tabs>
        <w:ind w:left="2268"/>
        <w:rPr>
          <w:lang w:val="fr-FR"/>
        </w:rPr>
      </w:pPr>
      <w:r w:rsidRPr="009F66A2">
        <w:rPr>
          <w:lang w:val="fr-FR"/>
        </w:rPr>
        <w:t xml:space="preserve">« La </w:t>
      </w:r>
      <w:r w:rsidRPr="009F66A2">
        <w:rPr>
          <w:i/>
          <w:iCs/>
          <w:lang w:val="fr-FR"/>
        </w:rPr>
        <w:t>corrosion cutanée</w:t>
      </w:r>
      <w:r w:rsidRPr="009F66A2">
        <w:rPr>
          <w:lang w:val="fr-FR"/>
        </w:rPr>
        <w:t xml:space="preserve"> désigne des lésions cutanées irréversibles, telles qu</w:t>
      </w:r>
      <w:r w:rsidR="00C76037">
        <w:rPr>
          <w:lang w:val="fr-FR"/>
        </w:rPr>
        <w:t>’</w:t>
      </w:r>
      <w:r w:rsidRPr="009F66A2">
        <w:rPr>
          <w:lang w:val="fr-FR"/>
        </w:rPr>
        <w:t>une nécrose visible au travers de l</w:t>
      </w:r>
      <w:r w:rsidR="00C76037">
        <w:rPr>
          <w:lang w:val="fr-FR"/>
        </w:rPr>
        <w:t>’</w:t>
      </w:r>
      <w:r w:rsidRPr="009F66A2">
        <w:rPr>
          <w:lang w:val="fr-FR"/>
        </w:rPr>
        <w:t>épiderme et dans le derme, à la suite de l</w:t>
      </w:r>
      <w:r w:rsidR="00C76037">
        <w:rPr>
          <w:lang w:val="fr-FR"/>
        </w:rPr>
        <w:t>’</w:t>
      </w:r>
      <w:r w:rsidRPr="009F66A2">
        <w:rPr>
          <w:lang w:val="fr-FR"/>
        </w:rPr>
        <w:t>exposition à une substance ou un mélange.</w:t>
      </w:r>
    </w:p>
    <w:p w:rsidR="002E312D" w:rsidRPr="009F66A2" w:rsidRDefault="002E312D" w:rsidP="00254BCF">
      <w:pPr>
        <w:pStyle w:val="SingleTxtG"/>
        <w:tabs>
          <w:tab w:val="left" w:pos="2268"/>
        </w:tabs>
        <w:ind w:left="2268"/>
        <w:rPr>
          <w:sz w:val="24"/>
          <w:szCs w:val="24"/>
          <w:lang w:val="fr-FR"/>
        </w:rPr>
      </w:pPr>
      <w:r w:rsidRPr="009F66A2">
        <w:rPr>
          <w:lang w:val="fr-FR"/>
        </w:rPr>
        <w:t>L</w:t>
      </w:r>
      <w:r w:rsidR="00C76037">
        <w:rPr>
          <w:lang w:val="fr-FR"/>
        </w:rPr>
        <w:t>’</w:t>
      </w:r>
      <w:r w:rsidRPr="009F66A2">
        <w:rPr>
          <w:i/>
          <w:iCs/>
          <w:lang w:val="fr-FR"/>
        </w:rPr>
        <w:t>irritation cutanée</w:t>
      </w:r>
      <w:r w:rsidRPr="009F66A2">
        <w:rPr>
          <w:lang w:val="fr-FR"/>
        </w:rPr>
        <w:t xml:space="preserve"> correspond à l</w:t>
      </w:r>
      <w:r w:rsidR="00C76037">
        <w:rPr>
          <w:lang w:val="fr-FR"/>
        </w:rPr>
        <w:t>’</w:t>
      </w:r>
      <w:r w:rsidRPr="009F66A2">
        <w:rPr>
          <w:lang w:val="fr-FR"/>
        </w:rPr>
        <w:t xml:space="preserve">apparition sur la peau de lésions réversibles à la suite de </w:t>
      </w:r>
      <w:r>
        <w:rPr>
          <w:lang w:val="fr-FR"/>
        </w:rPr>
        <w:t>l</w:t>
      </w:r>
      <w:r w:rsidR="00C76037">
        <w:rPr>
          <w:lang w:val="fr-FR"/>
        </w:rPr>
        <w:t>’</w:t>
      </w:r>
      <w:r w:rsidRPr="009F66A2">
        <w:rPr>
          <w:lang w:val="fr-FR"/>
        </w:rPr>
        <w:t>exposition à une substance ou un mélange. ».</w:t>
      </w:r>
    </w:p>
    <w:p w:rsidR="002E312D" w:rsidRPr="009F66A2" w:rsidRDefault="002E312D" w:rsidP="002E312D">
      <w:pPr>
        <w:pStyle w:val="H23G"/>
        <w:rPr>
          <w:lang w:val="fr-FR"/>
        </w:rPr>
      </w:pPr>
      <w:r w:rsidRPr="009F66A2">
        <w:rPr>
          <w:lang w:val="fr-FR"/>
        </w:rPr>
        <w:tab/>
      </w:r>
      <w:r w:rsidRPr="009F66A2">
        <w:rPr>
          <w:lang w:val="fr-FR"/>
        </w:rPr>
        <w:tab/>
      </w:r>
      <w:r>
        <w:rPr>
          <w:lang w:val="fr-FR"/>
        </w:rPr>
        <w:t>Chapitre</w:t>
      </w:r>
      <w:r w:rsidRPr="009F66A2">
        <w:rPr>
          <w:lang w:val="fr-FR"/>
        </w:rPr>
        <w:t xml:space="preserve"> 3.3</w:t>
      </w:r>
    </w:p>
    <w:p w:rsidR="002E312D" w:rsidRPr="00767D64" w:rsidRDefault="00847BD8" w:rsidP="002E312D">
      <w:pPr>
        <w:pStyle w:val="SingleTxtG"/>
        <w:keepNext/>
        <w:rPr>
          <w:lang w:val="fr-FR"/>
        </w:rPr>
      </w:pPr>
      <w:r w:rsidRPr="00847BD8">
        <w:rPr>
          <w:i/>
          <w:lang w:val="fr-FR"/>
        </w:rPr>
        <w:t xml:space="preserve">Paragraphe </w:t>
      </w:r>
      <w:r w:rsidR="002E312D" w:rsidRPr="00847BD8">
        <w:rPr>
          <w:i/>
          <w:lang w:val="fr-FR"/>
        </w:rPr>
        <w:t>3.3.1.1</w:t>
      </w:r>
      <w:r w:rsidR="002E312D" w:rsidRPr="00767D64">
        <w:rPr>
          <w:lang w:val="fr-FR"/>
        </w:rPr>
        <w:t xml:space="preserve">, </w:t>
      </w:r>
      <w:r w:rsidR="002E312D" w:rsidRPr="00847BD8">
        <w:rPr>
          <w:lang w:val="fr-FR"/>
        </w:rPr>
        <w:t>modifier</w:t>
      </w:r>
      <w:r w:rsidR="002E312D" w:rsidRPr="00767D64">
        <w:rPr>
          <w:lang w:val="fr-FR"/>
        </w:rPr>
        <w:t xml:space="preserve"> comme suit</w:t>
      </w:r>
      <w:r w:rsidR="002E312D">
        <w:rPr>
          <w:lang w:val="fr-FR"/>
        </w:rPr>
        <w:t> :</w:t>
      </w:r>
    </w:p>
    <w:p w:rsidR="002E312D" w:rsidRPr="009F66A2" w:rsidRDefault="002E312D" w:rsidP="00B35797">
      <w:pPr>
        <w:pStyle w:val="SingleTxtG"/>
        <w:tabs>
          <w:tab w:val="left" w:pos="2268"/>
        </w:tabs>
        <w:ind w:left="2268"/>
        <w:rPr>
          <w:lang w:val="fr-FR"/>
        </w:rPr>
      </w:pPr>
      <w:r w:rsidRPr="009F66A2">
        <w:rPr>
          <w:lang w:val="fr-FR"/>
        </w:rPr>
        <w:t xml:space="preserve">« Les </w:t>
      </w:r>
      <w:r w:rsidRPr="009F66A2">
        <w:rPr>
          <w:i/>
          <w:iCs/>
          <w:lang w:val="fr-FR"/>
        </w:rPr>
        <w:t xml:space="preserve">lésions oculaires graves </w:t>
      </w:r>
      <w:r w:rsidRPr="009F66A2">
        <w:rPr>
          <w:lang w:val="fr-FR"/>
        </w:rPr>
        <w:t xml:space="preserve">sont des lésions des tissus oculaires ou une dégradation </w:t>
      </w:r>
      <w:r>
        <w:rPr>
          <w:lang w:val="fr-FR"/>
        </w:rPr>
        <w:t>grave</w:t>
      </w:r>
      <w:r w:rsidRPr="009F66A2">
        <w:rPr>
          <w:lang w:val="fr-FR"/>
        </w:rPr>
        <w:t xml:space="preserve"> de la vue faisant suite à l</w:t>
      </w:r>
      <w:r w:rsidR="00C76037">
        <w:rPr>
          <w:lang w:val="fr-FR"/>
        </w:rPr>
        <w:t>’</w:t>
      </w:r>
      <w:r w:rsidRPr="009F66A2">
        <w:rPr>
          <w:lang w:val="fr-FR"/>
        </w:rPr>
        <w:t>exposition de l</w:t>
      </w:r>
      <w:r w:rsidR="00C76037">
        <w:rPr>
          <w:lang w:val="fr-FR"/>
        </w:rPr>
        <w:t>’</w:t>
      </w:r>
      <w:r w:rsidRPr="009F66A2">
        <w:rPr>
          <w:lang w:val="fr-FR"/>
        </w:rPr>
        <w:t>œil à une substance ou un mélange et qui ne sont pas totalement réversibles.</w:t>
      </w:r>
    </w:p>
    <w:p w:rsidR="002E312D" w:rsidRPr="009F66A2" w:rsidRDefault="002E312D" w:rsidP="00B35797">
      <w:pPr>
        <w:pStyle w:val="SingleTxtG"/>
        <w:tabs>
          <w:tab w:val="left" w:pos="2268"/>
        </w:tabs>
        <w:ind w:left="2268"/>
        <w:rPr>
          <w:b/>
          <w:lang w:val="fr-FR"/>
        </w:rPr>
      </w:pPr>
      <w:r w:rsidRPr="009F66A2">
        <w:rPr>
          <w:lang w:val="fr-FR"/>
        </w:rPr>
        <w:t>L</w:t>
      </w:r>
      <w:r w:rsidR="00C76037">
        <w:rPr>
          <w:lang w:val="fr-FR"/>
        </w:rPr>
        <w:t>’</w:t>
      </w:r>
      <w:r w:rsidRPr="009F66A2">
        <w:rPr>
          <w:i/>
          <w:iCs/>
          <w:lang w:val="fr-FR"/>
        </w:rPr>
        <w:t>irritation oculaire</w:t>
      </w:r>
      <w:r w:rsidRPr="009F66A2">
        <w:rPr>
          <w:lang w:val="fr-FR"/>
        </w:rPr>
        <w:t xml:space="preserve"> consiste en une atteinte de l</w:t>
      </w:r>
      <w:r w:rsidR="00C76037">
        <w:rPr>
          <w:lang w:val="fr-FR"/>
        </w:rPr>
        <w:t>’</w:t>
      </w:r>
      <w:r w:rsidRPr="009F66A2">
        <w:rPr>
          <w:lang w:val="fr-FR"/>
        </w:rPr>
        <w:t>œil faisant suite à l</w:t>
      </w:r>
      <w:r w:rsidR="00C76037">
        <w:rPr>
          <w:lang w:val="fr-FR"/>
        </w:rPr>
        <w:t>’</w:t>
      </w:r>
      <w:r w:rsidRPr="009F66A2">
        <w:rPr>
          <w:lang w:val="fr-FR"/>
        </w:rPr>
        <w:t>exposition de celui-ci à une substance ou un mélange et qui est totalement réversible. ».</w:t>
      </w:r>
    </w:p>
    <w:p w:rsidR="002E312D" w:rsidRPr="009F66A2" w:rsidRDefault="002E312D" w:rsidP="002E312D">
      <w:pPr>
        <w:pStyle w:val="H23G"/>
        <w:rPr>
          <w:lang w:val="fr-FR"/>
        </w:rPr>
      </w:pPr>
      <w:r w:rsidRPr="009F66A2">
        <w:rPr>
          <w:lang w:val="fr-FR"/>
        </w:rPr>
        <w:tab/>
      </w:r>
      <w:r w:rsidRPr="009F66A2">
        <w:rPr>
          <w:lang w:val="fr-FR"/>
        </w:rPr>
        <w:tab/>
      </w:r>
      <w:r>
        <w:rPr>
          <w:lang w:val="fr-FR"/>
        </w:rPr>
        <w:t>Chapitre</w:t>
      </w:r>
      <w:r w:rsidRPr="009F66A2">
        <w:rPr>
          <w:lang w:val="fr-FR"/>
        </w:rPr>
        <w:t xml:space="preserve"> 3.4 </w:t>
      </w:r>
    </w:p>
    <w:p w:rsidR="002E312D" w:rsidRPr="00767D64" w:rsidRDefault="00847BD8" w:rsidP="002E312D">
      <w:pPr>
        <w:pStyle w:val="SingleTxtG"/>
        <w:keepNext/>
        <w:keepLines/>
        <w:rPr>
          <w:lang w:val="fr-FR"/>
        </w:rPr>
      </w:pPr>
      <w:r w:rsidRPr="00847BD8">
        <w:rPr>
          <w:i/>
          <w:lang w:val="fr-FR"/>
        </w:rPr>
        <w:t xml:space="preserve">Paragraphe </w:t>
      </w:r>
      <w:r w:rsidR="002E312D" w:rsidRPr="00847BD8">
        <w:rPr>
          <w:i/>
          <w:lang w:val="fr-FR"/>
        </w:rPr>
        <w:t>3.4.1.1</w:t>
      </w:r>
      <w:r w:rsidR="002E312D" w:rsidRPr="00767D64">
        <w:rPr>
          <w:lang w:val="fr-FR"/>
        </w:rPr>
        <w:t xml:space="preserve">, </w:t>
      </w:r>
      <w:r w:rsidR="002E312D" w:rsidRPr="00847BD8">
        <w:rPr>
          <w:lang w:val="fr-FR"/>
        </w:rPr>
        <w:t xml:space="preserve">modifier </w:t>
      </w:r>
      <w:r w:rsidR="002E312D" w:rsidRPr="00767D64">
        <w:rPr>
          <w:lang w:val="fr-FR"/>
        </w:rPr>
        <w:t>comme suit</w:t>
      </w:r>
      <w:r w:rsidR="002E312D">
        <w:rPr>
          <w:lang w:val="fr-FR"/>
        </w:rPr>
        <w:t> :</w:t>
      </w:r>
    </w:p>
    <w:p w:rsidR="002E312D" w:rsidRPr="009F66A2" w:rsidRDefault="002E312D" w:rsidP="00B35797">
      <w:pPr>
        <w:pStyle w:val="SingleTxtG"/>
        <w:tabs>
          <w:tab w:val="left" w:pos="2268"/>
        </w:tabs>
        <w:ind w:left="2268"/>
        <w:rPr>
          <w:lang w:val="fr-FR"/>
        </w:rPr>
      </w:pPr>
      <w:r w:rsidRPr="009F66A2">
        <w:rPr>
          <w:iCs/>
          <w:lang w:val="fr-FR"/>
        </w:rPr>
        <w:t xml:space="preserve">« La </w:t>
      </w:r>
      <w:r w:rsidRPr="009F66A2">
        <w:rPr>
          <w:i/>
          <w:lang w:val="fr-FR"/>
        </w:rPr>
        <w:t>sensibilisation respiratoire</w:t>
      </w:r>
      <w:r w:rsidRPr="009F66A2">
        <w:rPr>
          <w:lang w:val="fr-FR"/>
        </w:rPr>
        <w:t xml:space="preserve"> consiste en une hypersensibilité des voies respiratoires survenant après l</w:t>
      </w:r>
      <w:r w:rsidR="00C76037">
        <w:rPr>
          <w:lang w:val="fr-FR"/>
        </w:rPr>
        <w:t>’</w:t>
      </w:r>
      <w:r w:rsidRPr="009F66A2">
        <w:rPr>
          <w:lang w:val="fr-FR"/>
        </w:rPr>
        <w:t>inhalation d</w:t>
      </w:r>
      <w:r w:rsidR="00C76037">
        <w:rPr>
          <w:lang w:val="fr-FR"/>
        </w:rPr>
        <w:t>’</w:t>
      </w:r>
      <w:r w:rsidRPr="009F66A2">
        <w:rPr>
          <w:lang w:val="fr-FR"/>
        </w:rPr>
        <w:t>une substance ou d</w:t>
      </w:r>
      <w:r w:rsidR="00C76037">
        <w:rPr>
          <w:lang w:val="fr-FR"/>
        </w:rPr>
        <w:t>’</w:t>
      </w:r>
      <w:r w:rsidRPr="009F66A2">
        <w:rPr>
          <w:lang w:val="fr-FR"/>
        </w:rPr>
        <w:t>un mélange.</w:t>
      </w:r>
    </w:p>
    <w:p w:rsidR="002E312D" w:rsidRPr="009F66A2" w:rsidRDefault="002E312D" w:rsidP="00B35797">
      <w:pPr>
        <w:pStyle w:val="SingleTxtG"/>
        <w:tabs>
          <w:tab w:val="left" w:pos="2268"/>
        </w:tabs>
        <w:ind w:left="2268"/>
        <w:rPr>
          <w:lang w:val="fr-FR"/>
        </w:rPr>
      </w:pPr>
      <w:r w:rsidRPr="009F66A2">
        <w:rPr>
          <w:lang w:val="fr-FR"/>
        </w:rPr>
        <w:t xml:space="preserve">La </w:t>
      </w:r>
      <w:r w:rsidRPr="009F66A2">
        <w:rPr>
          <w:i/>
          <w:iCs/>
          <w:lang w:val="fr-FR"/>
        </w:rPr>
        <w:t xml:space="preserve">sensibilisation cutanée </w:t>
      </w:r>
      <w:r w:rsidRPr="009F66A2">
        <w:rPr>
          <w:lang w:val="fr-FR"/>
        </w:rPr>
        <w:t xml:space="preserve">consiste en une réaction allergique survenant après un contact de la peau avec une substance ou un mélange. ». </w:t>
      </w:r>
    </w:p>
    <w:p w:rsidR="002E312D" w:rsidRPr="009F66A2" w:rsidRDefault="002E312D" w:rsidP="002E312D">
      <w:pPr>
        <w:pStyle w:val="H23G"/>
        <w:rPr>
          <w:lang w:val="fr-FR"/>
        </w:rPr>
      </w:pPr>
      <w:r w:rsidRPr="009F66A2">
        <w:rPr>
          <w:lang w:val="fr-FR"/>
        </w:rPr>
        <w:tab/>
      </w:r>
      <w:r w:rsidRPr="009F66A2">
        <w:rPr>
          <w:lang w:val="fr-FR"/>
        </w:rPr>
        <w:tab/>
      </w:r>
      <w:r>
        <w:rPr>
          <w:lang w:val="fr-FR"/>
        </w:rPr>
        <w:t>Chapitre</w:t>
      </w:r>
      <w:r w:rsidRPr="009F66A2">
        <w:rPr>
          <w:lang w:val="fr-FR"/>
        </w:rPr>
        <w:t xml:space="preserve"> 3.5</w:t>
      </w:r>
    </w:p>
    <w:p w:rsidR="002E312D" w:rsidRPr="009F66A2" w:rsidRDefault="002E312D" w:rsidP="002E312D">
      <w:pPr>
        <w:pStyle w:val="SingleTxtG"/>
        <w:tabs>
          <w:tab w:val="left" w:pos="1985"/>
        </w:tabs>
        <w:rPr>
          <w:lang w:val="fr-FR"/>
        </w:rPr>
      </w:pPr>
      <w:r w:rsidRPr="00B35797">
        <w:rPr>
          <w:i/>
          <w:lang w:val="fr-FR"/>
        </w:rPr>
        <w:t>Ajouter un nouveau paragraphe 3.5.1.1</w:t>
      </w:r>
      <w:r w:rsidRPr="00767D64">
        <w:rPr>
          <w:lang w:val="fr-FR"/>
        </w:rPr>
        <w:t xml:space="preserve">, </w:t>
      </w:r>
      <w:r w:rsidRPr="009F66A2">
        <w:rPr>
          <w:lang w:val="fr-FR"/>
        </w:rPr>
        <w:t>libellé comme suit</w:t>
      </w:r>
      <w:r>
        <w:rPr>
          <w:lang w:val="fr-FR"/>
        </w:rPr>
        <w:t> :</w:t>
      </w:r>
    </w:p>
    <w:p w:rsidR="002E312D" w:rsidRPr="009F66A2" w:rsidRDefault="002E312D" w:rsidP="00B35797">
      <w:pPr>
        <w:pStyle w:val="SingleTxtG"/>
        <w:tabs>
          <w:tab w:val="left" w:pos="2268"/>
        </w:tabs>
        <w:ind w:left="2268" w:hanging="1134"/>
        <w:rPr>
          <w:lang w:val="fr-FR"/>
        </w:rPr>
      </w:pPr>
      <w:r w:rsidRPr="009F66A2">
        <w:rPr>
          <w:lang w:val="fr-FR"/>
        </w:rPr>
        <w:t>« 3.5.1.1</w:t>
      </w:r>
      <w:r w:rsidRPr="009F66A2">
        <w:rPr>
          <w:lang w:val="fr-FR"/>
        </w:rPr>
        <w:tab/>
        <w:t xml:space="preserve">La </w:t>
      </w:r>
      <w:r w:rsidRPr="009F66A2">
        <w:rPr>
          <w:i/>
          <w:iCs/>
          <w:lang w:val="fr-FR"/>
        </w:rPr>
        <w:t xml:space="preserve">mutagénicité sur les cellules germinales </w:t>
      </w:r>
      <w:r w:rsidRPr="009F66A2">
        <w:rPr>
          <w:lang w:val="fr-FR"/>
        </w:rPr>
        <w:t>concerne des mutations héritables de gènes, y compris des aberrations chromosomiques structurelles et numériques héritables des cellules germinales survenant après une exposition à une substance ou un mélange. ».</w:t>
      </w:r>
    </w:p>
    <w:p w:rsidR="002E312D" w:rsidRPr="00767D64" w:rsidRDefault="002E312D" w:rsidP="002E312D">
      <w:pPr>
        <w:pStyle w:val="SingleTxtG"/>
        <w:rPr>
          <w:lang w:val="fr-FR"/>
        </w:rPr>
      </w:pPr>
      <w:r w:rsidRPr="00B35797">
        <w:rPr>
          <w:i/>
          <w:lang w:val="fr-FR"/>
        </w:rPr>
        <w:t xml:space="preserve">Les paragraphes 3.5.1.1 à 3.5.1.4 </w:t>
      </w:r>
      <w:r w:rsidRPr="00C76037">
        <w:rPr>
          <w:lang w:val="fr-FR"/>
        </w:rPr>
        <w:t>deviennent les paragraphes 3.5.1.2 à 3.5.1.5</w:t>
      </w:r>
      <w:r w:rsidRPr="00767D64">
        <w:rPr>
          <w:lang w:val="fr-FR"/>
        </w:rPr>
        <w:t>.</w:t>
      </w:r>
    </w:p>
    <w:p w:rsidR="002E312D" w:rsidRPr="009F66A2" w:rsidRDefault="002E312D" w:rsidP="002E312D">
      <w:pPr>
        <w:pStyle w:val="H23G"/>
        <w:rPr>
          <w:lang w:val="fr-FR"/>
        </w:rPr>
      </w:pPr>
      <w:bookmarkStart w:id="2" w:name="_Toc11573781"/>
      <w:r w:rsidRPr="009F66A2">
        <w:rPr>
          <w:lang w:val="fr-FR"/>
        </w:rPr>
        <w:tab/>
      </w:r>
      <w:r w:rsidRPr="009F66A2">
        <w:rPr>
          <w:lang w:val="fr-FR"/>
        </w:rPr>
        <w:tab/>
      </w:r>
      <w:r>
        <w:rPr>
          <w:lang w:val="fr-FR"/>
        </w:rPr>
        <w:t>Chapitre</w:t>
      </w:r>
      <w:r w:rsidRPr="009F66A2">
        <w:rPr>
          <w:lang w:val="fr-FR"/>
        </w:rPr>
        <w:t xml:space="preserve"> 3.6</w:t>
      </w:r>
      <w:bookmarkEnd w:id="2"/>
    </w:p>
    <w:p w:rsidR="002E312D" w:rsidRPr="00767D64" w:rsidRDefault="002E312D" w:rsidP="002E312D">
      <w:pPr>
        <w:pStyle w:val="SingleTxtG"/>
        <w:tabs>
          <w:tab w:val="left" w:pos="1985"/>
        </w:tabs>
        <w:rPr>
          <w:lang w:val="fr-FR"/>
        </w:rPr>
      </w:pPr>
      <w:r w:rsidRPr="00847BD8">
        <w:rPr>
          <w:i/>
          <w:lang w:val="fr-FR"/>
        </w:rPr>
        <w:t>Paragraphe 3.6.1</w:t>
      </w:r>
      <w:r w:rsidRPr="00767D64">
        <w:rPr>
          <w:lang w:val="fr-FR"/>
        </w:rPr>
        <w:t>, modifie</w:t>
      </w:r>
      <w:r w:rsidR="00254BCF">
        <w:rPr>
          <w:lang w:val="fr-FR"/>
        </w:rPr>
        <w:t>r la première phrase comme suit :</w:t>
      </w:r>
    </w:p>
    <w:p w:rsidR="002E312D" w:rsidRPr="009F66A2" w:rsidRDefault="002E312D" w:rsidP="00B35797">
      <w:pPr>
        <w:pStyle w:val="SingleTxtG"/>
        <w:tabs>
          <w:tab w:val="left" w:pos="2268"/>
        </w:tabs>
        <w:ind w:left="2268"/>
        <w:rPr>
          <w:lang w:val="fr-FR"/>
        </w:rPr>
      </w:pPr>
      <w:r w:rsidRPr="009F66A2">
        <w:rPr>
          <w:iCs/>
          <w:lang w:val="fr-FR"/>
        </w:rPr>
        <w:t xml:space="preserve">« La </w:t>
      </w:r>
      <w:r w:rsidRPr="009F66A2">
        <w:rPr>
          <w:i/>
          <w:lang w:val="fr-FR"/>
        </w:rPr>
        <w:t>carcinogénicité</w:t>
      </w:r>
      <w:r w:rsidRPr="009F66A2">
        <w:rPr>
          <w:iCs/>
          <w:lang w:val="fr-FR"/>
        </w:rPr>
        <w:t xml:space="preserve"> désigne l</w:t>
      </w:r>
      <w:r w:rsidR="00C76037">
        <w:rPr>
          <w:iCs/>
          <w:lang w:val="fr-FR"/>
        </w:rPr>
        <w:t>’</w:t>
      </w:r>
      <w:r w:rsidRPr="009F66A2">
        <w:rPr>
          <w:iCs/>
          <w:lang w:val="fr-FR"/>
        </w:rPr>
        <w:t>induction d</w:t>
      </w:r>
      <w:r w:rsidR="00C76037">
        <w:rPr>
          <w:iCs/>
          <w:lang w:val="fr-FR"/>
        </w:rPr>
        <w:t>’</w:t>
      </w:r>
      <w:r w:rsidRPr="009F66A2">
        <w:rPr>
          <w:iCs/>
          <w:lang w:val="fr-FR"/>
        </w:rPr>
        <w:t>un cancer ou une augmentation de l</w:t>
      </w:r>
      <w:r w:rsidR="00C76037">
        <w:rPr>
          <w:iCs/>
          <w:lang w:val="fr-FR"/>
        </w:rPr>
        <w:t>’</w:t>
      </w:r>
      <w:r w:rsidRPr="009F66A2">
        <w:rPr>
          <w:iCs/>
          <w:lang w:val="fr-FR"/>
        </w:rPr>
        <w:t>incidence du cancer après exposition à une substance ou un mélange</w:t>
      </w:r>
      <w:bookmarkStart w:id="3" w:name="_Toc11573801"/>
      <w:r w:rsidRPr="009F66A2">
        <w:rPr>
          <w:lang w:val="fr-FR"/>
        </w:rPr>
        <w:t>. ».</w:t>
      </w:r>
    </w:p>
    <w:p w:rsidR="002E312D" w:rsidRPr="009F66A2" w:rsidRDefault="002E312D" w:rsidP="002E312D">
      <w:pPr>
        <w:pStyle w:val="H23G"/>
        <w:rPr>
          <w:lang w:val="fr-FR"/>
        </w:rPr>
      </w:pPr>
      <w:r w:rsidRPr="009F66A2">
        <w:rPr>
          <w:lang w:val="fr-FR"/>
        </w:rPr>
        <w:tab/>
      </w:r>
      <w:r w:rsidRPr="009F66A2">
        <w:rPr>
          <w:lang w:val="fr-FR"/>
        </w:rPr>
        <w:tab/>
      </w:r>
      <w:r>
        <w:rPr>
          <w:lang w:val="fr-FR"/>
        </w:rPr>
        <w:t>Chapitre</w:t>
      </w:r>
      <w:r w:rsidRPr="009F66A2">
        <w:rPr>
          <w:lang w:val="fr-FR"/>
        </w:rPr>
        <w:t xml:space="preserve"> 3.7</w:t>
      </w:r>
    </w:p>
    <w:bookmarkEnd w:id="3"/>
    <w:p w:rsidR="002E312D" w:rsidRPr="009F66A2" w:rsidRDefault="002E312D" w:rsidP="00254BCF">
      <w:pPr>
        <w:pStyle w:val="SingleTxtG"/>
        <w:tabs>
          <w:tab w:val="left" w:pos="1985"/>
        </w:tabs>
        <w:rPr>
          <w:lang w:val="fr-FR"/>
        </w:rPr>
      </w:pPr>
      <w:r w:rsidRPr="00B35797">
        <w:rPr>
          <w:i/>
          <w:lang w:val="fr-FR"/>
        </w:rPr>
        <w:t>Paragraphe 3.7.1.1</w:t>
      </w:r>
      <w:r w:rsidRPr="00847BD8">
        <w:rPr>
          <w:lang w:val="fr-FR"/>
        </w:rPr>
        <w:t>, modifier la première phrase comme suit</w:t>
      </w:r>
      <w:r w:rsidRPr="00767D64">
        <w:rPr>
          <w:lang w:val="fr-FR"/>
        </w:rPr>
        <w:t xml:space="preserve"> </w:t>
      </w:r>
      <w:r w:rsidRPr="00767D64">
        <w:rPr>
          <w:i/>
          <w:iCs/>
          <w:lang w:val="fr-FR"/>
        </w:rPr>
        <w:t xml:space="preserve">(les ajouts </w:t>
      </w:r>
      <w:r>
        <w:rPr>
          <w:i/>
          <w:iCs/>
          <w:lang w:val="fr-FR"/>
        </w:rPr>
        <w:t xml:space="preserve">sont </w:t>
      </w:r>
      <w:r w:rsidRPr="00767D64">
        <w:rPr>
          <w:i/>
          <w:iCs/>
          <w:u w:val="single"/>
          <w:lang w:val="fr-FR"/>
        </w:rPr>
        <w:t>en caractères soulignés</w:t>
      </w:r>
      <w:r w:rsidRPr="00767D64">
        <w:rPr>
          <w:i/>
          <w:iCs/>
          <w:lang w:val="fr-FR"/>
        </w:rPr>
        <w:t xml:space="preserve"> et les suppressions </w:t>
      </w:r>
      <w:r w:rsidRPr="00767D64">
        <w:rPr>
          <w:i/>
          <w:iCs/>
          <w:strike/>
          <w:lang w:val="fr-FR"/>
        </w:rPr>
        <w:t>en caractères barrés</w:t>
      </w:r>
      <w:r w:rsidRPr="00767D64">
        <w:rPr>
          <w:i/>
          <w:iCs/>
          <w:lang w:val="fr-FR"/>
        </w:rPr>
        <w:t>)</w:t>
      </w:r>
      <w:r>
        <w:rPr>
          <w:i/>
          <w:iCs/>
          <w:lang w:val="fr-FR"/>
        </w:rPr>
        <w:t> </w:t>
      </w:r>
      <w:r>
        <w:rPr>
          <w:lang w:val="fr-FR"/>
        </w:rPr>
        <w:t>:</w:t>
      </w:r>
      <w:r w:rsidRPr="009F66A2">
        <w:rPr>
          <w:lang w:val="fr-FR"/>
        </w:rPr>
        <w:t xml:space="preserve"> </w:t>
      </w:r>
    </w:p>
    <w:p w:rsidR="002E312D" w:rsidRPr="009F66A2" w:rsidRDefault="002E312D" w:rsidP="00B35797">
      <w:pPr>
        <w:pStyle w:val="SingleTxtG"/>
        <w:tabs>
          <w:tab w:val="left" w:pos="2268"/>
        </w:tabs>
        <w:ind w:left="2268"/>
        <w:rPr>
          <w:lang w:val="fr-FR"/>
        </w:rPr>
      </w:pPr>
      <w:r w:rsidRPr="009F66A2">
        <w:rPr>
          <w:lang w:val="fr-FR"/>
        </w:rPr>
        <w:t xml:space="preserve">« La </w:t>
      </w:r>
      <w:r w:rsidRPr="009F66A2">
        <w:rPr>
          <w:i/>
          <w:iCs/>
          <w:lang w:val="fr-FR"/>
        </w:rPr>
        <w:t>toxicité pour la reproduction</w:t>
      </w:r>
      <w:r w:rsidRPr="009F66A2">
        <w:rPr>
          <w:lang w:val="fr-FR"/>
        </w:rPr>
        <w:t xml:space="preserve"> </w:t>
      </w:r>
      <w:r w:rsidRPr="009F66A2">
        <w:rPr>
          <w:strike/>
          <w:lang w:val="fr-FR"/>
        </w:rPr>
        <w:t>se traduit par</w:t>
      </w:r>
      <w:r>
        <w:rPr>
          <w:strike/>
          <w:lang w:val="fr-FR"/>
        </w:rPr>
        <w:t xml:space="preserve"> des</w:t>
      </w:r>
      <w:r>
        <w:rPr>
          <w:u w:val="single"/>
          <w:lang w:val="fr-FR"/>
        </w:rPr>
        <w:t>consiste en</w:t>
      </w:r>
      <w:r w:rsidRPr="004C1050">
        <w:rPr>
          <w:lang w:val="fr-FR"/>
        </w:rPr>
        <w:t xml:space="preserve"> </w:t>
      </w:r>
      <w:r w:rsidRPr="009F66A2">
        <w:rPr>
          <w:lang w:val="fr-FR"/>
        </w:rPr>
        <w:t xml:space="preserve">effets néfastes sur la fonction sexuelle et la fertilité des mâles et des femelles adultes, ainsi </w:t>
      </w:r>
      <w:r w:rsidRPr="004C1050">
        <w:rPr>
          <w:strike/>
          <w:lang w:val="fr-FR"/>
        </w:rPr>
        <w:t>que par des</w:t>
      </w:r>
      <w:r w:rsidRPr="004C1050">
        <w:rPr>
          <w:u w:val="single"/>
          <w:lang w:val="fr-FR"/>
        </w:rPr>
        <w:t>qu</w:t>
      </w:r>
      <w:r w:rsidR="00C76037">
        <w:rPr>
          <w:u w:val="single"/>
          <w:lang w:val="fr-FR"/>
        </w:rPr>
        <w:t>’</w:t>
      </w:r>
      <w:r w:rsidRPr="004C1050">
        <w:rPr>
          <w:u w:val="single"/>
          <w:lang w:val="fr-FR"/>
        </w:rPr>
        <w:t>en</w:t>
      </w:r>
      <w:r>
        <w:rPr>
          <w:lang w:val="fr-FR"/>
        </w:rPr>
        <w:t xml:space="preserve"> </w:t>
      </w:r>
      <w:r w:rsidRPr="009F66A2">
        <w:rPr>
          <w:lang w:val="fr-FR"/>
        </w:rPr>
        <w:t>effets indésirables sur le développement de leurs descendants</w:t>
      </w:r>
      <w:r w:rsidRPr="009F66A2">
        <w:rPr>
          <w:u w:val="single"/>
          <w:lang w:val="fr-FR"/>
        </w:rPr>
        <w:t>, survenant après une exposition à une substance ou un mélange</w:t>
      </w:r>
      <w:r w:rsidRPr="009F66A2">
        <w:rPr>
          <w:lang w:val="fr-FR"/>
        </w:rPr>
        <w:t xml:space="preserve">. ». </w:t>
      </w:r>
    </w:p>
    <w:p w:rsidR="002E312D" w:rsidRPr="009F66A2" w:rsidRDefault="002E312D" w:rsidP="0070551F">
      <w:pPr>
        <w:pStyle w:val="SingleTxtG"/>
        <w:ind w:left="2268"/>
        <w:rPr>
          <w:lang w:val="fr-FR"/>
        </w:rPr>
      </w:pPr>
      <w:r w:rsidRPr="00767D64">
        <w:rPr>
          <w:lang w:val="fr-FR"/>
        </w:rPr>
        <w:t xml:space="preserve">Dans le dernier alinéa, remplacer </w:t>
      </w:r>
      <w:r w:rsidRPr="009F66A2">
        <w:rPr>
          <w:lang w:val="fr-FR"/>
        </w:rPr>
        <w:t>« Néanmoins, des produits chimiques présentant ce type d</w:t>
      </w:r>
      <w:r w:rsidR="00C76037">
        <w:rPr>
          <w:lang w:val="fr-FR"/>
        </w:rPr>
        <w:t>’</w:t>
      </w:r>
      <w:r w:rsidRPr="009F66A2">
        <w:rPr>
          <w:lang w:val="fr-FR"/>
        </w:rPr>
        <w:t>effets » par « Néanmoins, les substances et mélanges présentant ce type d</w:t>
      </w:r>
      <w:r w:rsidR="00C76037">
        <w:rPr>
          <w:lang w:val="fr-FR"/>
        </w:rPr>
        <w:t>’</w:t>
      </w:r>
      <w:r w:rsidRPr="009F66A2">
        <w:rPr>
          <w:lang w:val="fr-FR"/>
        </w:rPr>
        <w:t xml:space="preserve">effets ». </w:t>
      </w:r>
    </w:p>
    <w:p w:rsidR="002E312D" w:rsidRPr="009F66A2" w:rsidRDefault="002E312D" w:rsidP="002E312D">
      <w:pPr>
        <w:pStyle w:val="H23G"/>
        <w:rPr>
          <w:lang w:val="fr-FR"/>
        </w:rPr>
      </w:pPr>
      <w:r w:rsidRPr="009F66A2">
        <w:rPr>
          <w:lang w:val="fr-FR"/>
        </w:rPr>
        <w:tab/>
      </w:r>
      <w:r w:rsidRPr="009F66A2">
        <w:rPr>
          <w:lang w:val="fr-FR"/>
        </w:rPr>
        <w:tab/>
      </w:r>
      <w:r>
        <w:rPr>
          <w:lang w:val="fr-FR"/>
        </w:rPr>
        <w:t>Chapitre</w:t>
      </w:r>
      <w:r w:rsidRPr="009F66A2">
        <w:rPr>
          <w:lang w:val="fr-FR"/>
        </w:rPr>
        <w:t xml:space="preserve"> 3.8</w:t>
      </w:r>
    </w:p>
    <w:p w:rsidR="002E312D" w:rsidRPr="009F66A2" w:rsidRDefault="002E312D" w:rsidP="0070551F">
      <w:pPr>
        <w:pStyle w:val="SingleTxtG"/>
        <w:keepNext/>
        <w:rPr>
          <w:snapToGrid w:val="0"/>
          <w:lang w:val="fr-FR"/>
        </w:rPr>
      </w:pPr>
      <w:r w:rsidRPr="00847BD8">
        <w:rPr>
          <w:i/>
          <w:snapToGrid w:val="0"/>
          <w:lang w:val="fr-FR"/>
        </w:rPr>
        <w:t>Paragraphe 3.8.1.1</w:t>
      </w:r>
      <w:r w:rsidRPr="00767D64">
        <w:rPr>
          <w:snapToGrid w:val="0"/>
          <w:lang w:val="fr-FR"/>
        </w:rPr>
        <w:t xml:space="preserve">, </w:t>
      </w:r>
      <w:r w:rsidRPr="009F66A2">
        <w:rPr>
          <w:snapToGrid w:val="0"/>
          <w:lang w:val="fr-FR"/>
        </w:rPr>
        <w:t>modifier comme suit</w:t>
      </w:r>
      <w:r w:rsidR="0070551F">
        <w:rPr>
          <w:snapToGrid w:val="0"/>
          <w:lang w:val="fr-FR"/>
        </w:rPr>
        <w:t> :</w:t>
      </w:r>
    </w:p>
    <w:p w:rsidR="002E312D" w:rsidRPr="009F66A2" w:rsidRDefault="002E312D" w:rsidP="0070551F">
      <w:pPr>
        <w:pStyle w:val="SingleTxtG"/>
        <w:keepLines/>
        <w:tabs>
          <w:tab w:val="left" w:pos="2268"/>
        </w:tabs>
        <w:ind w:left="2268"/>
        <w:rPr>
          <w:lang w:val="fr-FR"/>
        </w:rPr>
      </w:pPr>
      <w:r w:rsidRPr="009F66A2">
        <w:rPr>
          <w:iCs/>
          <w:snapToGrid w:val="0"/>
          <w:lang w:val="fr-FR"/>
        </w:rPr>
        <w:t xml:space="preserve">« La </w:t>
      </w:r>
      <w:r w:rsidRPr="009F66A2">
        <w:rPr>
          <w:i/>
          <w:snapToGrid w:val="0"/>
          <w:lang w:val="fr-FR"/>
        </w:rPr>
        <w:t xml:space="preserve">toxicité pour certains organes cibles </w:t>
      </w:r>
      <w:r w:rsidR="0070551F">
        <w:rPr>
          <w:i/>
          <w:snapToGrid w:val="0"/>
          <w:lang w:val="fr-FR"/>
        </w:rPr>
        <w:t>−</w:t>
      </w:r>
      <w:r w:rsidRPr="009F66A2">
        <w:rPr>
          <w:i/>
          <w:snapToGrid w:val="0"/>
          <w:lang w:val="fr-FR"/>
        </w:rPr>
        <w:t xml:space="preserve"> exposition unique </w:t>
      </w:r>
      <w:r>
        <w:rPr>
          <w:iCs/>
          <w:snapToGrid w:val="0"/>
          <w:lang w:val="fr-FR"/>
        </w:rPr>
        <w:t xml:space="preserve">consiste en </w:t>
      </w:r>
      <w:r w:rsidRPr="009F66A2">
        <w:rPr>
          <w:iCs/>
          <w:snapToGrid w:val="0"/>
          <w:lang w:val="fr-FR"/>
        </w:rPr>
        <w:t>effets toxiques spécifiques et non létaux sur des organes cibles à la suite d</w:t>
      </w:r>
      <w:r w:rsidR="00C76037">
        <w:rPr>
          <w:iCs/>
          <w:snapToGrid w:val="0"/>
          <w:lang w:val="fr-FR"/>
        </w:rPr>
        <w:t>’</w:t>
      </w:r>
      <w:r w:rsidRPr="009F66A2">
        <w:rPr>
          <w:iCs/>
          <w:snapToGrid w:val="0"/>
          <w:lang w:val="fr-FR"/>
        </w:rPr>
        <w:t>une exposition unique à une substance ou un mélange. Elle englobe tous les effets sanitaires marquants susceptibles d</w:t>
      </w:r>
      <w:r w:rsidR="00C76037">
        <w:rPr>
          <w:iCs/>
          <w:snapToGrid w:val="0"/>
          <w:lang w:val="fr-FR"/>
        </w:rPr>
        <w:t>’</w:t>
      </w:r>
      <w:r w:rsidRPr="009F66A2">
        <w:rPr>
          <w:iCs/>
          <w:snapToGrid w:val="0"/>
          <w:lang w:val="fr-FR"/>
        </w:rPr>
        <w:t>en altérer la fonction, tant</w:t>
      </w:r>
      <w:r w:rsidR="00C76037">
        <w:rPr>
          <w:iCs/>
          <w:snapToGrid w:val="0"/>
          <w:lang w:val="fr-FR"/>
        </w:rPr>
        <w:t> </w:t>
      </w:r>
      <w:r w:rsidRPr="009F66A2">
        <w:rPr>
          <w:iCs/>
          <w:snapToGrid w:val="0"/>
          <w:lang w:val="fr-FR"/>
        </w:rPr>
        <w:t>réversibles qu</w:t>
      </w:r>
      <w:r w:rsidR="00C76037">
        <w:rPr>
          <w:iCs/>
          <w:snapToGrid w:val="0"/>
          <w:lang w:val="fr-FR"/>
        </w:rPr>
        <w:t>’</w:t>
      </w:r>
      <w:r w:rsidRPr="009F66A2">
        <w:rPr>
          <w:iCs/>
          <w:snapToGrid w:val="0"/>
          <w:lang w:val="fr-FR"/>
        </w:rPr>
        <w:t xml:space="preserve">irréversibles, immédiats et/ou retardés et non </w:t>
      </w:r>
      <w:r>
        <w:rPr>
          <w:iCs/>
          <w:snapToGrid w:val="0"/>
          <w:lang w:val="fr-FR"/>
        </w:rPr>
        <w:t>traités en</w:t>
      </w:r>
      <w:r w:rsidR="00C76037">
        <w:rPr>
          <w:iCs/>
          <w:snapToGrid w:val="0"/>
          <w:lang w:val="fr-FR"/>
        </w:rPr>
        <w:t> </w:t>
      </w:r>
      <w:r>
        <w:rPr>
          <w:iCs/>
          <w:snapToGrid w:val="0"/>
          <w:lang w:val="fr-FR"/>
        </w:rPr>
        <w:t>particulier</w:t>
      </w:r>
      <w:r w:rsidRPr="009F66A2">
        <w:rPr>
          <w:iCs/>
          <w:snapToGrid w:val="0"/>
          <w:lang w:val="fr-FR"/>
        </w:rPr>
        <w:t xml:space="preserve"> dans les </w:t>
      </w:r>
      <w:r>
        <w:rPr>
          <w:iCs/>
          <w:snapToGrid w:val="0"/>
          <w:lang w:val="fr-FR"/>
        </w:rPr>
        <w:t>chapitre</w:t>
      </w:r>
      <w:r w:rsidRPr="009F66A2">
        <w:rPr>
          <w:iCs/>
          <w:snapToGrid w:val="0"/>
          <w:lang w:val="fr-FR"/>
        </w:rPr>
        <w:t>s</w:t>
      </w:r>
      <w:r w:rsidR="00C76037">
        <w:rPr>
          <w:iCs/>
          <w:snapToGrid w:val="0"/>
          <w:lang w:val="fr-FR"/>
        </w:rPr>
        <w:t> </w:t>
      </w:r>
      <w:r w:rsidRPr="009F66A2">
        <w:rPr>
          <w:iCs/>
          <w:snapToGrid w:val="0"/>
          <w:lang w:val="fr-FR"/>
        </w:rPr>
        <w:t>3.1 à 3.7 et 3.10 (voir aussi le paragraphe</w:t>
      </w:r>
      <w:r w:rsidR="00C76037">
        <w:rPr>
          <w:iCs/>
          <w:snapToGrid w:val="0"/>
          <w:lang w:val="fr-FR"/>
        </w:rPr>
        <w:t> </w:t>
      </w:r>
      <w:r w:rsidRPr="009F66A2">
        <w:rPr>
          <w:iCs/>
          <w:snapToGrid w:val="0"/>
          <w:lang w:val="fr-FR"/>
        </w:rPr>
        <w:t>3.8.1.6)</w:t>
      </w:r>
      <w:r w:rsidRPr="009F66A2">
        <w:rPr>
          <w:lang w:val="fr-FR"/>
        </w:rPr>
        <w:t>. ».</w:t>
      </w:r>
    </w:p>
    <w:p w:rsidR="002E312D" w:rsidRPr="009F66A2" w:rsidRDefault="002E312D" w:rsidP="002E312D">
      <w:pPr>
        <w:pStyle w:val="H23G"/>
        <w:rPr>
          <w:lang w:val="fr-FR"/>
        </w:rPr>
      </w:pPr>
      <w:bookmarkStart w:id="4" w:name="_Toc11573817"/>
      <w:r w:rsidRPr="009F66A2">
        <w:rPr>
          <w:lang w:val="fr-FR"/>
        </w:rPr>
        <w:tab/>
      </w:r>
      <w:r w:rsidRPr="009F66A2">
        <w:rPr>
          <w:lang w:val="fr-FR"/>
        </w:rPr>
        <w:tab/>
      </w:r>
      <w:r>
        <w:rPr>
          <w:lang w:val="fr-FR"/>
        </w:rPr>
        <w:t>Chapitre</w:t>
      </w:r>
      <w:r w:rsidRPr="009F66A2">
        <w:rPr>
          <w:lang w:val="fr-FR"/>
        </w:rPr>
        <w:t xml:space="preserve"> 3.9 </w:t>
      </w:r>
      <w:bookmarkEnd w:id="4"/>
    </w:p>
    <w:p w:rsidR="002E312D" w:rsidRPr="009F66A2" w:rsidRDefault="002E312D" w:rsidP="002E312D">
      <w:pPr>
        <w:pStyle w:val="SingleTxtG"/>
        <w:rPr>
          <w:lang w:val="fr-FR"/>
        </w:rPr>
      </w:pPr>
      <w:r w:rsidRPr="00847BD8">
        <w:rPr>
          <w:i/>
          <w:lang w:val="fr-FR"/>
        </w:rPr>
        <w:t>Paragraphe 3.9.1.</w:t>
      </w:r>
      <w:r w:rsidRPr="00C76037">
        <w:rPr>
          <w:i/>
          <w:lang w:val="fr-FR"/>
        </w:rPr>
        <w:t>1</w:t>
      </w:r>
      <w:r w:rsidRPr="00767D64">
        <w:rPr>
          <w:lang w:val="fr-FR"/>
        </w:rPr>
        <w:t xml:space="preserve">, modifier </w:t>
      </w:r>
      <w:r w:rsidRPr="009F66A2">
        <w:rPr>
          <w:lang w:val="fr-FR"/>
        </w:rPr>
        <w:t>comme suit</w:t>
      </w:r>
      <w:r w:rsidR="00FC0E80">
        <w:rPr>
          <w:lang w:val="fr-FR"/>
        </w:rPr>
        <w:t> :</w:t>
      </w:r>
    </w:p>
    <w:p w:rsidR="002E312D" w:rsidRPr="009F66A2" w:rsidRDefault="002E312D" w:rsidP="00B35797">
      <w:pPr>
        <w:pStyle w:val="SingleTxtG"/>
        <w:tabs>
          <w:tab w:val="left" w:pos="2268"/>
        </w:tabs>
        <w:ind w:left="2268"/>
        <w:rPr>
          <w:snapToGrid w:val="0"/>
          <w:lang w:val="fr-FR"/>
        </w:rPr>
      </w:pPr>
      <w:r w:rsidRPr="009F66A2">
        <w:rPr>
          <w:iCs/>
          <w:snapToGrid w:val="0"/>
          <w:lang w:val="fr-FR"/>
        </w:rPr>
        <w:t xml:space="preserve">« La </w:t>
      </w:r>
      <w:r w:rsidRPr="009F66A2">
        <w:rPr>
          <w:i/>
          <w:snapToGrid w:val="0"/>
          <w:lang w:val="fr-FR"/>
        </w:rPr>
        <w:t xml:space="preserve">toxicité pour certains organes cibles </w:t>
      </w:r>
      <w:r w:rsidR="00C76037">
        <w:rPr>
          <w:i/>
          <w:snapToGrid w:val="0"/>
          <w:lang w:val="fr-FR"/>
        </w:rPr>
        <w:t>−</w:t>
      </w:r>
      <w:r w:rsidRPr="009F66A2">
        <w:rPr>
          <w:i/>
          <w:snapToGrid w:val="0"/>
          <w:lang w:val="fr-FR"/>
        </w:rPr>
        <w:t xml:space="preserve"> expositions répétées </w:t>
      </w:r>
      <w:r w:rsidRPr="00DF4FF0">
        <w:rPr>
          <w:iCs/>
          <w:snapToGrid w:val="0"/>
          <w:lang w:val="fr-FR"/>
        </w:rPr>
        <w:t xml:space="preserve">consiste en </w:t>
      </w:r>
      <w:r w:rsidRPr="009F66A2">
        <w:rPr>
          <w:iCs/>
          <w:snapToGrid w:val="0"/>
          <w:lang w:val="fr-FR"/>
        </w:rPr>
        <w:t>effets toxiques spécifiques sur des organes cibles à la suite d</w:t>
      </w:r>
      <w:r w:rsidR="00C76037">
        <w:rPr>
          <w:iCs/>
          <w:snapToGrid w:val="0"/>
          <w:lang w:val="fr-FR"/>
        </w:rPr>
        <w:t>’</w:t>
      </w:r>
      <w:r w:rsidRPr="009F66A2">
        <w:rPr>
          <w:iCs/>
          <w:snapToGrid w:val="0"/>
          <w:lang w:val="fr-FR"/>
        </w:rPr>
        <w:t>expositions répétées à une substance ou un mélange</w:t>
      </w:r>
      <w:r w:rsidRPr="009F66A2">
        <w:rPr>
          <w:snapToGrid w:val="0"/>
          <w:lang w:val="fr-FR"/>
        </w:rPr>
        <w:t xml:space="preserve">. </w:t>
      </w:r>
      <w:r w:rsidRPr="009F66A2">
        <w:rPr>
          <w:lang w:val="fr-FR"/>
        </w:rPr>
        <w:t>Elle englobe tous les effets sanitaires marquants susceptibles d</w:t>
      </w:r>
      <w:r w:rsidR="00C76037">
        <w:rPr>
          <w:lang w:val="fr-FR"/>
        </w:rPr>
        <w:t>’</w:t>
      </w:r>
      <w:r w:rsidRPr="009F66A2">
        <w:rPr>
          <w:lang w:val="fr-FR"/>
        </w:rPr>
        <w:t>en altérer la fonction, tant réversibles qu</w:t>
      </w:r>
      <w:r w:rsidR="00C76037">
        <w:rPr>
          <w:lang w:val="fr-FR"/>
        </w:rPr>
        <w:t>’</w:t>
      </w:r>
      <w:r w:rsidRPr="009F66A2">
        <w:rPr>
          <w:lang w:val="fr-FR"/>
        </w:rPr>
        <w:t xml:space="preserve">irréversibles, immédiats et/ou retardés. ». </w:t>
      </w:r>
    </w:p>
    <w:p w:rsidR="002E312D" w:rsidRPr="009F66A2" w:rsidRDefault="002E312D" w:rsidP="002E312D">
      <w:pPr>
        <w:pStyle w:val="H23G"/>
        <w:rPr>
          <w:lang w:val="fr-FR"/>
        </w:rPr>
      </w:pPr>
      <w:r w:rsidRPr="009F66A2">
        <w:rPr>
          <w:lang w:val="fr-FR"/>
        </w:rPr>
        <w:tab/>
      </w:r>
      <w:r w:rsidRPr="009F66A2">
        <w:rPr>
          <w:lang w:val="fr-FR"/>
        </w:rPr>
        <w:tab/>
      </w:r>
      <w:r>
        <w:rPr>
          <w:lang w:val="fr-FR"/>
        </w:rPr>
        <w:t>Chapitre</w:t>
      </w:r>
      <w:r w:rsidRPr="009F66A2">
        <w:rPr>
          <w:lang w:val="fr-FR"/>
        </w:rPr>
        <w:t xml:space="preserve"> 3.10 </w:t>
      </w:r>
    </w:p>
    <w:p w:rsidR="002E312D" w:rsidRPr="009F66A2" w:rsidRDefault="002E312D" w:rsidP="002E312D">
      <w:pPr>
        <w:pStyle w:val="SingleTxtG"/>
        <w:keepNext/>
        <w:keepLines/>
        <w:tabs>
          <w:tab w:val="left" w:pos="2268"/>
        </w:tabs>
        <w:spacing w:after="80"/>
        <w:rPr>
          <w:lang w:val="fr-FR"/>
        </w:rPr>
      </w:pPr>
      <w:r w:rsidRPr="006453A3">
        <w:rPr>
          <w:i/>
          <w:lang w:val="fr-FR"/>
        </w:rPr>
        <w:t>Paragraphe 3.10.1</w:t>
      </w:r>
      <w:r w:rsidRPr="00C7100A">
        <w:rPr>
          <w:lang w:val="fr-FR"/>
        </w:rPr>
        <w:t xml:space="preserve">, modifier </w:t>
      </w:r>
      <w:r w:rsidRPr="009F66A2">
        <w:rPr>
          <w:lang w:val="fr-FR"/>
        </w:rPr>
        <w:t>le titre comme suit :</w:t>
      </w:r>
    </w:p>
    <w:p w:rsidR="002E312D" w:rsidRPr="009F66A2" w:rsidRDefault="002E312D" w:rsidP="006453A3">
      <w:pPr>
        <w:pStyle w:val="SingleTxtG"/>
        <w:keepNext/>
        <w:keepLines/>
        <w:tabs>
          <w:tab w:val="left" w:pos="2268"/>
        </w:tabs>
        <w:spacing w:after="80"/>
        <w:ind w:left="2268"/>
        <w:rPr>
          <w:lang w:val="fr-FR"/>
        </w:rPr>
      </w:pPr>
      <w:r w:rsidRPr="009F66A2">
        <w:rPr>
          <w:lang w:val="fr-FR"/>
        </w:rPr>
        <w:t>« </w:t>
      </w:r>
      <w:r w:rsidRPr="009F66A2">
        <w:rPr>
          <w:b/>
          <w:lang w:val="fr-FR"/>
        </w:rPr>
        <w:t>Définitions et considérations générales</w:t>
      </w:r>
      <w:r w:rsidRPr="009F66A2">
        <w:rPr>
          <w:bCs/>
          <w:lang w:val="fr-FR"/>
        </w:rPr>
        <w:t> ».</w:t>
      </w:r>
    </w:p>
    <w:p w:rsidR="002E312D" w:rsidRPr="009F66A2" w:rsidRDefault="002E312D" w:rsidP="002E312D">
      <w:pPr>
        <w:pStyle w:val="SingleTxtG"/>
        <w:keepNext/>
        <w:keepLines/>
        <w:tabs>
          <w:tab w:val="left" w:pos="2268"/>
        </w:tabs>
        <w:spacing w:after="80"/>
        <w:rPr>
          <w:lang w:val="fr-FR"/>
        </w:rPr>
      </w:pPr>
      <w:r w:rsidRPr="00847BD8">
        <w:rPr>
          <w:i/>
          <w:lang w:val="fr-FR"/>
        </w:rPr>
        <w:t>Paragraphe 3.10.1.1</w:t>
      </w:r>
      <w:r w:rsidRPr="00C7100A">
        <w:rPr>
          <w:lang w:val="fr-FR"/>
        </w:rPr>
        <w:t>, supprimer</w:t>
      </w:r>
      <w:r w:rsidRPr="009F66A2">
        <w:rPr>
          <w:lang w:val="fr-FR"/>
        </w:rPr>
        <w:t>.</w:t>
      </w:r>
    </w:p>
    <w:p w:rsidR="002E312D" w:rsidRPr="00C7100A" w:rsidRDefault="002E312D" w:rsidP="002E312D">
      <w:pPr>
        <w:pStyle w:val="SingleTxtG"/>
        <w:tabs>
          <w:tab w:val="left" w:pos="2268"/>
        </w:tabs>
        <w:spacing w:after="80"/>
        <w:rPr>
          <w:lang w:val="fr-FR"/>
        </w:rPr>
      </w:pPr>
      <w:r w:rsidRPr="00847BD8">
        <w:rPr>
          <w:i/>
          <w:lang w:val="fr-FR"/>
        </w:rPr>
        <w:t>Le paragraphe 3.10.1.2</w:t>
      </w:r>
      <w:r w:rsidRPr="00C7100A">
        <w:rPr>
          <w:lang w:val="fr-FR"/>
        </w:rPr>
        <w:t xml:space="preserve"> devient le paragraphe 3.10.1.1.</w:t>
      </w:r>
    </w:p>
    <w:p w:rsidR="002E312D" w:rsidRPr="009F66A2" w:rsidRDefault="002E312D" w:rsidP="002E312D">
      <w:pPr>
        <w:pStyle w:val="SingleTxtG"/>
        <w:keepNext/>
        <w:keepLines/>
        <w:tabs>
          <w:tab w:val="left" w:pos="2268"/>
        </w:tabs>
        <w:spacing w:after="80"/>
        <w:rPr>
          <w:lang w:val="fr-FR"/>
        </w:rPr>
      </w:pPr>
      <w:r w:rsidRPr="00847BD8">
        <w:rPr>
          <w:i/>
          <w:lang w:val="fr-FR"/>
        </w:rPr>
        <w:t>Le paragraphe 3.10.1.3</w:t>
      </w:r>
      <w:r w:rsidRPr="00C7100A">
        <w:rPr>
          <w:lang w:val="fr-FR"/>
        </w:rPr>
        <w:t xml:space="preserve"> devient </w:t>
      </w:r>
      <w:r w:rsidRPr="009F66A2">
        <w:rPr>
          <w:lang w:val="fr-FR"/>
        </w:rPr>
        <w:t xml:space="preserve">le paragraphe 3.10.1.2, </w:t>
      </w:r>
      <w:r>
        <w:rPr>
          <w:lang w:val="fr-FR"/>
        </w:rPr>
        <w:t xml:space="preserve">et est </w:t>
      </w:r>
      <w:r w:rsidRPr="009F66A2">
        <w:rPr>
          <w:lang w:val="fr-FR"/>
        </w:rPr>
        <w:t>modifié comme suit</w:t>
      </w:r>
      <w:r w:rsidR="006453A3">
        <w:rPr>
          <w:lang w:val="fr-FR"/>
        </w:rPr>
        <w:t> :</w:t>
      </w:r>
    </w:p>
    <w:p w:rsidR="002E312D" w:rsidRPr="009F66A2" w:rsidRDefault="002E312D" w:rsidP="00B35797">
      <w:pPr>
        <w:pStyle w:val="SingleTxtG"/>
        <w:tabs>
          <w:tab w:val="left" w:pos="2268"/>
        </w:tabs>
        <w:ind w:left="2268"/>
        <w:rPr>
          <w:lang w:val="fr-FR"/>
        </w:rPr>
      </w:pPr>
      <w:r w:rsidRPr="009F66A2">
        <w:rPr>
          <w:lang w:val="fr-FR"/>
        </w:rPr>
        <w:t xml:space="preserve">« Le </w:t>
      </w:r>
      <w:r w:rsidRPr="009F66A2">
        <w:rPr>
          <w:i/>
          <w:iCs/>
          <w:lang w:val="fr-FR"/>
        </w:rPr>
        <w:t xml:space="preserve">danger par aspiration </w:t>
      </w:r>
      <w:r w:rsidRPr="009F66A2">
        <w:rPr>
          <w:lang w:val="fr-FR"/>
        </w:rPr>
        <w:t>peut entraîner de graves effets aigus tels que pneumonie chimique, lésions pulmonaires plus ou moins importantes, voire décès consécutif à l</w:t>
      </w:r>
      <w:r w:rsidR="00C76037">
        <w:rPr>
          <w:lang w:val="fr-FR"/>
        </w:rPr>
        <w:t>’</w:t>
      </w:r>
      <w:r w:rsidRPr="009F66A2">
        <w:rPr>
          <w:lang w:val="fr-FR"/>
        </w:rPr>
        <w:t>aspiration d</w:t>
      </w:r>
      <w:r w:rsidR="00C76037">
        <w:rPr>
          <w:lang w:val="fr-FR"/>
        </w:rPr>
        <w:t>’</w:t>
      </w:r>
      <w:r w:rsidRPr="009F66A2">
        <w:rPr>
          <w:lang w:val="fr-FR"/>
        </w:rPr>
        <w:t>une substance ou d</w:t>
      </w:r>
      <w:r w:rsidR="00C76037">
        <w:rPr>
          <w:lang w:val="fr-FR"/>
        </w:rPr>
        <w:t>’</w:t>
      </w:r>
      <w:r w:rsidRPr="009F66A2">
        <w:rPr>
          <w:lang w:val="fr-FR"/>
        </w:rPr>
        <w:t xml:space="preserve">un mélange. ». </w:t>
      </w:r>
    </w:p>
    <w:p w:rsidR="002E312D" w:rsidRPr="00C7100A" w:rsidRDefault="002E312D" w:rsidP="002E312D">
      <w:pPr>
        <w:pStyle w:val="SingleTxtG"/>
        <w:tabs>
          <w:tab w:val="left" w:pos="2268"/>
          <w:tab w:val="left" w:pos="3402"/>
        </w:tabs>
        <w:rPr>
          <w:lang w:val="fr-FR"/>
        </w:rPr>
      </w:pPr>
      <w:r w:rsidRPr="006453A3">
        <w:rPr>
          <w:i/>
          <w:lang w:val="fr-FR"/>
        </w:rPr>
        <w:t>Les paragraphes 3.10.1.4 et 3.10.1.5</w:t>
      </w:r>
      <w:r w:rsidRPr="00C7100A">
        <w:rPr>
          <w:lang w:val="fr-FR"/>
        </w:rPr>
        <w:t xml:space="preserve"> deviennent les paragraphes 3.10.1.3 et 3.10.1.4.</w:t>
      </w:r>
    </w:p>
    <w:p w:rsidR="002E312D" w:rsidRPr="009F66A2" w:rsidRDefault="002E312D" w:rsidP="006453A3">
      <w:pPr>
        <w:pStyle w:val="H1G"/>
        <w:rPr>
          <w:lang w:val="fr-FR"/>
        </w:rPr>
      </w:pPr>
      <w:r w:rsidRPr="009F66A2">
        <w:rPr>
          <w:lang w:val="fr-FR"/>
        </w:rPr>
        <w:tab/>
        <w:t>Point </w:t>
      </w:r>
      <w:r w:rsidR="006453A3">
        <w:rPr>
          <w:lang w:val="fr-FR"/>
        </w:rPr>
        <w:t>d)</w:t>
      </w:r>
      <w:r w:rsidRPr="009F66A2">
        <w:rPr>
          <w:lang w:val="fr-FR"/>
        </w:rPr>
        <w:tab/>
        <w:t xml:space="preserve">Proposer de modifier la rédaction de la dernière phrase </w:t>
      </w:r>
      <w:r w:rsidR="006453A3">
        <w:rPr>
          <w:lang w:val="fr-FR"/>
        </w:rPr>
        <w:br/>
      </w:r>
      <w:r w:rsidRPr="009F66A2">
        <w:rPr>
          <w:lang w:val="fr-FR"/>
        </w:rPr>
        <w:t xml:space="preserve">du paragraphe 3.1.2.3 du SGH, qui fournit des indications </w:t>
      </w:r>
      <w:r w:rsidR="006453A3">
        <w:rPr>
          <w:lang w:val="fr-FR"/>
        </w:rPr>
        <w:br/>
      </w:r>
      <w:r w:rsidRPr="009F66A2">
        <w:rPr>
          <w:lang w:val="fr-FR"/>
        </w:rPr>
        <w:t>sur l</w:t>
      </w:r>
      <w:r w:rsidR="00C76037">
        <w:rPr>
          <w:lang w:val="fr-FR"/>
        </w:rPr>
        <w:t>’</w:t>
      </w:r>
      <w:r w:rsidRPr="009F66A2">
        <w:rPr>
          <w:lang w:val="fr-FR"/>
        </w:rPr>
        <w:t>utilisation des données lors de l</w:t>
      </w:r>
      <w:r w:rsidR="00C76037">
        <w:rPr>
          <w:lang w:val="fr-FR"/>
        </w:rPr>
        <w:t>’</w:t>
      </w:r>
      <w:r w:rsidRPr="009F66A2">
        <w:rPr>
          <w:lang w:val="fr-FR"/>
        </w:rPr>
        <w:t xml:space="preserve">évaluation de données </w:t>
      </w:r>
      <w:r w:rsidR="006453A3">
        <w:rPr>
          <w:lang w:val="fr-FR"/>
        </w:rPr>
        <w:br/>
      </w:r>
      <w:r w:rsidRPr="009F66A2">
        <w:rPr>
          <w:lang w:val="fr-FR"/>
        </w:rPr>
        <w:t>de toxicité aiguë « obtenues avec plusieurs espèces animales ».</w:t>
      </w:r>
      <w:r>
        <w:rPr>
          <w:lang w:val="fr-FR"/>
        </w:rPr>
        <w:t xml:space="preserve"> Actuellement, la référence aux </w:t>
      </w:r>
      <w:r w:rsidRPr="009F66A2">
        <w:rPr>
          <w:lang w:val="fr-FR"/>
        </w:rPr>
        <w:t>effet</w:t>
      </w:r>
      <w:r>
        <w:rPr>
          <w:lang w:val="fr-FR"/>
        </w:rPr>
        <w:t>s</w:t>
      </w:r>
      <w:r w:rsidRPr="009F66A2">
        <w:rPr>
          <w:lang w:val="fr-FR"/>
        </w:rPr>
        <w:t xml:space="preserve"> chez l</w:t>
      </w:r>
      <w:r w:rsidR="00C76037">
        <w:rPr>
          <w:lang w:val="fr-FR"/>
        </w:rPr>
        <w:t>’</w:t>
      </w:r>
      <w:r w:rsidRPr="009F66A2">
        <w:rPr>
          <w:lang w:val="fr-FR"/>
        </w:rPr>
        <w:t xml:space="preserve">homme figure </w:t>
      </w:r>
      <w:r w:rsidR="006453A3">
        <w:rPr>
          <w:lang w:val="fr-FR"/>
        </w:rPr>
        <w:br/>
      </w:r>
      <w:r w:rsidRPr="009F66A2">
        <w:rPr>
          <w:lang w:val="fr-FR"/>
        </w:rPr>
        <w:t xml:space="preserve">seulement dans la note g) du tableau 3.1.1 et, étant donné </w:t>
      </w:r>
      <w:r w:rsidR="006453A3">
        <w:rPr>
          <w:lang w:val="fr-FR"/>
        </w:rPr>
        <w:br/>
      </w:r>
      <w:r w:rsidRPr="009F66A2">
        <w:rPr>
          <w:lang w:val="fr-FR"/>
        </w:rPr>
        <w:t xml:space="preserve">que de nombreuses autorités compétentes ne retiennent pas </w:t>
      </w:r>
      <w:r w:rsidR="006453A3">
        <w:rPr>
          <w:lang w:val="fr-FR"/>
        </w:rPr>
        <w:br/>
      </w:r>
      <w:r w:rsidRPr="009F66A2">
        <w:rPr>
          <w:lang w:val="fr-FR"/>
        </w:rPr>
        <w:t>la catégorie 5, la référence à l</w:t>
      </w:r>
      <w:r w:rsidR="00C76037">
        <w:rPr>
          <w:lang w:val="fr-FR"/>
        </w:rPr>
        <w:t>’</w:t>
      </w:r>
      <w:r w:rsidRPr="009F66A2">
        <w:rPr>
          <w:lang w:val="fr-FR"/>
        </w:rPr>
        <w:t>être humain a d</w:t>
      </w:r>
      <w:r>
        <w:rPr>
          <w:lang w:val="fr-FR"/>
        </w:rPr>
        <w:t xml:space="preserve">isparu de la mise </w:t>
      </w:r>
      <w:r w:rsidR="006453A3">
        <w:rPr>
          <w:lang w:val="fr-FR"/>
        </w:rPr>
        <w:br/>
      </w:r>
      <w:r>
        <w:rPr>
          <w:lang w:val="fr-FR"/>
        </w:rPr>
        <w:t>en œuvre des r</w:t>
      </w:r>
      <w:r w:rsidRPr="009F66A2">
        <w:rPr>
          <w:lang w:val="fr-FR"/>
        </w:rPr>
        <w:t>églementations</w:t>
      </w:r>
      <w:r>
        <w:rPr>
          <w:lang w:val="fr-FR"/>
        </w:rPr>
        <w:t>. L</w:t>
      </w:r>
      <w:r w:rsidR="00C76037">
        <w:rPr>
          <w:lang w:val="fr-FR"/>
        </w:rPr>
        <w:t>’</w:t>
      </w:r>
      <w:r>
        <w:rPr>
          <w:lang w:val="fr-FR"/>
        </w:rPr>
        <w:t xml:space="preserve">objectif </w:t>
      </w:r>
      <w:r w:rsidRPr="009F66A2">
        <w:rPr>
          <w:lang w:val="fr-FR"/>
        </w:rPr>
        <w:t xml:space="preserve">de la révision </w:t>
      </w:r>
      <w:r w:rsidR="006453A3">
        <w:rPr>
          <w:lang w:val="fr-FR"/>
        </w:rPr>
        <w:br/>
      </w:r>
      <w:r w:rsidRPr="009F66A2">
        <w:rPr>
          <w:lang w:val="fr-FR"/>
        </w:rPr>
        <w:t>rédactionnelle proposée est de préciser qu</w:t>
      </w:r>
      <w:r w:rsidR="00C76037">
        <w:rPr>
          <w:lang w:val="fr-FR"/>
        </w:rPr>
        <w:t>’</w:t>
      </w:r>
      <w:r w:rsidRPr="009F66A2">
        <w:rPr>
          <w:lang w:val="fr-FR"/>
        </w:rPr>
        <w:t xml:space="preserve">il convient </w:t>
      </w:r>
      <w:r w:rsidR="006453A3">
        <w:rPr>
          <w:lang w:val="fr-FR"/>
        </w:rPr>
        <w:br/>
      </w:r>
      <w:r w:rsidRPr="009F66A2">
        <w:rPr>
          <w:lang w:val="fr-FR"/>
        </w:rPr>
        <w:t xml:space="preserve">de prendre en compte les données </w:t>
      </w:r>
      <w:r>
        <w:rPr>
          <w:lang w:val="fr-FR"/>
        </w:rPr>
        <w:t xml:space="preserve">tirées </w:t>
      </w:r>
      <w:r w:rsidRPr="009F66A2">
        <w:rPr>
          <w:lang w:val="fr-FR"/>
        </w:rPr>
        <w:t>à la fois d</w:t>
      </w:r>
      <w:r w:rsidR="00C76037">
        <w:rPr>
          <w:lang w:val="fr-FR"/>
        </w:rPr>
        <w:t>’</w:t>
      </w:r>
      <w:r w:rsidRPr="009F66A2">
        <w:rPr>
          <w:lang w:val="fr-FR"/>
        </w:rPr>
        <w:t xml:space="preserve">essais </w:t>
      </w:r>
      <w:r w:rsidR="006453A3">
        <w:rPr>
          <w:lang w:val="fr-FR"/>
        </w:rPr>
        <w:br/>
      </w:r>
      <w:r w:rsidRPr="009F66A2">
        <w:rPr>
          <w:lang w:val="fr-FR"/>
        </w:rPr>
        <w:t>sur les animaux et des é</w:t>
      </w:r>
      <w:r w:rsidR="00C76037">
        <w:rPr>
          <w:lang w:val="fr-FR"/>
        </w:rPr>
        <w:t>tudes épidémiologiques humaines</w:t>
      </w:r>
    </w:p>
    <w:p w:rsidR="002E312D" w:rsidRPr="009F66A2" w:rsidRDefault="002E312D" w:rsidP="002E312D">
      <w:pPr>
        <w:pStyle w:val="H23G"/>
        <w:rPr>
          <w:lang w:val="fr-FR"/>
        </w:rPr>
      </w:pPr>
      <w:r w:rsidRPr="009F66A2">
        <w:rPr>
          <w:lang w:val="fr-FR"/>
        </w:rPr>
        <w:tab/>
      </w:r>
      <w:r w:rsidRPr="009F66A2">
        <w:rPr>
          <w:lang w:val="fr-FR"/>
        </w:rPr>
        <w:tab/>
      </w:r>
      <w:r>
        <w:rPr>
          <w:lang w:val="fr-FR"/>
        </w:rPr>
        <w:t>Chapitre</w:t>
      </w:r>
      <w:r w:rsidRPr="009F66A2">
        <w:rPr>
          <w:lang w:val="fr-FR"/>
        </w:rPr>
        <w:t xml:space="preserve"> 3.1 </w:t>
      </w:r>
    </w:p>
    <w:p w:rsidR="002E312D" w:rsidRPr="00C7100A" w:rsidRDefault="002E312D" w:rsidP="006453A3">
      <w:pPr>
        <w:pStyle w:val="SingleTxtG"/>
        <w:keepNext/>
        <w:rPr>
          <w:lang w:val="fr-FR"/>
        </w:rPr>
      </w:pPr>
      <w:r w:rsidRPr="006453A3">
        <w:rPr>
          <w:i/>
          <w:lang w:val="fr-FR"/>
        </w:rPr>
        <w:t>Paragraphe 3.1.2.3</w:t>
      </w:r>
      <w:r w:rsidRPr="00C7100A">
        <w:rPr>
          <w:lang w:val="fr-FR"/>
        </w:rPr>
        <w:t>, ajouter à la fin la nouvelle phrase suivante :</w:t>
      </w:r>
    </w:p>
    <w:p w:rsidR="002E312D" w:rsidRPr="009F66A2" w:rsidRDefault="002E312D" w:rsidP="00B35797">
      <w:pPr>
        <w:pStyle w:val="SingleTxtG"/>
        <w:tabs>
          <w:tab w:val="left" w:pos="2268"/>
        </w:tabs>
        <w:ind w:left="2268"/>
        <w:rPr>
          <w:lang w:val="fr-FR"/>
        </w:rPr>
      </w:pPr>
      <w:r w:rsidRPr="009F66A2">
        <w:rPr>
          <w:lang w:val="fr-FR"/>
        </w:rPr>
        <w:t>« Dans les cas où des données tirées de l</w:t>
      </w:r>
      <w:r w:rsidR="00C76037">
        <w:rPr>
          <w:lang w:val="fr-FR"/>
        </w:rPr>
        <w:t>’</w:t>
      </w:r>
      <w:r w:rsidRPr="009F66A2">
        <w:rPr>
          <w:lang w:val="fr-FR"/>
        </w:rPr>
        <w:t>expérience humaine (à savoir les données professionnelles, les données provenant des bases de données sur les accidents, les études épidémiologiques) sont également disponibles, elles doivent être prises en considération selon une méthode d</w:t>
      </w:r>
      <w:r w:rsidR="00C76037">
        <w:rPr>
          <w:lang w:val="fr-FR"/>
        </w:rPr>
        <w:t>’</w:t>
      </w:r>
      <w:r w:rsidRPr="009F66A2">
        <w:rPr>
          <w:lang w:val="fr-FR"/>
        </w:rPr>
        <w:t>évaluation de la force probante conforme aux principes énoncés au paragraphe 1.3.2.4.9. ».</w:t>
      </w:r>
    </w:p>
    <w:p w:rsidR="002E312D" w:rsidRPr="009F66A2" w:rsidRDefault="002E312D" w:rsidP="006453A3">
      <w:pPr>
        <w:pStyle w:val="H1G"/>
        <w:rPr>
          <w:lang w:val="fr-FR"/>
        </w:rPr>
      </w:pPr>
      <w:r w:rsidRPr="009F66A2">
        <w:rPr>
          <w:lang w:val="fr-FR"/>
        </w:rPr>
        <w:tab/>
        <w:t>Point </w:t>
      </w:r>
      <w:r w:rsidR="006453A3">
        <w:rPr>
          <w:lang w:val="fr-FR"/>
        </w:rPr>
        <w:t>g)</w:t>
      </w:r>
      <w:r w:rsidRPr="009F66A2">
        <w:rPr>
          <w:lang w:val="fr-FR"/>
        </w:rPr>
        <w:tab/>
        <w:t xml:space="preserve">Proposer une actualisation du tableau 3.1.1 de manière que les valeurs de toxicité aiguë y soit exprimées sous forme scalaire. Par exemple, </w:t>
      </w:r>
      <w:r w:rsidR="006453A3">
        <w:rPr>
          <w:lang w:val="fr-FR"/>
        </w:rPr>
        <w:br/>
      </w:r>
      <w:r w:rsidRPr="009F66A2">
        <w:rPr>
          <w:lang w:val="fr-FR"/>
        </w:rPr>
        <w:t xml:space="preserve">les valeurs de toxicité aiguë pour la toxicité aiguë par voie orale </w:t>
      </w:r>
      <w:r w:rsidR="006453A3">
        <w:rPr>
          <w:lang w:val="fr-FR"/>
        </w:rPr>
        <w:br/>
      </w:r>
      <w:r w:rsidRPr="009F66A2">
        <w:rPr>
          <w:lang w:val="fr-FR"/>
        </w:rPr>
        <w:t>de catégorie 3 seraient exprimé</w:t>
      </w:r>
      <w:r w:rsidR="00C76037">
        <w:rPr>
          <w:lang w:val="fr-FR"/>
        </w:rPr>
        <w:t>e</w:t>
      </w:r>
      <w:r w:rsidRPr="009F66A2">
        <w:rPr>
          <w:lang w:val="fr-FR"/>
        </w:rPr>
        <w:t xml:space="preserve">s comme suit : &gt; 50 et ≤ 300, </w:t>
      </w:r>
      <w:r w:rsidR="006453A3">
        <w:rPr>
          <w:lang w:val="fr-FR"/>
        </w:rPr>
        <w:br/>
      </w:r>
      <w:r w:rsidRPr="009F66A2">
        <w:rPr>
          <w:lang w:val="fr-FR"/>
        </w:rPr>
        <w:t xml:space="preserve">ou 50 &lt; ETA ≤ 300 </w:t>
      </w:r>
    </w:p>
    <w:p w:rsidR="002E312D" w:rsidRPr="009F66A2" w:rsidRDefault="002E312D" w:rsidP="002E312D">
      <w:pPr>
        <w:pStyle w:val="H23G"/>
        <w:rPr>
          <w:lang w:val="fr-FR"/>
        </w:rPr>
      </w:pPr>
      <w:r w:rsidRPr="009F66A2">
        <w:rPr>
          <w:lang w:val="fr-FR"/>
        </w:rPr>
        <w:tab/>
      </w:r>
      <w:r w:rsidRPr="009F66A2">
        <w:rPr>
          <w:lang w:val="fr-FR"/>
        </w:rPr>
        <w:tab/>
      </w:r>
      <w:r>
        <w:rPr>
          <w:lang w:val="fr-FR"/>
        </w:rPr>
        <w:t>Chapitre</w:t>
      </w:r>
      <w:r w:rsidRPr="009F66A2">
        <w:rPr>
          <w:lang w:val="fr-FR"/>
        </w:rPr>
        <w:t xml:space="preserve"> 3.1</w:t>
      </w:r>
    </w:p>
    <w:p w:rsidR="002E312D" w:rsidRPr="00C7100A" w:rsidRDefault="002E312D" w:rsidP="002E312D">
      <w:pPr>
        <w:pStyle w:val="SingleTxtG"/>
        <w:tabs>
          <w:tab w:val="left" w:pos="2268"/>
        </w:tabs>
        <w:rPr>
          <w:lang w:val="fr-FR"/>
        </w:rPr>
      </w:pPr>
      <w:r w:rsidRPr="006453A3">
        <w:rPr>
          <w:i/>
          <w:lang w:val="fr-FR"/>
        </w:rPr>
        <w:t>Paragraphe 3.1.2</w:t>
      </w:r>
      <w:r w:rsidRPr="00C7100A">
        <w:rPr>
          <w:lang w:val="fr-FR"/>
        </w:rPr>
        <w:t>, modifier le tableau 3.1.1 comme suit</w:t>
      </w:r>
      <w:r w:rsidR="006453A3">
        <w:rPr>
          <w:lang w:val="fr-FR"/>
        </w:rPr>
        <w:t> :</w:t>
      </w:r>
    </w:p>
    <w:p w:rsidR="002E312D" w:rsidRPr="006453A3" w:rsidRDefault="002E312D" w:rsidP="006453A3">
      <w:pPr>
        <w:pStyle w:val="Heading1"/>
        <w:spacing w:after="120"/>
        <w:ind w:left="0"/>
        <w:rPr>
          <w:b/>
          <w:lang w:val="fr-FR"/>
        </w:rPr>
      </w:pPr>
      <w:r w:rsidRPr="009F66A2">
        <w:rPr>
          <w:lang w:val="fr-FR"/>
        </w:rPr>
        <w:t>Tableau</w:t>
      </w:r>
      <w:r w:rsidR="006453A3">
        <w:rPr>
          <w:lang w:val="fr-FR"/>
        </w:rPr>
        <w:t xml:space="preserve"> 3.1.1 </w:t>
      </w:r>
      <w:r w:rsidR="006453A3">
        <w:rPr>
          <w:lang w:val="fr-FR"/>
        </w:rPr>
        <w:br/>
      </w:r>
      <w:r w:rsidRPr="006453A3">
        <w:rPr>
          <w:b/>
          <w:lang w:val="fr-FR"/>
        </w:rPr>
        <w:t>Estimations de toxicité aig</w:t>
      </w:r>
      <w:r w:rsidR="006453A3">
        <w:rPr>
          <w:b/>
          <w:lang w:val="fr-FR"/>
        </w:rPr>
        <w:t>uë</w:t>
      </w:r>
      <w:r w:rsidRPr="006453A3">
        <w:rPr>
          <w:b/>
          <w:lang w:val="fr-FR"/>
        </w:rPr>
        <w:t xml:space="preserve"> (ETA) et critères définissant les catégories de danger de toxicité aig</w:t>
      </w:r>
      <w:r w:rsidR="006453A3">
        <w:rPr>
          <w:b/>
          <w:lang w:val="fr-FR"/>
        </w:rPr>
        <w:t>uë</w:t>
      </w:r>
      <w:r w:rsidRPr="006453A3">
        <w:rPr>
          <w:b/>
          <w:lang w:val="fr-FR"/>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276"/>
        <w:gridCol w:w="1417"/>
        <w:gridCol w:w="1560"/>
        <w:gridCol w:w="1701"/>
        <w:gridCol w:w="1275"/>
      </w:tblGrid>
      <w:tr w:rsidR="002E312D" w:rsidRPr="009F66A2" w:rsidTr="006453A3">
        <w:trPr>
          <w:trHeight w:val="220"/>
          <w:jc w:val="center"/>
        </w:trPr>
        <w:tc>
          <w:tcPr>
            <w:tcW w:w="2410" w:type="dxa"/>
            <w:vAlign w:val="center"/>
          </w:tcPr>
          <w:p w:rsidR="002E312D" w:rsidRPr="009F66A2" w:rsidRDefault="002E312D" w:rsidP="00C76037">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rPr>
                <w:b/>
                <w:bCs/>
                <w:sz w:val="16"/>
                <w:szCs w:val="16"/>
                <w:lang w:val="fr-FR"/>
              </w:rPr>
            </w:pPr>
            <w:r w:rsidRPr="009F66A2">
              <w:rPr>
                <w:b/>
                <w:bCs/>
                <w:sz w:val="16"/>
                <w:szCs w:val="16"/>
                <w:lang w:val="fr-FR"/>
              </w:rPr>
              <w:t>Voie d</w:t>
            </w:r>
            <w:r w:rsidR="00C76037">
              <w:rPr>
                <w:b/>
                <w:bCs/>
                <w:sz w:val="16"/>
                <w:szCs w:val="16"/>
                <w:lang w:val="fr-FR"/>
              </w:rPr>
              <w:t>’</w:t>
            </w:r>
            <w:r w:rsidRPr="009F66A2">
              <w:rPr>
                <w:b/>
                <w:bCs/>
                <w:sz w:val="16"/>
                <w:szCs w:val="16"/>
                <w:lang w:val="fr-FR"/>
              </w:rPr>
              <w:t>exposition</w:t>
            </w:r>
          </w:p>
        </w:tc>
        <w:tc>
          <w:tcPr>
            <w:tcW w:w="1276" w:type="dxa"/>
            <w:vAlign w:val="center"/>
          </w:tcPr>
          <w:p w:rsidR="002E312D" w:rsidRPr="009F66A2" w:rsidRDefault="002E312D" w:rsidP="00C76037">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ind w:left="-140" w:right="-69"/>
              <w:jc w:val="center"/>
              <w:rPr>
                <w:b/>
                <w:bCs/>
                <w:sz w:val="16"/>
                <w:szCs w:val="16"/>
                <w:lang w:val="fr-FR"/>
              </w:rPr>
            </w:pPr>
            <w:r w:rsidRPr="009F66A2">
              <w:rPr>
                <w:b/>
                <w:bCs/>
                <w:sz w:val="16"/>
                <w:szCs w:val="16"/>
                <w:lang w:val="fr-FR"/>
              </w:rPr>
              <w:t>Catégorie 1</w:t>
            </w:r>
          </w:p>
        </w:tc>
        <w:tc>
          <w:tcPr>
            <w:tcW w:w="1417" w:type="dxa"/>
            <w:vAlign w:val="center"/>
          </w:tcPr>
          <w:p w:rsidR="002E312D" w:rsidRPr="009F66A2" w:rsidRDefault="002E312D" w:rsidP="00C76037">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ind w:left="-140" w:right="-69"/>
              <w:jc w:val="center"/>
              <w:rPr>
                <w:b/>
                <w:bCs/>
                <w:sz w:val="16"/>
                <w:szCs w:val="16"/>
                <w:lang w:val="fr-FR"/>
              </w:rPr>
            </w:pPr>
            <w:r w:rsidRPr="009F66A2">
              <w:rPr>
                <w:b/>
                <w:bCs/>
                <w:sz w:val="16"/>
                <w:szCs w:val="16"/>
                <w:lang w:val="fr-FR"/>
              </w:rPr>
              <w:t>Catégorie 2</w:t>
            </w:r>
          </w:p>
        </w:tc>
        <w:tc>
          <w:tcPr>
            <w:tcW w:w="1560" w:type="dxa"/>
            <w:vAlign w:val="center"/>
          </w:tcPr>
          <w:p w:rsidR="002E312D" w:rsidRPr="009F66A2" w:rsidRDefault="002E312D" w:rsidP="00C76037">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ind w:left="-140" w:right="-69"/>
              <w:jc w:val="center"/>
              <w:rPr>
                <w:b/>
                <w:bCs/>
                <w:sz w:val="16"/>
                <w:szCs w:val="16"/>
                <w:lang w:val="fr-FR"/>
              </w:rPr>
            </w:pPr>
            <w:r w:rsidRPr="009F66A2">
              <w:rPr>
                <w:b/>
                <w:bCs/>
                <w:sz w:val="16"/>
                <w:szCs w:val="16"/>
                <w:lang w:val="fr-FR"/>
              </w:rPr>
              <w:t>Catégorie 3</w:t>
            </w:r>
          </w:p>
        </w:tc>
        <w:tc>
          <w:tcPr>
            <w:tcW w:w="1701" w:type="dxa"/>
            <w:vAlign w:val="center"/>
          </w:tcPr>
          <w:p w:rsidR="002E312D" w:rsidRPr="009F66A2" w:rsidRDefault="002E312D" w:rsidP="00C76037">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ind w:left="-140" w:right="-69"/>
              <w:jc w:val="center"/>
              <w:rPr>
                <w:b/>
                <w:bCs/>
                <w:sz w:val="16"/>
                <w:szCs w:val="16"/>
                <w:lang w:val="fr-FR"/>
              </w:rPr>
            </w:pPr>
            <w:r w:rsidRPr="009F66A2">
              <w:rPr>
                <w:b/>
                <w:bCs/>
                <w:sz w:val="16"/>
                <w:szCs w:val="16"/>
                <w:lang w:val="fr-FR"/>
              </w:rPr>
              <w:t>Catégorie 4</w:t>
            </w:r>
          </w:p>
        </w:tc>
        <w:tc>
          <w:tcPr>
            <w:tcW w:w="1275" w:type="dxa"/>
            <w:vAlign w:val="center"/>
          </w:tcPr>
          <w:p w:rsidR="002E312D" w:rsidRPr="009F66A2" w:rsidRDefault="002E312D" w:rsidP="00C76037">
            <w:pPr>
              <w:pStyle w:val="Style1"/>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ind w:left="-140" w:right="-69"/>
              <w:jc w:val="center"/>
              <w:rPr>
                <w:b/>
                <w:bCs/>
                <w:sz w:val="16"/>
                <w:szCs w:val="16"/>
                <w:lang w:val="fr-FR"/>
              </w:rPr>
            </w:pPr>
            <w:r w:rsidRPr="009F66A2">
              <w:rPr>
                <w:b/>
                <w:bCs/>
                <w:sz w:val="16"/>
                <w:szCs w:val="16"/>
                <w:lang w:val="fr-FR"/>
              </w:rPr>
              <w:t>Catégorie 5</w:t>
            </w:r>
          </w:p>
        </w:tc>
      </w:tr>
      <w:tr w:rsidR="002E312D" w:rsidRPr="009F66A2" w:rsidTr="006453A3">
        <w:trPr>
          <w:trHeight w:val="124"/>
          <w:jc w:val="center"/>
        </w:trPr>
        <w:tc>
          <w:tcPr>
            <w:tcW w:w="2410" w:type="dxa"/>
          </w:tcPr>
          <w:p w:rsidR="002E312D" w:rsidRPr="009F66A2" w:rsidRDefault="002E312D" w:rsidP="00C76037">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rPr>
                <w:sz w:val="16"/>
                <w:szCs w:val="16"/>
                <w:lang w:val="fr-FR"/>
              </w:rPr>
            </w:pPr>
            <w:r w:rsidRPr="009F66A2">
              <w:rPr>
                <w:b/>
                <w:bCs/>
                <w:sz w:val="16"/>
                <w:szCs w:val="16"/>
                <w:lang w:val="fr-FR"/>
              </w:rPr>
              <w:t xml:space="preserve">Orale </w:t>
            </w:r>
            <w:r w:rsidRPr="009F66A2">
              <w:rPr>
                <w:sz w:val="16"/>
                <w:szCs w:val="16"/>
                <w:lang w:val="fr-FR"/>
              </w:rPr>
              <w:t>(mg/kg de poids corporel)</w:t>
            </w:r>
          </w:p>
          <w:p w:rsidR="002E312D" w:rsidRPr="009F66A2" w:rsidRDefault="002E312D" w:rsidP="00C76037">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rPr>
                <w:sz w:val="16"/>
                <w:szCs w:val="16"/>
                <w:lang w:val="fr-FR"/>
              </w:rPr>
            </w:pPr>
            <w:r w:rsidRPr="009F66A2">
              <w:rPr>
                <w:i/>
                <w:iCs/>
                <w:sz w:val="16"/>
                <w:szCs w:val="16"/>
                <w:lang w:val="fr-FR"/>
              </w:rPr>
              <w:t>Voir notes a) et b)</w:t>
            </w:r>
          </w:p>
        </w:tc>
        <w:tc>
          <w:tcPr>
            <w:tcW w:w="1276" w:type="dxa"/>
          </w:tcPr>
          <w:p w:rsidR="002E312D" w:rsidRPr="009F66A2" w:rsidRDefault="002E312D" w:rsidP="00C76037">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jc w:val="center"/>
              <w:rPr>
                <w:sz w:val="16"/>
                <w:szCs w:val="16"/>
                <w:lang w:val="fr-FR"/>
              </w:rPr>
            </w:pPr>
            <w:r w:rsidRPr="009F66A2">
              <w:rPr>
                <w:sz w:val="16"/>
                <w:szCs w:val="16"/>
                <w:lang w:val="fr-FR"/>
              </w:rPr>
              <w:t>ETA ≤ 5</w:t>
            </w:r>
          </w:p>
        </w:tc>
        <w:tc>
          <w:tcPr>
            <w:tcW w:w="1417" w:type="dxa"/>
          </w:tcPr>
          <w:p w:rsidR="002E312D" w:rsidRPr="009F66A2" w:rsidRDefault="002E312D" w:rsidP="00C76037">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jc w:val="center"/>
              <w:rPr>
                <w:sz w:val="16"/>
                <w:szCs w:val="16"/>
                <w:lang w:val="fr-FR"/>
              </w:rPr>
            </w:pPr>
            <w:r w:rsidRPr="009F66A2">
              <w:rPr>
                <w:sz w:val="16"/>
                <w:szCs w:val="16"/>
                <w:lang w:val="fr-FR"/>
              </w:rPr>
              <w:t>5 &lt; ETA ≤ 50</w:t>
            </w:r>
          </w:p>
        </w:tc>
        <w:tc>
          <w:tcPr>
            <w:tcW w:w="1560" w:type="dxa"/>
          </w:tcPr>
          <w:p w:rsidR="002E312D" w:rsidRPr="009F66A2" w:rsidRDefault="002E312D" w:rsidP="00C76037">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jc w:val="center"/>
              <w:rPr>
                <w:sz w:val="16"/>
                <w:szCs w:val="16"/>
                <w:lang w:val="fr-FR"/>
              </w:rPr>
            </w:pPr>
            <w:r w:rsidRPr="009F66A2">
              <w:rPr>
                <w:sz w:val="16"/>
                <w:szCs w:val="16"/>
                <w:lang w:val="fr-FR"/>
              </w:rPr>
              <w:t>50 &lt; ETA ≤ 300</w:t>
            </w:r>
          </w:p>
        </w:tc>
        <w:tc>
          <w:tcPr>
            <w:tcW w:w="1701" w:type="dxa"/>
          </w:tcPr>
          <w:p w:rsidR="002E312D" w:rsidRPr="009F66A2" w:rsidRDefault="002E312D" w:rsidP="00C76037">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jc w:val="center"/>
              <w:rPr>
                <w:sz w:val="16"/>
                <w:szCs w:val="16"/>
                <w:lang w:val="fr-FR"/>
              </w:rPr>
            </w:pPr>
            <w:r w:rsidRPr="009F66A2">
              <w:rPr>
                <w:sz w:val="16"/>
                <w:szCs w:val="16"/>
                <w:lang w:val="fr-FR"/>
              </w:rPr>
              <w:t>300 &lt; ETA ≤ 2 000</w:t>
            </w:r>
          </w:p>
        </w:tc>
        <w:tc>
          <w:tcPr>
            <w:tcW w:w="1275" w:type="dxa"/>
            <w:vMerge w:val="restart"/>
            <w:vAlign w:val="center"/>
          </w:tcPr>
          <w:p w:rsidR="002E312D" w:rsidRPr="009F66A2" w:rsidRDefault="002E312D" w:rsidP="00C76037">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jc w:val="center"/>
              <w:rPr>
                <w:sz w:val="16"/>
                <w:szCs w:val="16"/>
                <w:lang w:val="fr-FR"/>
              </w:rPr>
            </w:pPr>
            <w:r w:rsidRPr="009F66A2">
              <w:rPr>
                <w:sz w:val="16"/>
                <w:szCs w:val="16"/>
                <w:lang w:val="fr-FR"/>
              </w:rPr>
              <w:t>5</w:t>
            </w:r>
            <w:r>
              <w:rPr>
                <w:sz w:val="16"/>
                <w:szCs w:val="16"/>
                <w:lang w:val="fr-FR"/>
              </w:rPr>
              <w:t> </w:t>
            </w:r>
            <w:r w:rsidRPr="009F66A2">
              <w:rPr>
                <w:sz w:val="16"/>
                <w:szCs w:val="16"/>
                <w:lang w:val="fr-FR"/>
              </w:rPr>
              <w:t>000</w:t>
            </w:r>
            <w:r w:rsidRPr="009F66A2">
              <w:rPr>
                <w:sz w:val="16"/>
                <w:szCs w:val="16"/>
                <w:lang w:val="fr-FR"/>
              </w:rPr>
              <w:br/>
            </w:r>
            <w:r>
              <w:rPr>
                <w:i/>
                <w:iCs/>
                <w:sz w:val="16"/>
                <w:szCs w:val="16"/>
                <w:lang w:val="fr-FR"/>
              </w:rPr>
              <w:t xml:space="preserve">Voir critères détaillés </w:t>
            </w:r>
            <w:r w:rsidR="006453A3">
              <w:rPr>
                <w:i/>
                <w:iCs/>
                <w:sz w:val="16"/>
                <w:szCs w:val="16"/>
                <w:lang w:val="fr-FR"/>
              </w:rPr>
              <w:br/>
            </w:r>
            <w:r>
              <w:rPr>
                <w:i/>
                <w:iCs/>
                <w:sz w:val="16"/>
                <w:szCs w:val="16"/>
                <w:lang w:val="fr-FR"/>
              </w:rPr>
              <w:t>en note </w:t>
            </w:r>
            <w:r w:rsidRPr="009F66A2">
              <w:rPr>
                <w:i/>
                <w:iCs/>
                <w:sz w:val="16"/>
                <w:szCs w:val="16"/>
                <w:lang w:val="fr-FR"/>
              </w:rPr>
              <w:t>g)</w:t>
            </w:r>
          </w:p>
        </w:tc>
      </w:tr>
      <w:tr w:rsidR="002E312D" w:rsidRPr="009F66A2" w:rsidTr="006453A3">
        <w:trPr>
          <w:trHeight w:val="158"/>
          <w:jc w:val="center"/>
        </w:trPr>
        <w:tc>
          <w:tcPr>
            <w:tcW w:w="2410" w:type="dxa"/>
          </w:tcPr>
          <w:p w:rsidR="002E312D" w:rsidRPr="009F66A2" w:rsidRDefault="002E312D" w:rsidP="00C76037">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rPr>
                <w:i/>
                <w:iCs/>
                <w:sz w:val="16"/>
                <w:szCs w:val="16"/>
                <w:lang w:val="fr-FR"/>
              </w:rPr>
            </w:pPr>
            <w:r w:rsidRPr="009F66A2">
              <w:rPr>
                <w:b/>
                <w:bCs/>
                <w:sz w:val="16"/>
                <w:szCs w:val="16"/>
                <w:lang w:val="fr-FR"/>
              </w:rPr>
              <w:t xml:space="preserve">Cutanée </w:t>
            </w:r>
            <w:r w:rsidRPr="009F66A2">
              <w:rPr>
                <w:sz w:val="16"/>
                <w:szCs w:val="16"/>
                <w:lang w:val="fr-FR"/>
              </w:rPr>
              <w:t>(mg/kg de poids corporel)</w:t>
            </w:r>
            <w:r w:rsidRPr="009F66A2">
              <w:rPr>
                <w:i/>
                <w:iCs/>
                <w:sz w:val="16"/>
                <w:szCs w:val="16"/>
                <w:lang w:val="fr-FR"/>
              </w:rPr>
              <w:t xml:space="preserve"> Voir notes a) et b)</w:t>
            </w:r>
          </w:p>
        </w:tc>
        <w:tc>
          <w:tcPr>
            <w:tcW w:w="1276" w:type="dxa"/>
          </w:tcPr>
          <w:p w:rsidR="002E312D" w:rsidRPr="009F66A2" w:rsidRDefault="002E312D" w:rsidP="00C76037">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jc w:val="center"/>
              <w:rPr>
                <w:sz w:val="16"/>
                <w:szCs w:val="16"/>
                <w:lang w:val="fr-FR"/>
              </w:rPr>
            </w:pPr>
            <w:r w:rsidRPr="009F66A2">
              <w:rPr>
                <w:sz w:val="16"/>
                <w:szCs w:val="16"/>
                <w:lang w:val="fr-FR"/>
              </w:rPr>
              <w:t>ETA ≤ 50</w:t>
            </w:r>
          </w:p>
        </w:tc>
        <w:tc>
          <w:tcPr>
            <w:tcW w:w="1417" w:type="dxa"/>
          </w:tcPr>
          <w:p w:rsidR="002E312D" w:rsidRPr="009F66A2" w:rsidRDefault="002E312D" w:rsidP="00C76037">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jc w:val="center"/>
              <w:rPr>
                <w:sz w:val="16"/>
                <w:szCs w:val="16"/>
                <w:lang w:val="fr-FR"/>
              </w:rPr>
            </w:pPr>
            <w:r w:rsidRPr="009F66A2">
              <w:rPr>
                <w:sz w:val="16"/>
                <w:szCs w:val="16"/>
                <w:lang w:val="fr-FR"/>
              </w:rPr>
              <w:t>50 &lt; ETA ≤ 200</w:t>
            </w:r>
          </w:p>
        </w:tc>
        <w:tc>
          <w:tcPr>
            <w:tcW w:w="1560" w:type="dxa"/>
          </w:tcPr>
          <w:p w:rsidR="002E312D" w:rsidRPr="009F66A2" w:rsidRDefault="002E312D" w:rsidP="00C76037">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jc w:val="center"/>
              <w:rPr>
                <w:sz w:val="16"/>
                <w:szCs w:val="16"/>
                <w:lang w:val="fr-FR"/>
              </w:rPr>
            </w:pPr>
            <w:r w:rsidRPr="009F66A2">
              <w:rPr>
                <w:sz w:val="16"/>
                <w:szCs w:val="16"/>
                <w:lang w:val="fr-FR"/>
              </w:rPr>
              <w:t>200 &lt; ETA ≤ 1 000</w:t>
            </w:r>
          </w:p>
        </w:tc>
        <w:tc>
          <w:tcPr>
            <w:tcW w:w="1701" w:type="dxa"/>
          </w:tcPr>
          <w:p w:rsidR="002E312D" w:rsidRPr="009F66A2" w:rsidRDefault="002E312D" w:rsidP="00C76037">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jc w:val="center"/>
              <w:rPr>
                <w:sz w:val="16"/>
                <w:szCs w:val="16"/>
                <w:lang w:val="fr-FR"/>
              </w:rPr>
            </w:pPr>
            <w:r w:rsidRPr="009F66A2">
              <w:rPr>
                <w:sz w:val="16"/>
                <w:szCs w:val="16"/>
                <w:lang w:val="fr-FR"/>
              </w:rPr>
              <w:t>1 000 &lt; ETA ≤ 2 000</w:t>
            </w:r>
          </w:p>
        </w:tc>
        <w:tc>
          <w:tcPr>
            <w:tcW w:w="1275" w:type="dxa"/>
            <w:vMerge/>
          </w:tcPr>
          <w:p w:rsidR="002E312D" w:rsidRPr="009F66A2" w:rsidRDefault="002E312D" w:rsidP="00C76037">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jc w:val="center"/>
              <w:rPr>
                <w:sz w:val="16"/>
                <w:szCs w:val="16"/>
                <w:u w:val="single"/>
                <w:lang w:val="fr-FR"/>
              </w:rPr>
            </w:pPr>
          </w:p>
        </w:tc>
      </w:tr>
      <w:tr w:rsidR="002E312D" w:rsidRPr="009F66A2" w:rsidTr="006453A3">
        <w:trPr>
          <w:trHeight w:val="206"/>
          <w:jc w:val="center"/>
        </w:trPr>
        <w:tc>
          <w:tcPr>
            <w:tcW w:w="2410" w:type="dxa"/>
          </w:tcPr>
          <w:p w:rsidR="002E312D" w:rsidRPr="009F66A2" w:rsidRDefault="002E312D" w:rsidP="00C76037">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rPr>
                <w:sz w:val="16"/>
                <w:szCs w:val="16"/>
                <w:lang w:val="fr-FR"/>
              </w:rPr>
            </w:pPr>
            <w:r w:rsidRPr="009F66A2">
              <w:rPr>
                <w:b/>
                <w:bCs/>
                <w:sz w:val="16"/>
                <w:szCs w:val="16"/>
                <w:lang w:val="fr-FR"/>
              </w:rPr>
              <w:t>Gaz</w:t>
            </w:r>
            <w:r w:rsidRPr="009F66A2">
              <w:rPr>
                <w:sz w:val="16"/>
                <w:szCs w:val="16"/>
                <w:lang w:val="fr-FR"/>
              </w:rPr>
              <w:t xml:space="preserve"> (ppmV)</w:t>
            </w:r>
          </w:p>
          <w:p w:rsidR="002E312D" w:rsidRPr="009F66A2" w:rsidRDefault="002E312D" w:rsidP="00C76037">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ind w:left="1153" w:hanging="1153"/>
              <w:rPr>
                <w:i/>
                <w:iCs/>
                <w:sz w:val="16"/>
                <w:szCs w:val="16"/>
                <w:lang w:val="fr-FR"/>
              </w:rPr>
            </w:pPr>
            <w:r w:rsidRPr="009F66A2">
              <w:rPr>
                <w:i/>
                <w:iCs/>
                <w:sz w:val="16"/>
                <w:szCs w:val="16"/>
                <w:lang w:val="fr-FR"/>
              </w:rPr>
              <w:t>Voir notes a), b) et c)</w:t>
            </w:r>
          </w:p>
        </w:tc>
        <w:tc>
          <w:tcPr>
            <w:tcW w:w="1276" w:type="dxa"/>
          </w:tcPr>
          <w:p w:rsidR="002E312D" w:rsidRPr="009F66A2" w:rsidRDefault="002E312D" w:rsidP="00C76037">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jc w:val="center"/>
              <w:rPr>
                <w:sz w:val="16"/>
                <w:szCs w:val="16"/>
                <w:lang w:val="fr-FR"/>
              </w:rPr>
            </w:pPr>
            <w:r w:rsidRPr="009F66A2">
              <w:rPr>
                <w:sz w:val="16"/>
                <w:szCs w:val="16"/>
                <w:lang w:val="fr-FR"/>
              </w:rPr>
              <w:t>ETA ≤ 100</w:t>
            </w:r>
          </w:p>
        </w:tc>
        <w:tc>
          <w:tcPr>
            <w:tcW w:w="1417" w:type="dxa"/>
          </w:tcPr>
          <w:p w:rsidR="002E312D" w:rsidRPr="009F66A2" w:rsidRDefault="002E312D" w:rsidP="00C76037">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jc w:val="center"/>
              <w:rPr>
                <w:sz w:val="16"/>
                <w:szCs w:val="16"/>
                <w:lang w:val="fr-FR"/>
              </w:rPr>
            </w:pPr>
            <w:r w:rsidRPr="009F66A2">
              <w:rPr>
                <w:sz w:val="16"/>
                <w:szCs w:val="16"/>
                <w:lang w:val="fr-FR"/>
              </w:rPr>
              <w:t>100 &lt; ETA ≤ 500</w:t>
            </w:r>
          </w:p>
        </w:tc>
        <w:tc>
          <w:tcPr>
            <w:tcW w:w="1560" w:type="dxa"/>
          </w:tcPr>
          <w:p w:rsidR="002E312D" w:rsidRPr="009F66A2" w:rsidRDefault="002E312D" w:rsidP="00C76037">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jc w:val="center"/>
              <w:rPr>
                <w:sz w:val="16"/>
                <w:szCs w:val="16"/>
                <w:lang w:val="fr-FR"/>
              </w:rPr>
            </w:pPr>
            <w:r w:rsidRPr="009F66A2">
              <w:rPr>
                <w:sz w:val="16"/>
                <w:szCs w:val="16"/>
                <w:lang w:val="fr-FR"/>
              </w:rPr>
              <w:t>500 &lt; ETA ≤ 2 500</w:t>
            </w:r>
          </w:p>
        </w:tc>
        <w:tc>
          <w:tcPr>
            <w:tcW w:w="1701" w:type="dxa"/>
          </w:tcPr>
          <w:p w:rsidR="002E312D" w:rsidRPr="009F66A2" w:rsidRDefault="002E312D" w:rsidP="00C76037">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jc w:val="center"/>
              <w:rPr>
                <w:sz w:val="16"/>
                <w:szCs w:val="16"/>
                <w:lang w:val="fr-FR"/>
              </w:rPr>
            </w:pPr>
            <w:r w:rsidRPr="009F66A2">
              <w:rPr>
                <w:sz w:val="16"/>
                <w:szCs w:val="16"/>
                <w:lang w:val="fr-FR"/>
              </w:rPr>
              <w:t>2 500 &lt; ETA ≤ 20 000</w:t>
            </w:r>
          </w:p>
        </w:tc>
        <w:tc>
          <w:tcPr>
            <w:tcW w:w="1275" w:type="dxa"/>
            <w:vMerge w:val="restart"/>
            <w:vAlign w:val="center"/>
          </w:tcPr>
          <w:p w:rsidR="002E312D" w:rsidRPr="009F66A2" w:rsidRDefault="002E312D" w:rsidP="00C76037">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jc w:val="center"/>
              <w:rPr>
                <w:i/>
                <w:sz w:val="16"/>
                <w:szCs w:val="16"/>
                <w:u w:val="single"/>
                <w:vertAlign w:val="superscript"/>
                <w:lang w:val="fr-FR"/>
              </w:rPr>
            </w:pPr>
            <w:r w:rsidRPr="00B45B4C">
              <w:rPr>
                <w:i/>
                <w:iCs/>
                <w:sz w:val="16"/>
                <w:szCs w:val="16"/>
                <w:lang w:val="fr-FR"/>
              </w:rPr>
              <w:t xml:space="preserve">Voir critères détaillés </w:t>
            </w:r>
            <w:r w:rsidR="006453A3">
              <w:rPr>
                <w:i/>
                <w:iCs/>
                <w:sz w:val="16"/>
                <w:szCs w:val="16"/>
                <w:lang w:val="fr-FR"/>
              </w:rPr>
              <w:br/>
            </w:r>
            <w:r w:rsidRPr="00B45B4C">
              <w:rPr>
                <w:i/>
                <w:iCs/>
                <w:sz w:val="16"/>
                <w:szCs w:val="16"/>
                <w:lang w:val="fr-FR"/>
              </w:rPr>
              <w:t>en note g)</w:t>
            </w:r>
          </w:p>
        </w:tc>
      </w:tr>
      <w:tr w:rsidR="002E312D" w:rsidRPr="009F66A2" w:rsidTr="006453A3">
        <w:trPr>
          <w:trHeight w:val="289"/>
          <w:jc w:val="center"/>
        </w:trPr>
        <w:tc>
          <w:tcPr>
            <w:tcW w:w="2410" w:type="dxa"/>
          </w:tcPr>
          <w:p w:rsidR="002E312D" w:rsidRPr="009F66A2" w:rsidRDefault="002E312D" w:rsidP="00C76037">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rPr>
                <w:sz w:val="16"/>
                <w:szCs w:val="16"/>
                <w:lang w:val="fr-FR"/>
              </w:rPr>
            </w:pPr>
            <w:r w:rsidRPr="009F66A2">
              <w:rPr>
                <w:b/>
                <w:bCs/>
                <w:sz w:val="16"/>
                <w:szCs w:val="16"/>
                <w:lang w:val="fr-FR"/>
              </w:rPr>
              <w:t>Vapeurs</w:t>
            </w:r>
            <w:r w:rsidRPr="009F66A2">
              <w:rPr>
                <w:sz w:val="16"/>
                <w:szCs w:val="16"/>
                <w:lang w:val="fr-FR"/>
              </w:rPr>
              <w:t xml:space="preserve"> (mg/l)</w:t>
            </w:r>
          </w:p>
          <w:p w:rsidR="002E312D" w:rsidRPr="009F66A2" w:rsidRDefault="002E312D" w:rsidP="00C76037">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rPr>
                <w:sz w:val="16"/>
                <w:szCs w:val="16"/>
                <w:lang w:val="fr-FR"/>
              </w:rPr>
            </w:pPr>
            <w:r w:rsidRPr="009F66A2">
              <w:rPr>
                <w:i/>
                <w:iCs/>
                <w:sz w:val="16"/>
                <w:szCs w:val="16"/>
                <w:lang w:val="fr-FR"/>
              </w:rPr>
              <w:t>Voir notes a), b), c), d) et e)</w:t>
            </w:r>
          </w:p>
        </w:tc>
        <w:tc>
          <w:tcPr>
            <w:tcW w:w="1276" w:type="dxa"/>
          </w:tcPr>
          <w:p w:rsidR="002E312D" w:rsidRPr="009F66A2" w:rsidRDefault="002E312D" w:rsidP="00C76037">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jc w:val="center"/>
              <w:rPr>
                <w:sz w:val="16"/>
                <w:szCs w:val="16"/>
                <w:lang w:val="fr-FR"/>
              </w:rPr>
            </w:pPr>
            <w:r w:rsidRPr="009F66A2">
              <w:rPr>
                <w:sz w:val="16"/>
                <w:szCs w:val="16"/>
                <w:lang w:val="fr-FR"/>
              </w:rPr>
              <w:t>ETA ≤ 0,5</w:t>
            </w:r>
          </w:p>
        </w:tc>
        <w:tc>
          <w:tcPr>
            <w:tcW w:w="1417" w:type="dxa"/>
          </w:tcPr>
          <w:p w:rsidR="002E312D" w:rsidRPr="009F66A2" w:rsidRDefault="002E312D" w:rsidP="00C76037">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jc w:val="center"/>
              <w:rPr>
                <w:sz w:val="16"/>
                <w:szCs w:val="16"/>
                <w:lang w:val="fr-FR"/>
              </w:rPr>
            </w:pPr>
            <w:r w:rsidRPr="009F66A2">
              <w:rPr>
                <w:sz w:val="16"/>
                <w:szCs w:val="16"/>
                <w:lang w:val="fr-FR"/>
              </w:rPr>
              <w:t>0,5 &lt;ETA ≤ 2,0</w:t>
            </w:r>
          </w:p>
        </w:tc>
        <w:tc>
          <w:tcPr>
            <w:tcW w:w="1560" w:type="dxa"/>
          </w:tcPr>
          <w:p w:rsidR="002E312D" w:rsidRPr="009F66A2" w:rsidRDefault="002E312D" w:rsidP="00C76037">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jc w:val="center"/>
              <w:rPr>
                <w:sz w:val="16"/>
                <w:szCs w:val="16"/>
                <w:lang w:val="fr-FR"/>
              </w:rPr>
            </w:pPr>
            <w:r w:rsidRPr="009F66A2">
              <w:rPr>
                <w:sz w:val="16"/>
                <w:szCs w:val="16"/>
                <w:lang w:val="fr-FR"/>
              </w:rPr>
              <w:t>2,0 &lt; ETA ≤ 10,0</w:t>
            </w:r>
          </w:p>
        </w:tc>
        <w:tc>
          <w:tcPr>
            <w:tcW w:w="1701" w:type="dxa"/>
          </w:tcPr>
          <w:p w:rsidR="002E312D" w:rsidRPr="009F66A2" w:rsidRDefault="002E312D" w:rsidP="00C76037">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jc w:val="center"/>
              <w:rPr>
                <w:sz w:val="16"/>
                <w:szCs w:val="16"/>
                <w:lang w:val="fr-FR"/>
              </w:rPr>
            </w:pPr>
            <w:r w:rsidRPr="009F66A2">
              <w:rPr>
                <w:sz w:val="16"/>
                <w:szCs w:val="16"/>
                <w:lang w:val="fr-FR"/>
              </w:rPr>
              <w:t>10,0 &lt; ETA ≤ 20,0</w:t>
            </w:r>
          </w:p>
        </w:tc>
        <w:tc>
          <w:tcPr>
            <w:tcW w:w="1275" w:type="dxa"/>
            <w:vMerge/>
          </w:tcPr>
          <w:p w:rsidR="002E312D" w:rsidRPr="009F66A2" w:rsidRDefault="002E312D" w:rsidP="00C76037">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jc w:val="center"/>
              <w:rPr>
                <w:i/>
                <w:sz w:val="16"/>
                <w:szCs w:val="16"/>
                <w:u w:val="single"/>
                <w:vertAlign w:val="superscript"/>
                <w:lang w:val="fr-FR"/>
              </w:rPr>
            </w:pPr>
          </w:p>
        </w:tc>
      </w:tr>
      <w:tr w:rsidR="002E312D" w:rsidRPr="009F66A2" w:rsidTr="006453A3">
        <w:trPr>
          <w:trHeight w:val="365"/>
          <w:jc w:val="center"/>
        </w:trPr>
        <w:tc>
          <w:tcPr>
            <w:tcW w:w="2410" w:type="dxa"/>
          </w:tcPr>
          <w:p w:rsidR="002E312D" w:rsidRPr="009F66A2" w:rsidRDefault="002E312D" w:rsidP="00C76037">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rPr>
                <w:sz w:val="16"/>
                <w:szCs w:val="16"/>
                <w:lang w:val="fr-FR"/>
              </w:rPr>
            </w:pPr>
            <w:r w:rsidRPr="009F66A2">
              <w:rPr>
                <w:b/>
                <w:bCs/>
                <w:sz w:val="16"/>
                <w:szCs w:val="16"/>
                <w:lang w:val="fr-FR"/>
              </w:rPr>
              <w:t>Poussières et brouillards</w:t>
            </w:r>
            <w:r w:rsidR="00FF22F6">
              <w:rPr>
                <w:b/>
                <w:bCs/>
                <w:sz w:val="16"/>
                <w:szCs w:val="16"/>
                <w:lang w:val="fr-FR"/>
              </w:rPr>
              <w:t xml:space="preserve"> </w:t>
            </w:r>
            <w:r w:rsidRPr="009F66A2">
              <w:rPr>
                <w:sz w:val="16"/>
                <w:szCs w:val="16"/>
                <w:lang w:val="fr-FR"/>
              </w:rPr>
              <w:t>(mg/l)</w:t>
            </w:r>
          </w:p>
          <w:p w:rsidR="002E312D" w:rsidRPr="009F66A2" w:rsidRDefault="002E312D" w:rsidP="00C76037">
            <w:pPr>
              <w:pStyle w:val="HTMLAddres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rPr>
                <w:sz w:val="16"/>
                <w:szCs w:val="16"/>
                <w:lang w:val="fr-FR"/>
              </w:rPr>
            </w:pPr>
            <w:r w:rsidRPr="009F66A2">
              <w:rPr>
                <w:iCs w:val="0"/>
                <w:sz w:val="16"/>
                <w:szCs w:val="16"/>
                <w:lang w:val="fr-FR"/>
              </w:rPr>
              <w:t xml:space="preserve">Voir notes a), b), c) et </w:t>
            </w:r>
            <w:r w:rsidRPr="009F66A2">
              <w:rPr>
                <w:sz w:val="16"/>
                <w:szCs w:val="16"/>
                <w:lang w:val="fr-FR"/>
              </w:rPr>
              <w:t xml:space="preserve">f) </w:t>
            </w:r>
          </w:p>
        </w:tc>
        <w:tc>
          <w:tcPr>
            <w:tcW w:w="1276" w:type="dxa"/>
          </w:tcPr>
          <w:p w:rsidR="002E312D" w:rsidRPr="009F66A2" w:rsidRDefault="002E312D" w:rsidP="00C76037">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jc w:val="center"/>
              <w:rPr>
                <w:sz w:val="16"/>
                <w:szCs w:val="16"/>
                <w:lang w:val="fr-FR"/>
              </w:rPr>
            </w:pPr>
            <w:r w:rsidRPr="009F66A2">
              <w:rPr>
                <w:sz w:val="16"/>
                <w:szCs w:val="16"/>
                <w:lang w:val="fr-FR"/>
              </w:rPr>
              <w:t>ETA ≤ 0,05</w:t>
            </w:r>
          </w:p>
        </w:tc>
        <w:tc>
          <w:tcPr>
            <w:tcW w:w="1417" w:type="dxa"/>
          </w:tcPr>
          <w:p w:rsidR="002E312D" w:rsidRPr="009F66A2" w:rsidRDefault="002E312D" w:rsidP="00C76037">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jc w:val="center"/>
              <w:rPr>
                <w:sz w:val="16"/>
                <w:szCs w:val="16"/>
                <w:lang w:val="fr-FR"/>
              </w:rPr>
            </w:pPr>
            <w:r w:rsidRPr="009F66A2">
              <w:rPr>
                <w:sz w:val="16"/>
                <w:szCs w:val="16"/>
                <w:lang w:val="fr-FR"/>
              </w:rPr>
              <w:t>0,05 &lt; ETA ≤ 0,5</w:t>
            </w:r>
          </w:p>
        </w:tc>
        <w:tc>
          <w:tcPr>
            <w:tcW w:w="1560" w:type="dxa"/>
          </w:tcPr>
          <w:p w:rsidR="002E312D" w:rsidRPr="009F66A2" w:rsidRDefault="002E312D" w:rsidP="00C76037">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jc w:val="center"/>
              <w:rPr>
                <w:sz w:val="16"/>
                <w:szCs w:val="16"/>
                <w:lang w:val="fr-FR"/>
              </w:rPr>
            </w:pPr>
            <w:r w:rsidRPr="009F66A2">
              <w:rPr>
                <w:sz w:val="16"/>
                <w:szCs w:val="16"/>
                <w:lang w:val="fr-FR"/>
              </w:rPr>
              <w:t>0,5 &lt; ETA ≤ 1,0</w:t>
            </w:r>
          </w:p>
        </w:tc>
        <w:tc>
          <w:tcPr>
            <w:tcW w:w="1701" w:type="dxa"/>
          </w:tcPr>
          <w:p w:rsidR="002E312D" w:rsidRPr="009F66A2" w:rsidRDefault="002E312D" w:rsidP="00C76037">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jc w:val="center"/>
              <w:rPr>
                <w:sz w:val="16"/>
                <w:szCs w:val="16"/>
                <w:lang w:val="fr-FR"/>
              </w:rPr>
            </w:pPr>
            <w:r w:rsidRPr="009F66A2">
              <w:rPr>
                <w:sz w:val="16"/>
                <w:szCs w:val="16"/>
                <w:lang w:val="fr-FR"/>
              </w:rPr>
              <w:t>1,0 &lt; ETA ≤ 5,0</w:t>
            </w:r>
          </w:p>
        </w:tc>
        <w:tc>
          <w:tcPr>
            <w:tcW w:w="1275" w:type="dxa"/>
            <w:vMerge/>
          </w:tcPr>
          <w:p w:rsidR="002E312D" w:rsidRPr="009F66A2" w:rsidRDefault="002E312D" w:rsidP="00C76037">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jc w:val="center"/>
              <w:rPr>
                <w:i/>
                <w:sz w:val="16"/>
                <w:szCs w:val="16"/>
                <w:u w:val="single"/>
                <w:vertAlign w:val="superscript"/>
                <w:lang w:val="fr-FR"/>
              </w:rPr>
            </w:pPr>
          </w:p>
        </w:tc>
      </w:tr>
    </w:tbl>
    <w:p w:rsidR="002E312D" w:rsidRPr="006453A3" w:rsidRDefault="002E312D" w:rsidP="006453A3">
      <w:pPr>
        <w:pStyle w:val="SingleTxtG"/>
        <w:spacing w:before="120" w:after="240"/>
        <w:rPr>
          <w:i/>
          <w:lang w:val="fr-FR"/>
        </w:rPr>
      </w:pPr>
      <w:r w:rsidRPr="006453A3">
        <w:rPr>
          <w:b/>
          <w:bCs/>
          <w:i/>
          <w:lang w:val="fr-FR"/>
        </w:rPr>
        <w:t>Nota</w:t>
      </w:r>
      <w:r w:rsidR="006453A3" w:rsidRPr="006453A3">
        <w:rPr>
          <w:b/>
          <w:bCs/>
          <w:i/>
          <w:lang w:val="fr-FR"/>
        </w:rPr>
        <w:t> </w:t>
      </w:r>
      <w:r w:rsidR="006453A3" w:rsidRPr="006453A3">
        <w:rPr>
          <w:i/>
          <w:lang w:val="fr-FR"/>
        </w:rPr>
        <w:t>:</w:t>
      </w:r>
      <w:r w:rsidR="006453A3">
        <w:rPr>
          <w:i/>
          <w:lang w:val="fr-FR"/>
        </w:rPr>
        <w:t xml:space="preserve"> </w:t>
      </w:r>
      <w:r w:rsidRPr="006453A3">
        <w:rPr>
          <w:i/>
          <w:lang w:val="fr-FR"/>
        </w:rPr>
        <w:t>La concentration des gaz est exprimée en parties par million en volume (ppmV).</w:t>
      </w:r>
    </w:p>
    <w:p w:rsidR="002E312D" w:rsidRPr="009F66A2" w:rsidRDefault="002E312D" w:rsidP="006453A3">
      <w:pPr>
        <w:pStyle w:val="H1G"/>
        <w:rPr>
          <w:lang w:val="fr-FR"/>
        </w:rPr>
      </w:pPr>
      <w:r w:rsidRPr="009F66A2">
        <w:rPr>
          <w:lang w:val="fr-FR"/>
        </w:rPr>
        <w:tab/>
        <w:t>Point h)</w:t>
      </w:r>
      <w:r w:rsidRPr="009F66A2">
        <w:rPr>
          <w:lang w:val="fr-FR"/>
        </w:rPr>
        <w:tab/>
        <w:t xml:space="preserve">Vérifier les informations figurant dans le tableau 1.5.1 </w:t>
      </w:r>
      <w:r w:rsidR="006453A3">
        <w:rPr>
          <w:lang w:val="fr-FR"/>
        </w:rPr>
        <w:br/>
      </w:r>
      <w:r w:rsidRPr="009F66A2">
        <w:rPr>
          <w:lang w:val="fr-FR"/>
        </w:rPr>
        <w:t xml:space="preserve">en ce qui concerne le danger par aspiration </w:t>
      </w:r>
      <w:r w:rsidR="006453A3">
        <w:rPr>
          <w:lang w:val="fr-FR"/>
        </w:rPr>
        <w:br/>
      </w:r>
      <w:r w:rsidRPr="009F66A2">
        <w:rPr>
          <w:lang w:val="fr-FR"/>
        </w:rPr>
        <w:t xml:space="preserve">des catégories 1 et 2 en vue de déterminer </w:t>
      </w:r>
      <w:r w:rsidR="006453A3">
        <w:rPr>
          <w:lang w:val="fr-FR"/>
        </w:rPr>
        <w:br/>
      </w:r>
      <w:r w:rsidRPr="009F66A2">
        <w:rPr>
          <w:lang w:val="fr-FR"/>
        </w:rPr>
        <w:t>s</w:t>
      </w:r>
      <w:r w:rsidR="00C76037">
        <w:rPr>
          <w:lang w:val="fr-FR"/>
        </w:rPr>
        <w:t>’</w:t>
      </w:r>
      <w:r w:rsidRPr="009F66A2">
        <w:rPr>
          <w:lang w:val="fr-FR"/>
        </w:rPr>
        <w:t xml:space="preserve">il est nécessaire de les actualiser </w:t>
      </w:r>
    </w:p>
    <w:p w:rsidR="002E312D" w:rsidRPr="009F66A2" w:rsidRDefault="002E312D" w:rsidP="002E312D">
      <w:pPr>
        <w:pStyle w:val="H23G"/>
        <w:rPr>
          <w:lang w:val="fr-FR"/>
        </w:rPr>
      </w:pPr>
      <w:r w:rsidRPr="009F66A2">
        <w:rPr>
          <w:lang w:val="fr-FR"/>
        </w:rPr>
        <w:tab/>
      </w:r>
      <w:r w:rsidRPr="009F66A2">
        <w:rPr>
          <w:lang w:val="fr-FR"/>
        </w:rPr>
        <w:tab/>
      </w:r>
      <w:r>
        <w:rPr>
          <w:lang w:val="fr-FR"/>
        </w:rPr>
        <w:t>Chapitre</w:t>
      </w:r>
      <w:r w:rsidRPr="009F66A2">
        <w:rPr>
          <w:lang w:val="fr-FR"/>
        </w:rPr>
        <w:t xml:space="preserve"> 1.5</w:t>
      </w:r>
    </w:p>
    <w:p w:rsidR="002E312D" w:rsidRPr="009F66A2" w:rsidRDefault="002E312D" w:rsidP="002E312D">
      <w:pPr>
        <w:pStyle w:val="SingleTxtG"/>
        <w:keepNext/>
        <w:keepLines/>
        <w:tabs>
          <w:tab w:val="left" w:pos="3402"/>
        </w:tabs>
        <w:rPr>
          <w:lang w:val="fr-FR"/>
        </w:rPr>
      </w:pPr>
      <w:r w:rsidRPr="006453A3">
        <w:rPr>
          <w:i/>
          <w:lang w:val="fr-FR"/>
        </w:rPr>
        <w:t>Dans le tableau 1.5.1</w:t>
      </w:r>
      <w:r w:rsidRPr="00C7100A">
        <w:rPr>
          <w:lang w:val="fr-FR"/>
        </w:rPr>
        <w:t xml:space="preserve">, modifier </w:t>
      </w:r>
      <w:r w:rsidRPr="009F66A2">
        <w:rPr>
          <w:lang w:val="fr-FR"/>
        </w:rPr>
        <w:t xml:space="preserve">les lignes applicables aux catégories 1 et 2 </w:t>
      </w:r>
      <w:r>
        <w:rPr>
          <w:lang w:val="fr-FR"/>
        </w:rPr>
        <w:t>de danger</w:t>
      </w:r>
      <w:r w:rsidRPr="009F66A2">
        <w:rPr>
          <w:lang w:val="fr-FR"/>
        </w:rPr>
        <w:t xml:space="preserve"> par aspiration comme suit </w:t>
      </w:r>
      <w:r w:rsidRPr="00C7100A">
        <w:rPr>
          <w:i/>
          <w:iCs/>
          <w:lang w:val="fr-FR"/>
        </w:rPr>
        <w:t xml:space="preserve">(en </w:t>
      </w:r>
      <w:r w:rsidRPr="00C7100A">
        <w:rPr>
          <w:i/>
          <w:iCs/>
          <w:u w:val="single"/>
          <w:lang w:val="fr-FR"/>
        </w:rPr>
        <w:t>caractères soulignés</w:t>
      </w:r>
      <w:r w:rsidRPr="00C7100A">
        <w:rPr>
          <w:i/>
          <w:iCs/>
          <w:lang w:val="fr-FR"/>
        </w:rPr>
        <w:t xml:space="preserve"> pour les ajouts, et </w:t>
      </w:r>
      <w:r w:rsidRPr="00C7100A">
        <w:rPr>
          <w:i/>
          <w:iCs/>
          <w:strike/>
          <w:lang w:val="fr-FR"/>
        </w:rPr>
        <w:t>barrés</w:t>
      </w:r>
      <w:r w:rsidRPr="00C7100A">
        <w:rPr>
          <w:i/>
          <w:iCs/>
          <w:lang w:val="fr-FR"/>
        </w:rPr>
        <w:t xml:space="preserve"> pour les suppressions)</w:t>
      </w:r>
      <w:r>
        <w:rPr>
          <w:i/>
          <w:iCs/>
          <w:lang w:val="fr-FR"/>
        </w:rPr>
        <w:t> </w:t>
      </w:r>
      <w:r>
        <w:rPr>
          <w:lang w:val="fr-FR"/>
        </w:rPr>
        <w:t xml:space="preserve">: </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8"/>
        <w:gridCol w:w="4713"/>
      </w:tblGrid>
      <w:tr w:rsidR="002E312D" w:rsidRPr="009F66A2" w:rsidTr="006453A3">
        <w:trPr>
          <w:trHeight w:val="266"/>
          <w:jc w:val="center"/>
        </w:trPr>
        <w:tc>
          <w:tcPr>
            <w:tcW w:w="2819" w:type="dxa"/>
          </w:tcPr>
          <w:p w:rsidR="002E312D" w:rsidRPr="009F66A2" w:rsidRDefault="002E312D" w:rsidP="006453A3">
            <w:pPr>
              <w:keepNext/>
              <w:keepLines/>
              <w:tabs>
                <w:tab w:val="left" w:pos="1134"/>
                <w:tab w:val="left" w:pos="1701"/>
                <w:tab w:val="left" w:pos="2268"/>
                <w:tab w:val="left" w:pos="2835"/>
                <w:tab w:val="left" w:pos="3969"/>
                <w:tab w:val="left" w:pos="4536"/>
              </w:tabs>
              <w:spacing w:before="60" w:after="60" w:line="240" w:lineRule="auto"/>
              <w:rPr>
                <w:b/>
                <w:bCs/>
                <w:color w:val="000000"/>
                <w:szCs w:val="22"/>
                <w:lang w:val="fr-FR"/>
              </w:rPr>
            </w:pPr>
            <w:r w:rsidRPr="009F66A2">
              <w:rPr>
                <w:b/>
                <w:bCs/>
                <w:color w:val="000000"/>
                <w:szCs w:val="22"/>
                <w:lang w:val="fr-FR"/>
              </w:rPr>
              <w:t>Classe de danger</w:t>
            </w:r>
          </w:p>
        </w:tc>
        <w:tc>
          <w:tcPr>
            <w:tcW w:w="5012" w:type="dxa"/>
          </w:tcPr>
          <w:p w:rsidR="002E312D" w:rsidRPr="009F66A2" w:rsidRDefault="002E312D" w:rsidP="006453A3">
            <w:pPr>
              <w:keepNext/>
              <w:keepLines/>
              <w:tabs>
                <w:tab w:val="left" w:pos="1134"/>
                <w:tab w:val="left" w:pos="1701"/>
                <w:tab w:val="left" w:pos="2268"/>
                <w:tab w:val="left" w:pos="2835"/>
                <w:tab w:val="left" w:pos="3969"/>
                <w:tab w:val="left" w:pos="4536"/>
              </w:tabs>
              <w:spacing w:before="60" w:after="60" w:line="240" w:lineRule="auto"/>
              <w:jc w:val="center"/>
              <w:rPr>
                <w:b/>
                <w:bCs/>
                <w:color w:val="000000"/>
                <w:szCs w:val="22"/>
                <w:lang w:val="fr-FR"/>
              </w:rPr>
            </w:pPr>
            <w:r w:rsidRPr="009F66A2">
              <w:rPr>
                <w:b/>
                <w:bCs/>
                <w:color w:val="000000"/>
                <w:szCs w:val="22"/>
                <w:lang w:val="fr-FR"/>
              </w:rPr>
              <w:t xml:space="preserve">Valeur seuil/ limite de concentration </w:t>
            </w:r>
          </w:p>
        </w:tc>
      </w:tr>
      <w:tr w:rsidR="002E312D" w:rsidRPr="009F66A2" w:rsidTr="006453A3">
        <w:trPr>
          <w:trHeight w:val="266"/>
          <w:jc w:val="center"/>
        </w:trPr>
        <w:tc>
          <w:tcPr>
            <w:tcW w:w="2819" w:type="dxa"/>
          </w:tcPr>
          <w:p w:rsidR="002E312D" w:rsidRPr="009F66A2" w:rsidRDefault="002E312D" w:rsidP="006453A3">
            <w:pPr>
              <w:keepNext/>
              <w:keepLines/>
              <w:tabs>
                <w:tab w:val="left" w:pos="1134"/>
                <w:tab w:val="left" w:pos="1701"/>
                <w:tab w:val="left" w:pos="2268"/>
                <w:tab w:val="left" w:pos="2835"/>
                <w:tab w:val="left" w:pos="3969"/>
                <w:tab w:val="left" w:pos="4536"/>
              </w:tabs>
              <w:spacing w:before="60" w:after="60" w:line="240" w:lineRule="auto"/>
              <w:rPr>
                <w:color w:val="000000"/>
                <w:szCs w:val="22"/>
                <w:lang w:val="fr-FR"/>
              </w:rPr>
            </w:pPr>
            <w:r w:rsidRPr="009F66A2">
              <w:rPr>
                <w:bCs/>
                <w:szCs w:val="22"/>
                <w:lang w:val="fr-FR"/>
              </w:rPr>
              <w:t>Danger par aspiration (catégorie 1)</w:t>
            </w:r>
          </w:p>
        </w:tc>
        <w:tc>
          <w:tcPr>
            <w:tcW w:w="5012" w:type="dxa"/>
          </w:tcPr>
          <w:p w:rsidR="002E312D" w:rsidRPr="009F66A2" w:rsidRDefault="002E312D" w:rsidP="006453A3">
            <w:pPr>
              <w:keepNext/>
              <w:keepLines/>
              <w:tabs>
                <w:tab w:val="left" w:pos="1134"/>
                <w:tab w:val="left" w:pos="1701"/>
                <w:tab w:val="left" w:pos="2268"/>
                <w:tab w:val="left" w:pos="2835"/>
                <w:tab w:val="left" w:pos="3969"/>
                <w:tab w:val="left" w:pos="4536"/>
              </w:tabs>
              <w:spacing w:before="60" w:after="60" w:line="240" w:lineRule="auto"/>
              <w:jc w:val="center"/>
              <w:rPr>
                <w:bCs/>
                <w:strike/>
                <w:szCs w:val="22"/>
                <w:u w:val="single"/>
                <w:lang w:val="fr-FR"/>
              </w:rPr>
            </w:pPr>
            <w:r w:rsidRPr="009F66A2">
              <w:rPr>
                <w:color w:val="000000"/>
                <w:szCs w:val="22"/>
                <w:u w:val="single"/>
                <w:lang w:val="fr-FR"/>
              </w:rPr>
              <w:sym w:font="Symbol" w:char="F0B3"/>
            </w:r>
            <w:r w:rsidRPr="009F66A2">
              <w:rPr>
                <w:color w:val="000000"/>
                <w:szCs w:val="22"/>
                <w:u w:val="single"/>
                <w:lang w:val="fr-FR"/>
              </w:rPr>
              <w:t xml:space="preserve"> 1,0</w:t>
            </w:r>
            <w:r w:rsidR="006453A3">
              <w:rPr>
                <w:color w:val="000000"/>
                <w:szCs w:val="22"/>
                <w:u w:val="single"/>
                <w:lang w:val="fr-FR"/>
              </w:rPr>
              <w:t> </w:t>
            </w:r>
            <w:r w:rsidRPr="009F66A2">
              <w:rPr>
                <w:color w:val="000000"/>
                <w:szCs w:val="22"/>
                <w:u w:val="single"/>
                <w:lang w:val="fr-FR"/>
              </w:rPr>
              <w:t>%</w:t>
            </w:r>
          </w:p>
          <w:p w:rsidR="002E312D" w:rsidRPr="009F66A2" w:rsidRDefault="002E312D" w:rsidP="006453A3">
            <w:pPr>
              <w:keepNext/>
              <w:keepLines/>
              <w:tabs>
                <w:tab w:val="left" w:pos="1134"/>
                <w:tab w:val="left" w:pos="1701"/>
                <w:tab w:val="left" w:pos="2268"/>
                <w:tab w:val="left" w:pos="2835"/>
                <w:tab w:val="left" w:pos="3969"/>
                <w:tab w:val="left" w:pos="4536"/>
              </w:tabs>
              <w:spacing w:before="60" w:after="60" w:line="240" w:lineRule="auto"/>
              <w:jc w:val="center"/>
              <w:rPr>
                <w:strike/>
                <w:color w:val="000000"/>
                <w:szCs w:val="22"/>
                <w:lang w:val="fr-FR"/>
              </w:rPr>
            </w:pPr>
            <w:r w:rsidRPr="009F66A2">
              <w:rPr>
                <w:bCs/>
                <w:strike/>
                <w:szCs w:val="22"/>
                <w:lang w:val="fr-FR"/>
              </w:rPr>
              <w:t>≥ 10</w:t>
            </w:r>
            <w:r w:rsidR="00B208E1">
              <w:rPr>
                <w:bCs/>
                <w:strike/>
                <w:szCs w:val="22"/>
                <w:lang w:val="fr-FR"/>
              </w:rPr>
              <w:t> </w:t>
            </w:r>
            <w:r w:rsidRPr="009F66A2">
              <w:rPr>
                <w:bCs/>
                <w:strike/>
                <w:szCs w:val="22"/>
                <w:lang w:val="fr-FR"/>
              </w:rPr>
              <w:t>% d</w:t>
            </w:r>
            <w:r w:rsidR="00C76037">
              <w:rPr>
                <w:bCs/>
                <w:strike/>
                <w:szCs w:val="22"/>
                <w:lang w:val="fr-FR"/>
              </w:rPr>
              <w:t>’</w:t>
            </w:r>
            <w:r w:rsidRPr="009F66A2">
              <w:rPr>
                <w:bCs/>
                <w:strike/>
                <w:szCs w:val="22"/>
                <w:lang w:val="fr-FR"/>
              </w:rPr>
              <w:t xml:space="preserve">un ou plusieurs composants classés </w:t>
            </w:r>
            <w:r w:rsidR="00B208E1">
              <w:rPr>
                <w:bCs/>
                <w:strike/>
                <w:szCs w:val="22"/>
                <w:lang w:val="fr-FR"/>
              </w:rPr>
              <w:br/>
            </w:r>
            <w:r w:rsidRPr="009F66A2">
              <w:rPr>
                <w:bCs/>
                <w:strike/>
                <w:szCs w:val="22"/>
                <w:lang w:val="fr-FR"/>
              </w:rPr>
              <w:t xml:space="preserve">dans la catégorie 1 et dont la viscosité cinématique mesurée à </w:t>
            </w:r>
            <w:r w:rsidRPr="009F66A2">
              <w:rPr>
                <w:strike/>
                <w:szCs w:val="22"/>
                <w:lang w:val="fr-FR"/>
              </w:rPr>
              <w:t>40°C</w:t>
            </w:r>
            <w:r w:rsidRPr="009F66A2">
              <w:rPr>
                <w:bCs/>
                <w:strike/>
                <w:szCs w:val="22"/>
                <w:lang w:val="fr-FR"/>
              </w:rPr>
              <w:t xml:space="preserve"> est </w:t>
            </w:r>
            <w:r w:rsidRPr="009F66A2">
              <w:rPr>
                <w:strike/>
                <w:szCs w:val="22"/>
                <w:lang w:val="fr-FR"/>
              </w:rPr>
              <w:t>≤ 20,5 mm</w:t>
            </w:r>
            <w:r w:rsidRPr="009F66A2">
              <w:rPr>
                <w:strike/>
                <w:szCs w:val="22"/>
                <w:vertAlign w:val="superscript"/>
                <w:lang w:val="fr-FR"/>
              </w:rPr>
              <w:t>2</w:t>
            </w:r>
            <w:r w:rsidRPr="009F66A2">
              <w:rPr>
                <w:strike/>
                <w:szCs w:val="22"/>
                <w:lang w:val="fr-FR"/>
              </w:rPr>
              <w:t xml:space="preserve">/s </w:t>
            </w:r>
          </w:p>
        </w:tc>
      </w:tr>
      <w:tr w:rsidR="002E312D" w:rsidRPr="009F66A2" w:rsidTr="006453A3">
        <w:trPr>
          <w:trHeight w:val="266"/>
          <w:jc w:val="center"/>
        </w:trPr>
        <w:tc>
          <w:tcPr>
            <w:tcW w:w="2819" w:type="dxa"/>
          </w:tcPr>
          <w:p w:rsidR="002E312D" w:rsidRPr="009F66A2" w:rsidRDefault="002E312D" w:rsidP="006453A3">
            <w:pPr>
              <w:keepNext/>
              <w:keepLines/>
              <w:tabs>
                <w:tab w:val="left" w:pos="1134"/>
                <w:tab w:val="left" w:pos="1701"/>
                <w:tab w:val="left" w:pos="2268"/>
                <w:tab w:val="left" w:pos="2835"/>
                <w:tab w:val="left" w:pos="3969"/>
                <w:tab w:val="left" w:pos="4536"/>
              </w:tabs>
              <w:spacing w:before="60" w:after="60" w:line="240" w:lineRule="auto"/>
              <w:rPr>
                <w:bCs/>
                <w:szCs w:val="22"/>
                <w:lang w:val="fr-FR"/>
              </w:rPr>
            </w:pPr>
            <w:r w:rsidRPr="009F66A2">
              <w:rPr>
                <w:bCs/>
                <w:szCs w:val="22"/>
                <w:lang w:val="fr-FR"/>
              </w:rPr>
              <w:t>Danger par aspiration (catégorie 2)</w:t>
            </w:r>
          </w:p>
        </w:tc>
        <w:tc>
          <w:tcPr>
            <w:tcW w:w="5012" w:type="dxa"/>
          </w:tcPr>
          <w:p w:rsidR="002E312D" w:rsidRPr="009F66A2" w:rsidRDefault="002E312D" w:rsidP="006453A3">
            <w:pPr>
              <w:keepNext/>
              <w:keepLines/>
              <w:tabs>
                <w:tab w:val="left" w:pos="1134"/>
                <w:tab w:val="left" w:pos="1701"/>
                <w:tab w:val="left" w:pos="2268"/>
                <w:tab w:val="left" w:pos="2835"/>
                <w:tab w:val="left" w:pos="3969"/>
                <w:tab w:val="left" w:pos="4536"/>
              </w:tabs>
              <w:spacing w:before="60" w:after="60" w:line="240" w:lineRule="auto"/>
              <w:jc w:val="center"/>
              <w:rPr>
                <w:bCs/>
                <w:strike/>
                <w:szCs w:val="22"/>
                <w:u w:val="single"/>
                <w:lang w:val="fr-FR"/>
              </w:rPr>
            </w:pPr>
            <w:r w:rsidRPr="009F66A2">
              <w:rPr>
                <w:color w:val="000000"/>
                <w:szCs w:val="22"/>
                <w:u w:val="single"/>
                <w:lang w:val="fr-FR"/>
              </w:rPr>
              <w:sym w:font="Symbol" w:char="F0B3"/>
            </w:r>
            <w:r w:rsidRPr="009F66A2">
              <w:rPr>
                <w:color w:val="000000"/>
                <w:szCs w:val="22"/>
                <w:u w:val="single"/>
                <w:lang w:val="fr-FR"/>
              </w:rPr>
              <w:t xml:space="preserve"> 1,0</w:t>
            </w:r>
            <w:r w:rsidR="006453A3">
              <w:rPr>
                <w:color w:val="000000"/>
                <w:szCs w:val="22"/>
                <w:u w:val="single"/>
                <w:lang w:val="fr-FR"/>
              </w:rPr>
              <w:t> </w:t>
            </w:r>
            <w:r w:rsidRPr="009F66A2">
              <w:rPr>
                <w:color w:val="000000"/>
                <w:szCs w:val="22"/>
                <w:u w:val="single"/>
                <w:lang w:val="fr-FR"/>
              </w:rPr>
              <w:t>%</w:t>
            </w:r>
          </w:p>
          <w:p w:rsidR="002E312D" w:rsidRPr="009F66A2" w:rsidRDefault="002E312D" w:rsidP="006453A3">
            <w:pPr>
              <w:keepNext/>
              <w:keepLines/>
              <w:tabs>
                <w:tab w:val="left" w:pos="1134"/>
                <w:tab w:val="left" w:pos="1701"/>
                <w:tab w:val="left" w:pos="2268"/>
                <w:tab w:val="left" w:pos="2835"/>
                <w:tab w:val="left" w:pos="3969"/>
                <w:tab w:val="left" w:pos="4536"/>
              </w:tabs>
              <w:spacing w:before="60" w:after="60" w:line="240" w:lineRule="auto"/>
              <w:jc w:val="center"/>
              <w:rPr>
                <w:bCs/>
                <w:strike/>
                <w:szCs w:val="22"/>
                <w:lang w:val="fr-FR"/>
              </w:rPr>
            </w:pPr>
            <w:r w:rsidRPr="009F66A2">
              <w:rPr>
                <w:bCs/>
                <w:strike/>
                <w:szCs w:val="22"/>
                <w:lang w:val="fr-FR"/>
              </w:rPr>
              <w:t>≥ 10</w:t>
            </w:r>
            <w:r w:rsidR="00B208E1">
              <w:rPr>
                <w:bCs/>
                <w:strike/>
                <w:szCs w:val="22"/>
                <w:lang w:val="fr-FR"/>
              </w:rPr>
              <w:t> </w:t>
            </w:r>
            <w:r w:rsidRPr="009F66A2">
              <w:rPr>
                <w:bCs/>
                <w:strike/>
                <w:szCs w:val="22"/>
                <w:lang w:val="fr-FR"/>
              </w:rPr>
              <w:t>% d</w:t>
            </w:r>
            <w:r w:rsidR="00C76037">
              <w:rPr>
                <w:bCs/>
                <w:strike/>
                <w:szCs w:val="22"/>
                <w:lang w:val="fr-FR"/>
              </w:rPr>
              <w:t>’</w:t>
            </w:r>
            <w:r w:rsidRPr="009F66A2">
              <w:rPr>
                <w:bCs/>
                <w:strike/>
                <w:szCs w:val="22"/>
                <w:lang w:val="fr-FR"/>
              </w:rPr>
              <w:t xml:space="preserve">un ou plusieurs composants classés </w:t>
            </w:r>
            <w:r w:rsidR="00B208E1">
              <w:rPr>
                <w:bCs/>
                <w:strike/>
                <w:szCs w:val="22"/>
                <w:lang w:val="fr-FR"/>
              </w:rPr>
              <w:br/>
            </w:r>
            <w:r w:rsidRPr="009F66A2">
              <w:rPr>
                <w:bCs/>
                <w:strike/>
                <w:szCs w:val="22"/>
                <w:lang w:val="fr-FR"/>
              </w:rPr>
              <w:t xml:space="preserve">dans la catégorie 2 et dont la viscosité cinématique mesurée à 40°C est </w:t>
            </w:r>
            <w:r w:rsidRPr="009F66A2">
              <w:rPr>
                <w:strike/>
                <w:szCs w:val="22"/>
                <w:lang w:val="fr-FR"/>
              </w:rPr>
              <w:t>≤ 14 mm</w:t>
            </w:r>
            <w:r w:rsidRPr="009F66A2">
              <w:rPr>
                <w:strike/>
                <w:szCs w:val="22"/>
                <w:vertAlign w:val="superscript"/>
                <w:lang w:val="fr-FR"/>
              </w:rPr>
              <w:t>2</w:t>
            </w:r>
            <w:r w:rsidRPr="009F66A2">
              <w:rPr>
                <w:strike/>
                <w:szCs w:val="22"/>
                <w:lang w:val="fr-FR"/>
              </w:rPr>
              <w:t xml:space="preserve">/s </w:t>
            </w:r>
          </w:p>
        </w:tc>
      </w:tr>
    </w:tbl>
    <w:p w:rsidR="002E312D" w:rsidRPr="009F66A2" w:rsidRDefault="002E312D" w:rsidP="00FC0E80">
      <w:pPr>
        <w:pStyle w:val="H1G"/>
        <w:tabs>
          <w:tab w:val="clear" w:pos="851"/>
        </w:tabs>
        <w:rPr>
          <w:lang w:val="fr-FR"/>
        </w:rPr>
      </w:pPr>
      <w:r w:rsidRPr="009F66A2">
        <w:rPr>
          <w:lang w:val="fr-FR"/>
        </w:rPr>
        <w:t>Point </w:t>
      </w:r>
      <w:r w:rsidR="00FC0E80">
        <w:rPr>
          <w:lang w:val="fr-FR"/>
        </w:rPr>
        <w:t>i)</w:t>
      </w:r>
      <w:r w:rsidR="00FC0E80">
        <w:rPr>
          <w:lang w:val="fr-FR"/>
        </w:rPr>
        <w:tab/>
      </w:r>
      <w:r w:rsidRPr="009F66A2">
        <w:rPr>
          <w:lang w:val="fr-FR"/>
        </w:rPr>
        <w:t xml:space="preserve">Proposer une actualisation de la référence faite, </w:t>
      </w:r>
      <w:r w:rsidR="006453A3">
        <w:rPr>
          <w:lang w:val="fr-FR"/>
        </w:rPr>
        <w:br/>
      </w:r>
      <w:r>
        <w:rPr>
          <w:lang w:val="fr-FR"/>
        </w:rPr>
        <w:t>dans le</w:t>
      </w:r>
      <w:r w:rsidRPr="009F66A2">
        <w:rPr>
          <w:lang w:val="fr-FR"/>
        </w:rPr>
        <w:t xml:space="preserve"> paragraphe 1.5.3.3.3, à la directive 91/155/CEE </w:t>
      </w:r>
      <w:r w:rsidR="006453A3">
        <w:rPr>
          <w:lang w:val="fr-FR"/>
        </w:rPr>
        <w:br/>
      </w:r>
      <w:r w:rsidRPr="009F66A2">
        <w:rPr>
          <w:lang w:val="fr-FR"/>
        </w:rPr>
        <w:t>de l</w:t>
      </w:r>
      <w:r w:rsidR="00C76037">
        <w:rPr>
          <w:lang w:val="fr-FR"/>
        </w:rPr>
        <w:t>’</w:t>
      </w:r>
      <w:r w:rsidRPr="009F66A2">
        <w:rPr>
          <w:lang w:val="fr-FR"/>
        </w:rPr>
        <w:t xml:space="preserve">Union européenne sur les Fiches de données de sécurité, </w:t>
      </w:r>
      <w:r w:rsidR="006453A3">
        <w:rPr>
          <w:lang w:val="fr-FR"/>
        </w:rPr>
        <w:br/>
      </w:r>
      <w:r w:rsidRPr="009F66A2">
        <w:rPr>
          <w:lang w:val="fr-FR"/>
        </w:rPr>
        <w:t xml:space="preserve">étant donné que ladite directive a été abrogée et remplacée </w:t>
      </w:r>
      <w:r w:rsidR="006453A3">
        <w:rPr>
          <w:lang w:val="fr-FR"/>
        </w:rPr>
        <w:br/>
      </w:r>
      <w:r w:rsidRPr="009F66A2">
        <w:rPr>
          <w:lang w:val="fr-FR"/>
        </w:rPr>
        <w:t>par l</w:t>
      </w:r>
      <w:r w:rsidR="00C76037">
        <w:rPr>
          <w:lang w:val="fr-FR"/>
        </w:rPr>
        <w:t>’</w:t>
      </w:r>
      <w:r w:rsidRPr="009F66A2">
        <w:rPr>
          <w:lang w:val="fr-FR"/>
        </w:rPr>
        <w:t>annexe II du Règlement (CE) n</w:t>
      </w:r>
      <w:r w:rsidRPr="009F66A2">
        <w:rPr>
          <w:vertAlign w:val="superscript"/>
          <w:lang w:val="fr-FR"/>
        </w:rPr>
        <w:t>o</w:t>
      </w:r>
      <w:r w:rsidRPr="009F66A2">
        <w:rPr>
          <w:lang w:val="fr-FR"/>
        </w:rPr>
        <w:t> 1907/2006 (REACH)</w:t>
      </w:r>
    </w:p>
    <w:p w:rsidR="002E312D" w:rsidRPr="009F66A2" w:rsidRDefault="002E312D" w:rsidP="002E312D">
      <w:pPr>
        <w:pStyle w:val="H23G"/>
        <w:rPr>
          <w:lang w:val="fr-FR"/>
        </w:rPr>
      </w:pPr>
      <w:r w:rsidRPr="009F66A2">
        <w:rPr>
          <w:lang w:val="fr-FR"/>
        </w:rPr>
        <w:tab/>
      </w:r>
      <w:r w:rsidRPr="009F66A2">
        <w:rPr>
          <w:lang w:val="fr-FR"/>
        </w:rPr>
        <w:tab/>
      </w:r>
      <w:r>
        <w:rPr>
          <w:lang w:val="fr-FR"/>
        </w:rPr>
        <w:t>Chapitre</w:t>
      </w:r>
      <w:r w:rsidRPr="009F66A2">
        <w:rPr>
          <w:lang w:val="fr-FR"/>
        </w:rPr>
        <w:t xml:space="preserve"> 1.5</w:t>
      </w:r>
    </w:p>
    <w:p w:rsidR="002E312D" w:rsidRPr="00C46B6F" w:rsidRDefault="002E312D" w:rsidP="006453A3">
      <w:pPr>
        <w:pStyle w:val="SingleTxtG"/>
        <w:keepNext/>
        <w:rPr>
          <w:lang w:val="fr-FR"/>
        </w:rPr>
      </w:pPr>
      <w:r w:rsidRPr="006453A3">
        <w:rPr>
          <w:i/>
          <w:lang w:val="fr-FR"/>
        </w:rPr>
        <w:t>Paragraphe 1.5.3.3.1</w:t>
      </w:r>
      <w:r w:rsidRPr="00C46B6F">
        <w:rPr>
          <w:lang w:val="fr-FR"/>
        </w:rPr>
        <w:t>, ajouter à la fin la phrase suivante</w:t>
      </w:r>
      <w:r w:rsidR="006453A3">
        <w:rPr>
          <w:lang w:val="fr-FR"/>
        </w:rPr>
        <w:t> :</w:t>
      </w:r>
    </w:p>
    <w:p w:rsidR="002E312D" w:rsidRPr="00C46B6F" w:rsidRDefault="002E312D" w:rsidP="002E312D">
      <w:pPr>
        <w:pStyle w:val="SingleTxtG"/>
        <w:ind w:left="2268"/>
        <w:rPr>
          <w:lang w:val="fr-FR"/>
        </w:rPr>
      </w:pPr>
      <w:r w:rsidRPr="00C46B6F">
        <w:rPr>
          <w:lang w:val="fr-FR"/>
        </w:rPr>
        <w:t>« On trouvera à l</w:t>
      </w:r>
      <w:r w:rsidR="00C76037">
        <w:rPr>
          <w:lang w:val="fr-FR"/>
        </w:rPr>
        <w:t>’</w:t>
      </w:r>
      <w:r w:rsidRPr="00C46B6F">
        <w:rPr>
          <w:lang w:val="fr-FR"/>
        </w:rPr>
        <w:t>annexe 4 des conseils sur la préparation de la FDS conformément aux prescriptions du SGH. ».</w:t>
      </w:r>
    </w:p>
    <w:p w:rsidR="002E312D" w:rsidRPr="00C46B6F" w:rsidRDefault="002E312D" w:rsidP="002E312D">
      <w:pPr>
        <w:pStyle w:val="SingleTxtG"/>
        <w:rPr>
          <w:lang w:val="fr-FR"/>
        </w:rPr>
      </w:pPr>
      <w:r w:rsidRPr="006453A3">
        <w:rPr>
          <w:i/>
          <w:lang w:val="fr-FR"/>
        </w:rPr>
        <w:t>Paragraphe 1.5.3.3.3</w:t>
      </w:r>
      <w:r w:rsidRPr="00C46B6F">
        <w:rPr>
          <w:lang w:val="fr-FR"/>
        </w:rPr>
        <w:t>, supprimer.</w:t>
      </w:r>
    </w:p>
    <w:p w:rsidR="002E312D" w:rsidRDefault="002E312D" w:rsidP="006453A3">
      <w:pPr>
        <w:pStyle w:val="SingleTxtG"/>
      </w:pPr>
      <w:r w:rsidRPr="006453A3">
        <w:rPr>
          <w:i/>
          <w:lang w:val="fr-FR"/>
        </w:rPr>
        <w:t>Le paragraphe 1.5.3.3.4</w:t>
      </w:r>
      <w:r w:rsidRPr="00C46B6F">
        <w:rPr>
          <w:lang w:val="fr-FR"/>
        </w:rPr>
        <w:t xml:space="preserve"> devient le paragraphe 1.5.3.3.3.</w:t>
      </w:r>
    </w:p>
    <w:p w:rsidR="00446FE5" w:rsidRPr="006453A3" w:rsidRDefault="006453A3" w:rsidP="006453A3">
      <w:pPr>
        <w:pStyle w:val="SingleTxtG"/>
        <w:spacing w:before="240" w:after="0"/>
        <w:jc w:val="center"/>
        <w:rPr>
          <w:u w:val="single"/>
        </w:rPr>
      </w:pPr>
      <w:r>
        <w:rPr>
          <w:u w:val="single"/>
        </w:rPr>
        <w:tab/>
      </w:r>
      <w:r>
        <w:rPr>
          <w:u w:val="single"/>
        </w:rPr>
        <w:tab/>
      </w:r>
      <w:r>
        <w:rPr>
          <w:u w:val="single"/>
        </w:rPr>
        <w:tab/>
      </w:r>
    </w:p>
    <w:sectPr w:rsidR="00446FE5" w:rsidRPr="006453A3" w:rsidSect="002E312D">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31D" w:rsidRDefault="005C731D" w:rsidP="00F95C08">
      <w:pPr>
        <w:spacing w:line="240" w:lineRule="auto"/>
      </w:pPr>
    </w:p>
  </w:endnote>
  <w:endnote w:type="continuationSeparator" w:id="0">
    <w:p w:rsidR="005C731D" w:rsidRPr="00AC3823" w:rsidRDefault="005C731D" w:rsidP="00AC3823">
      <w:pPr>
        <w:pStyle w:val="Footer"/>
      </w:pPr>
    </w:p>
  </w:endnote>
  <w:endnote w:type="continuationNotice" w:id="1">
    <w:p w:rsidR="005C731D" w:rsidRDefault="005C731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12D" w:rsidRPr="002E312D" w:rsidRDefault="002E312D" w:rsidP="002E312D">
    <w:pPr>
      <w:pStyle w:val="Footer"/>
      <w:tabs>
        <w:tab w:val="right" w:pos="9638"/>
      </w:tabs>
    </w:pPr>
    <w:r w:rsidRPr="002E312D">
      <w:rPr>
        <w:b/>
        <w:sz w:val="18"/>
      </w:rPr>
      <w:fldChar w:fldCharType="begin"/>
    </w:r>
    <w:r w:rsidRPr="002E312D">
      <w:rPr>
        <w:b/>
        <w:sz w:val="18"/>
      </w:rPr>
      <w:instrText xml:space="preserve"> PAGE  \* MERGEFORMAT </w:instrText>
    </w:r>
    <w:r w:rsidRPr="002E312D">
      <w:rPr>
        <w:b/>
        <w:sz w:val="18"/>
      </w:rPr>
      <w:fldChar w:fldCharType="separate"/>
    </w:r>
    <w:r w:rsidR="00544D22">
      <w:rPr>
        <w:b/>
        <w:noProof/>
        <w:sz w:val="18"/>
      </w:rPr>
      <w:t>6</w:t>
    </w:r>
    <w:r w:rsidRPr="002E312D">
      <w:rPr>
        <w:b/>
        <w:sz w:val="18"/>
      </w:rPr>
      <w:fldChar w:fldCharType="end"/>
    </w:r>
    <w:r>
      <w:rPr>
        <w:b/>
        <w:sz w:val="18"/>
      </w:rPr>
      <w:tab/>
    </w:r>
    <w:r>
      <w:t>GE.16-06109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12D" w:rsidRPr="002E312D" w:rsidRDefault="002E312D" w:rsidP="002E312D">
    <w:pPr>
      <w:pStyle w:val="Footer"/>
      <w:tabs>
        <w:tab w:val="right" w:pos="9638"/>
      </w:tabs>
      <w:rPr>
        <w:b/>
        <w:sz w:val="18"/>
      </w:rPr>
    </w:pPr>
    <w:r>
      <w:t>GE.16-06109</w:t>
    </w:r>
    <w:r>
      <w:tab/>
    </w:r>
    <w:r w:rsidRPr="002E312D">
      <w:rPr>
        <w:b/>
        <w:sz w:val="18"/>
      </w:rPr>
      <w:fldChar w:fldCharType="begin"/>
    </w:r>
    <w:r w:rsidRPr="002E312D">
      <w:rPr>
        <w:b/>
        <w:sz w:val="18"/>
      </w:rPr>
      <w:instrText xml:space="preserve"> PAGE  \* MERGEFORMAT </w:instrText>
    </w:r>
    <w:r w:rsidRPr="002E312D">
      <w:rPr>
        <w:b/>
        <w:sz w:val="18"/>
      </w:rPr>
      <w:fldChar w:fldCharType="separate"/>
    </w:r>
    <w:r w:rsidR="00544D22">
      <w:rPr>
        <w:b/>
        <w:noProof/>
        <w:sz w:val="18"/>
      </w:rPr>
      <w:t>7</w:t>
    </w:r>
    <w:r w:rsidRPr="002E312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6F" w:rsidRPr="002E312D" w:rsidRDefault="002E312D" w:rsidP="002E312D">
    <w:pPr>
      <w:pStyle w:val="Footer"/>
      <w:spacing w:before="120"/>
      <w:rPr>
        <w:sz w:val="20"/>
      </w:rPr>
    </w:pPr>
    <w:r>
      <w:rPr>
        <w:sz w:val="20"/>
      </w:rPr>
      <w:t>GE.</w:t>
    </w:r>
    <w:r w:rsidR="0068456F">
      <w:rPr>
        <w:noProof/>
        <w:lang w:val="en-GB" w:eastAsia="en-GB"/>
      </w:rPr>
      <w:drawing>
        <wp:anchor distT="0" distB="0" distL="114300" distR="114300" simplePos="0" relativeHeight="251659264" behindDoc="0" locked="0" layoutInCell="1" allowOverlap="0" wp14:anchorId="30524B11" wp14:editId="60169ABF">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16-06109  (F)    170516    230516</w:t>
    </w:r>
    <w:r>
      <w:rPr>
        <w:sz w:val="20"/>
      </w:rPr>
      <w:br/>
    </w:r>
    <w:r w:rsidRPr="002E312D">
      <w:rPr>
        <w:rFonts w:ascii="C39T30Lfz" w:hAnsi="C39T30Lfz"/>
        <w:sz w:val="56"/>
      </w:rPr>
      <w:t></w:t>
    </w:r>
    <w:r w:rsidRPr="002E312D">
      <w:rPr>
        <w:rFonts w:ascii="C39T30Lfz" w:hAnsi="C39T30Lfz"/>
        <w:sz w:val="56"/>
      </w:rPr>
      <w:t></w:t>
    </w:r>
    <w:r w:rsidRPr="002E312D">
      <w:rPr>
        <w:rFonts w:ascii="C39T30Lfz" w:hAnsi="C39T30Lfz"/>
        <w:sz w:val="56"/>
      </w:rPr>
      <w:t></w:t>
    </w:r>
    <w:r w:rsidRPr="002E312D">
      <w:rPr>
        <w:rFonts w:ascii="C39T30Lfz" w:hAnsi="C39T30Lfz"/>
        <w:sz w:val="56"/>
      </w:rPr>
      <w:t></w:t>
    </w:r>
    <w:r w:rsidRPr="002E312D">
      <w:rPr>
        <w:rFonts w:ascii="C39T30Lfz" w:hAnsi="C39T30Lfz"/>
        <w:sz w:val="56"/>
      </w:rPr>
      <w:t></w:t>
    </w:r>
    <w:r w:rsidRPr="002E312D">
      <w:rPr>
        <w:rFonts w:ascii="C39T30Lfz" w:hAnsi="C39T30Lfz"/>
        <w:sz w:val="56"/>
      </w:rPr>
      <w:t></w:t>
    </w:r>
    <w:r w:rsidRPr="002E312D">
      <w:rPr>
        <w:rFonts w:ascii="C39T30Lfz" w:hAnsi="C39T30Lfz"/>
        <w:sz w:val="56"/>
      </w:rPr>
      <w:t></w:t>
    </w:r>
    <w:r w:rsidRPr="002E312D">
      <w:rPr>
        <w:rFonts w:ascii="C39T30Lfz" w:hAnsi="C39T30Lfz"/>
        <w:sz w:val="56"/>
      </w:rPr>
      <w:t></w:t>
    </w:r>
    <w:r w:rsidRPr="002E312D">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40080" cy="640080"/>
          <wp:effectExtent l="0" t="0" r="7620" b="7620"/>
          <wp:wrapNone/>
          <wp:docPr id="3" name="Image 1" descr="http://undocs.org/m2/QRCode.ashx?DS=ST/SG/AC.10/C.4/2016/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ST/SG/AC.10/C.4/2016/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31D" w:rsidRPr="00AC3823" w:rsidRDefault="005C731D" w:rsidP="00AC3823">
      <w:pPr>
        <w:pStyle w:val="Footer"/>
        <w:tabs>
          <w:tab w:val="right" w:pos="2155"/>
        </w:tabs>
        <w:spacing w:after="80" w:line="240" w:lineRule="atLeast"/>
        <w:ind w:left="680"/>
        <w:rPr>
          <w:u w:val="single"/>
        </w:rPr>
      </w:pPr>
      <w:r>
        <w:rPr>
          <w:u w:val="single"/>
        </w:rPr>
        <w:tab/>
      </w:r>
    </w:p>
  </w:footnote>
  <w:footnote w:type="continuationSeparator" w:id="0">
    <w:p w:rsidR="005C731D" w:rsidRPr="00AC3823" w:rsidRDefault="005C731D" w:rsidP="00AC3823">
      <w:pPr>
        <w:pStyle w:val="Footer"/>
        <w:tabs>
          <w:tab w:val="right" w:pos="2155"/>
        </w:tabs>
        <w:spacing w:after="80" w:line="240" w:lineRule="atLeast"/>
        <w:ind w:left="680"/>
        <w:rPr>
          <w:u w:val="single"/>
        </w:rPr>
      </w:pPr>
      <w:r>
        <w:rPr>
          <w:u w:val="single"/>
        </w:rPr>
        <w:tab/>
      </w:r>
    </w:p>
  </w:footnote>
  <w:footnote w:type="continuationNotice" w:id="1">
    <w:p w:rsidR="005C731D" w:rsidRPr="00AC3823" w:rsidRDefault="005C731D">
      <w:pPr>
        <w:spacing w:line="240" w:lineRule="auto"/>
        <w:rPr>
          <w:sz w:val="2"/>
          <w:szCs w:val="2"/>
        </w:rPr>
      </w:pPr>
    </w:p>
  </w:footnote>
  <w:footnote w:id="2">
    <w:p w:rsidR="002E312D" w:rsidRPr="008B72BE" w:rsidRDefault="002E312D" w:rsidP="002E312D">
      <w:pPr>
        <w:pStyle w:val="FootnoteText"/>
        <w:rPr>
          <w:lang w:val="fr-FR"/>
        </w:rPr>
      </w:pPr>
      <w:r w:rsidRPr="008B72BE">
        <w:rPr>
          <w:lang w:val="fr-FR"/>
        </w:rPr>
        <w:tab/>
      </w:r>
      <w:r w:rsidRPr="00704DAE">
        <w:rPr>
          <w:rStyle w:val="FootnoteReference"/>
        </w:rPr>
        <w:footnoteRef/>
      </w:r>
      <w:r w:rsidRPr="008B72BE">
        <w:rPr>
          <w:lang w:val="fr-FR"/>
        </w:rPr>
        <w:t xml:space="preserve"> </w:t>
      </w:r>
      <w:r w:rsidRPr="008B72BE">
        <w:rPr>
          <w:lang w:val="fr-FR"/>
        </w:rPr>
        <w:tab/>
        <w:t>Conformément au programme de travail du S</w:t>
      </w:r>
      <w:r>
        <w:rPr>
          <w:lang w:val="fr-FR"/>
        </w:rPr>
        <w:t>ous-Comité pour la période 2015-</w:t>
      </w:r>
      <w:r w:rsidRPr="008B72BE">
        <w:rPr>
          <w:lang w:val="fr-FR"/>
        </w:rPr>
        <w:t>2016, adopté par le Comité à sa septième session (voir ST/SG/AC.10/C.4/56, annexe III, et ST/SG/AC.10/42, par.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12D" w:rsidRPr="002E312D" w:rsidRDefault="002E312D">
    <w:pPr>
      <w:pStyle w:val="Header"/>
    </w:pPr>
    <w:r>
      <w:t>ST/SG/AC.10/C.4/2016/9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12D" w:rsidRPr="002E312D" w:rsidRDefault="002E312D" w:rsidP="002E312D">
    <w:pPr>
      <w:pStyle w:val="Header"/>
      <w:jc w:val="right"/>
    </w:pPr>
    <w:r>
      <w:t>ST/SG/AC.10/C.4/2016/9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31D"/>
    <w:rsid w:val="00017F94"/>
    <w:rsid w:val="00023842"/>
    <w:rsid w:val="000305D3"/>
    <w:rsid w:val="000334F9"/>
    <w:rsid w:val="0007796D"/>
    <w:rsid w:val="000B7790"/>
    <w:rsid w:val="00111F2F"/>
    <w:rsid w:val="00132EA9"/>
    <w:rsid w:val="0014365E"/>
    <w:rsid w:val="00176178"/>
    <w:rsid w:val="001F525A"/>
    <w:rsid w:val="00223272"/>
    <w:rsid w:val="0024779E"/>
    <w:rsid w:val="00254BCF"/>
    <w:rsid w:val="00283190"/>
    <w:rsid w:val="002832AC"/>
    <w:rsid w:val="002D7C93"/>
    <w:rsid w:val="002E312D"/>
    <w:rsid w:val="00441C3B"/>
    <w:rsid w:val="00446FE5"/>
    <w:rsid w:val="00452396"/>
    <w:rsid w:val="004E468C"/>
    <w:rsid w:val="00544D22"/>
    <w:rsid w:val="005505B7"/>
    <w:rsid w:val="00573BE5"/>
    <w:rsid w:val="00586ED3"/>
    <w:rsid w:val="00596AA9"/>
    <w:rsid w:val="005C731D"/>
    <w:rsid w:val="006453A3"/>
    <w:rsid w:val="0068456F"/>
    <w:rsid w:val="0070551F"/>
    <w:rsid w:val="0071601D"/>
    <w:rsid w:val="007A62E6"/>
    <w:rsid w:val="0080684C"/>
    <w:rsid w:val="00847BD8"/>
    <w:rsid w:val="00871C75"/>
    <w:rsid w:val="008776DC"/>
    <w:rsid w:val="008C0C7B"/>
    <w:rsid w:val="009705C8"/>
    <w:rsid w:val="009C1CF4"/>
    <w:rsid w:val="00A30353"/>
    <w:rsid w:val="00AC3823"/>
    <w:rsid w:val="00AE323C"/>
    <w:rsid w:val="00B00181"/>
    <w:rsid w:val="00B00B0D"/>
    <w:rsid w:val="00B208E1"/>
    <w:rsid w:val="00B35797"/>
    <w:rsid w:val="00B765F7"/>
    <w:rsid w:val="00BA0CA9"/>
    <w:rsid w:val="00C02897"/>
    <w:rsid w:val="00C76037"/>
    <w:rsid w:val="00D3439C"/>
    <w:rsid w:val="00DB1831"/>
    <w:rsid w:val="00DD3BFD"/>
    <w:rsid w:val="00DF6678"/>
    <w:rsid w:val="00EF2E22"/>
    <w:rsid w:val="00EF754F"/>
    <w:rsid w:val="00F660DF"/>
    <w:rsid w:val="00F730C8"/>
    <w:rsid w:val="00F95C08"/>
    <w:rsid w:val="00FC0E80"/>
    <w:rsid w:val="00FF22F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HTML Address" w:uiPriority="0"/>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1"/>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paragraph" w:styleId="HTMLAddress">
    <w:name w:val="HTML Address"/>
    <w:basedOn w:val="Normal"/>
    <w:link w:val="HTMLAddressChar"/>
    <w:rsid w:val="002E312D"/>
    <w:rPr>
      <w:rFonts w:eastAsiaTheme="minorHAnsi"/>
      <w:i/>
      <w:iCs/>
    </w:rPr>
  </w:style>
  <w:style w:type="character" w:customStyle="1" w:styleId="HTMLAddressChar">
    <w:name w:val="HTML Address Char"/>
    <w:basedOn w:val="DefaultParagraphFont"/>
    <w:link w:val="HTMLAddress"/>
    <w:rsid w:val="002E312D"/>
    <w:rPr>
      <w:rFonts w:ascii="Times New Roman" w:eastAsiaTheme="minorHAnsi" w:hAnsi="Times New Roman" w:cs="Times New Roman"/>
      <w:i/>
      <w:iCs/>
      <w:sz w:val="20"/>
      <w:szCs w:val="20"/>
      <w:lang w:eastAsia="en-US"/>
    </w:rPr>
  </w:style>
  <w:style w:type="character" w:customStyle="1" w:styleId="HChGChar">
    <w:name w:val="_ H _Ch_G Char"/>
    <w:link w:val="HChG"/>
    <w:rsid w:val="002E312D"/>
    <w:rPr>
      <w:rFonts w:ascii="Times New Roman" w:hAnsi="Times New Roman" w:cs="Times New Roman"/>
      <w:b/>
      <w:sz w:val="28"/>
      <w:szCs w:val="20"/>
      <w:lang w:eastAsia="en-US"/>
    </w:rPr>
  </w:style>
  <w:style w:type="character" w:customStyle="1" w:styleId="SingleTxtGChar1">
    <w:name w:val="_ Single Txt_G Char1"/>
    <w:link w:val="SingleTxtG"/>
    <w:locked/>
    <w:rsid w:val="002E312D"/>
    <w:rPr>
      <w:rFonts w:ascii="Times New Roman" w:hAnsi="Times New Roman" w:cs="Times New Roman"/>
      <w:sz w:val="20"/>
      <w:szCs w:val="20"/>
      <w:lang w:eastAsia="en-US"/>
    </w:rPr>
  </w:style>
  <w:style w:type="character" w:customStyle="1" w:styleId="H1GChar">
    <w:name w:val="_ H_1_G Char"/>
    <w:link w:val="H1G"/>
    <w:locked/>
    <w:rsid w:val="002E312D"/>
    <w:rPr>
      <w:rFonts w:ascii="Times New Roman" w:hAnsi="Times New Roman" w:cs="Times New Roman"/>
      <w:b/>
      <w:sz w:val="24"/>
      <w:szCs w:val="20"/>
      <w:lang w:eastAsia="en-US"/>
    </w:rPr>
  </w:style>
  <w:style w:type="paragraph" w:customStyle="1" w:styleId="Style1">
    <w:name w:val="Style1"/>
    <w:basedOn w:val="Normal"/>
    <w:rsid w:val="002E312D"/>
    <w:pPr>
      <w:suppressAutoHyphens w:val="0"/>
      <w:spacing w:line="240" w:lineRule="auto"/>
    </w:pPr>
    <w:rPr>
      <w:rFonts w:eastAsiaTheme="minorHAnsi"/>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HTML Address" w:uiPriority="0"/>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1"/>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paragraph" w:styleId="HTMLAddress">
    <w:name w:val="HTML Address"/>
    <w:basedOn w:val="Normal"/>
    <w:link w:val="HTMLAddressChar"/>
    <w:rsid w:val="002E312D"/>
    <w:rPr>
      <w:rFonts w:eastAsiaTheme="minorHAnsi"/>
      <w:i/>
      <w:iCs/>
    </w:rPr>
  </w:style>
  <w:style w:type="character" w:customStyle="1" w:styleId="HTMLAddressChar">
    <w:name w:val="HTML Address Char"/>
    <w:basedOn w:val="DefaultParagraphFont"/>
    <w:link w:val="HTMLAddress"/>
    <w:rsid w:val="002E312D"/>
    <w:rPr>
      <w:rFonts w:ascii="Times New Roman" w:eastAsiaTheme="minorHAnsi" w:hAnsi="Times New Roman" w:cs="Times New Roman"/>
      <w:i/>
      <w:iCs/>
      <w:sz w:val="20"/>
      <w:szCs w:val="20"/>
      <w:lang w:eastAsia="en-US"/>
    </w:rPr>
  </w:style>
  <w:style w:type="character" w:customStyle="1" w:styleId="HChGChar">
    <w:name w:val="_ H _Ch_G Char"/>
    <w:link w:val="HChG"/>
    <w:rsid w:val="002E312D"/>
    <w:rPr>
      <w:rFonts w:ascii="Times New Roman" w:hAnsi="Times New Roman" w:cs="Times New Roman"/>
      <w:b/>
      <w:sz w:val="28"/>
      <w:szCs w:val="20"/>
      <w:lang w:eastAsia="en-US"/>
    </w:rPr>
  </w:style>
  <w:style w:type="character" w:customStyle="1" w:styleId="SingleTxtGChar1">
    <w:name w:val="_ Single Txt_G Char1"/>
    <w:link w:val="SingleTxtG"/>
    <w:locked/>
    <w:rsid w:val="002E312D"/>
    <w:rPr>
      <w:rFonts w:ascii="Times New Roman" w:hAnsi="Times New Roman" w:cs="Times New Roman"/>
      <w:sz w:val="20"/>
      <w:szCs w:val="20"/>
      <w:lang w:eastAsia="en-US"/>
    </w:rPr>
  </w:style>
  <w:style w:type="character" w:customStyle="1" w:styleId="H1GChar">
    <w:name w:val="_ H_1_G Char"/>
    <w:link w:val="H1G"/>
    <w:locked/>
    <w:rsid w:val="002E312D"/>
    <w:rPr>
      <w:rFonts w:ascii="Times New Roman" w:hAnsi="Times New Roman" w:cs="Times New Roman"/>
      <w:b/>
      <w:sz w:val="24"/>
      <w:szCs w:val="20"/>
      <w:lang w:eastAsia="en-US"/>
    </w:rPr>
  </w:style>
  <w:style w:type="paragraph" w:customStyle="1" w:styleId="Style1">
    <w:name w:val="Style1"/>
    <w:basedOn w:val="Normal"/>
    <w:rsid w:val="002E312D"/>
    <w:pPr>
      <w:suppressAutoHyphens w:val="0"/>
      <w:spacing w:line="240" w:lineRule="auto"/>
    </w:pPr>
    <w:rPr>
      <w:rFonts w:eastAsiaTheme="minorHAns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1826</Words>
  <Characters>10410</Characters>
  <Application>Microsoft Office Word</Application>
  <DocSecurity>0</DocSecurity>
  <Lines>86</Lines>
  <Paragraphs>24</Paragraphs>
  <ScaleCrop>false</ScaleCrop>
  <HeadingPairs>
    <vt:vector size="6" baseType="variant">
      <vt:variant>
        <vt:lpstr>Title</vt:lpstr>
      </vt:variant>
      <vt:variant>
        <vt:i4>1</vt:i4>
      </vt:variant>
      <vt:variant>
        <vt:lpstr>Titre</vt:lpstr>
      </vt:variant>
      <vt:variant>
        <vt:i4>1</vt:i4>
      </vt:variant>
      <vt:variant>
        <vt:lpstr>Titres</vt:lpstr>
      </vt:variant>
      <vt:variant>
        <vt:i4>1</vt:i4>
      </vt:variant>
    </vt:vector>
  </HeadingPairs>
  <TitlesOfParts>
    <vt:vector size="3" baseType="lpstr">
      <vt:lpstr>ST/SG/AC.10/C.4/2016/9</vt:lpstr>
      <vt:lpstr>ST/SG/AC.10/C.4/2016/9</vt:lpstr>
      <vt:lpstr>Tableau 3.1.1  Estimations de toxicité aiguë (ETA) et critères définissant les c</vt:lpstr>
    </vt:vector>
  </TitlesOfParts>
  <Company>DCM</Company>
  <LinksUpToDate>false</LinksUpToDate>
  <CharactersWithSpaces>12212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ST/SG/AC.10/C.4/2016/9</dc:title>
  <dc:subject>final</dc:subject>
  <dc:creator>Nath V.</dc:creator>
  <cp:lastModifiedBy>Laurence Berthet</cp:lastModifiedBy>
  <cp:revision>2</cp:revision>
  <cp:lastPrinted>2016-05-23T13:59:00Z</cp:lastPrinted>
  <dcterms:created xsi:type="dcterms:W3CDTF">2016-05-23T14:00:00Z</dcterms:created>
  <dcterms:modified xsi:type="dcterms:W3CDTF">2016-05-23T14:00:00Z</dcterms:modified>
</cp:coreProperties>
</file>