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0" w:rsidRPr="009A2170" w:rsidRDefault="00EB3776" w:rsidP="00D77FCE">
      <w:pPr>
        <w:tabs>
          <w:tab w:val="num" w:pos="720"/>
        </w:tabs>
        <w:ind w:right="-432"/>
        <w:jc w:val="center"/>
        <w:rPr>
          <w:rStyle w:val="Emphasis"/>
          <w:i w:val="0"/>
        </w:rPr>
      </w:pPr>
      <w:bookmarkStart w:id="0" w:name="_GoBack"/>
      <w:bookmarkEnd w:id="0"/>
      <w:r>
        <w:rPr>
          <w:rStyle w:val="Emphasis"/>
          <w:b/>
          <w:i w:val="0"/>
          <w:sz w:val="28"/>
          <w:szCs w:val="28"/>
        </w:rPr>
        <w:t>Corrigendum to ECE/TRANS/WP.29/2015/88</w:t>
      </w:r>
      <w:r>
        <w:rPr>
          <w:rStyle w:val="Emphasis"/>
          <w:b/>
          <w:i w:val="0"/>
          <w:sz w:val="28"/>
          <w:szCs w:val="28"/>
        </w:rPr>
        <w:br/>
      </w:r>
      <w:r w:rsidRPr="009A2170">
        <w:rPr>
          <w:rStyle w:val="Emphasis"/>
          <w:i w:val="0"/>
        </w:rPr>
        <w:t xml:space="preserve">(Draft </w:t>
      </w:r>
      <w:r w:rsidRPr="009A2170">
        <w:t>Supplement 4 to the 06 series of amendments to Regulation No. 107</w:t>
      </w:r>
      <w:r w:rsidRPr="009A2170">
        <w:rPr>
          <w:rStyle w:val="Emphasis"/>
          <w:i w:val="0"/>
        </w:rPr>
        <w:t>)</w:t>
      </w:r>
    </w:p>
    <w:p w:rsidR="001053C0" w:rsidRDefault="001053C0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717770" w:rsidRPr="0025188B" w:rsidRDefault="00717770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1053C0" w:rsidRDefault="00DF63D1" w:rsidP="00DF63D1">
      <w:pPr>
        <w:numPr>
          <w:ilvl w:val="0"/>
          <w:numId w:val="8"/>
        </w:numPr>
        <w:tabs>
          <w:tab w:val="num" w:pos="567"/>
          <w:tab w:val="left" w:pos="1134"/>
        </w:tabs>
        <w:ind w:left="1134" w:right="43" w:hanging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717770" w:rsidRDefault="00717770" w:rsidP="00717770">
      <w:pPr>
        <w:tabs>
          <w:tab w:val="num" w:pos="567"/>
          <w:tab w:val="left" w:pos="1134"/>
        </w:tabs>
        <w:ind w:right="43"/>
        <w:jc w:val="both"/>
        <w:rPr>
          <w:b/>
          <w:sz w:val="20"/>
          <w:szCs w:val="20"/>
        </w:rPr>
      </w:pPr>
    </w:p>
    <w:p w:rsidR="00147D8A" w:rsidRDefault="00717770" w:rsidP="00EB3776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At its 10</w:t>
      </w:r>
      <w:r w:rsidR="00EB3776">
        <w:rPr>
          <w:sz w:val="20"/>
          <w:szCs w:val="20"/>
        </w:rPr>
        <w:t>8</w:t>
      </w:r>
      <w:r w:rsidRPr="00DF63D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session, GRSG </w:t>
      </w:r>
      <w:r w:rsidR="00EB3776">
        <w:rPr>
          <w:sz w:val="20"/>
          <w:szCs w:val="20"/>
        </w:rPr>
        <w:t xml:space="preserve">adopted a </w:t>
      </w:r>
      <w:r w:rsidR="00EB3776" w:rsidRPr="00EB3776">
        <w:rPr>
          <w:sz w:val="20"/>
          <w:szCs w:val="20"/>
        </w:rPr>
        <w:t xml:space="preserve">revised proposal for the introduction of automatic fire suppression systems in the engine and/or heater compartment of buses and coaches </w:t>
      </w:r>
      <w:r w:rsidR="00EB3776">
        <w:rPr>
          <w:sz w:val="20"/>
          <w:szCs w:val="20"/>
        </w:rPr>
        <w:t xml:space="preserve">on the basis of </w:t>
      </w:r>
      <w:r w:rsidR="00EB3776" w:rsidRPr="00EB3776">
        <w:rPr>
          <w:sz w:val="20"/>
          <w:szCs w:val="20"/>
        </w:rPr>
        <w:t xml:space="preserve">ECE/TRANS/WP.29/GRSG/2014/6/Rev.1 </w:t>
      </w:r>
      <w:r w:rsidR="00866D01">
        <w:rPr>
          <w:sz w:val="20"/>
          <w:szCs w:val="20"/>
        </w:rPr>
        <w:t xml:space="preserve">amended </w:t>
      </w:r>
      <w:r w:rsidR="00EB3776" w:rsidRPr="00EB3776">
        <w:rPr>
          <w:sz w:val="20"/>
          <w:szCs w:val="20"/>
        </w:rPr>
        <w:t xml:space="preserve">as reproduced in GRSG-108-51 </w:t>
      </w:r>
      <w:r>
        <w:rPr>
          <w:sz w:val="20"/>
          <w:szCs w:val="20"/>
        </w:rPr>
        <w:t>(see GRSG report ECE/TRANS/WP.29/GRSG/8</w:t>
      </w:r>
      <w:r w:rsidR="004066F9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Pr="00D2380D">
        <w:rPr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 w:rsidR="004066F9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4066F9">
        <w:rPr>
          <w:sz w:val="20"/>
          <w:szCs w:val="20"/>
        </w:rPr>
        <w:t>5-7</w:t>
      </w:r>
      <w:r>
        <w:rPr>
          <w:sz w:val="20"/>
          <w:szCs w:val="20"/>
        </w:rPr>
        <w:t>).</w:t>
      </w:r>
      <w:r w:rsidR="004066F9">
        <w:rPr>
          <w:sz w:val="20"/>
          <w:szCs w:val="20"/>
        </w:rPr>
        <w:t xml:space="preserve"> The adopted proposal was submitted </w:t>
      </w:r>
      <w:r w:rsidR="00866D01">
        <w:rPr>
          <w:sz w:val="20"/>
          <w:szCs w:val="20"/>
        </w:rPr>
        <w:t xml:space="preserve">to the World Forum WP.29 for consideration at its November 2015 session as document </w:t>
      </w:r>
      <w:r w:rsidR="004066F9" w:rsidRPr="004066F9">
        <w:rPr>
          <w:sz w:val="20"/>
          <w:szCs w:val="20"/>
        </w:rPr>
        <w:t>ECE/TRANS/WP.29/2015/88</w:t>
      </w:r>
      <w:r w:rsidR="00866D01">
        <w:rPr>
          <w:sz w:val="20"/>
          <w:szCs w:val="20"/>
        </w:rPr>
        <w:t>, available at</w:t>
      </w:r>
      <w:r w:rsidR="009E5D62">
        <w:rPr>
          <w:sz w:val="20"/>
          <w:szCs w:val="20"/>
        </w:rPr>
        <w:t>:</w:t>
      </w:r>
      <w:r w:rsidR="00866D01">
        <w:rPr>
          <w:sz w:val="20"/>
          <w:szCs w:val="20"/>
        </w:rPr>
        <w:t xml:space="preserve"> </w:t>
      </w:r>
      <w:r w:rsidR="00866D01" w:rsidRPr="00866D01">
        <w:rPr>
          <w:color w:val="0070C0"/>
          <w:sz w:val="20"/>
          <w:szCs w:val="20"/>
        </w:rPr>
        <w:t>www.unece.org/fileadmin/DAM/trans/doc/2015/wp29/ECE-TRANS-WP29-2015-088e.pdf</w:t>
      </w:r>
      <w:r w:rsidR="004066F9">
        <w:rPr>
          <w:sz w:val="20"/>
          <w:szCs w:val="20"/>
        </w:rPr>
        <w:t>.</w:t>
      </w:r>
    </w:p>
    <w:p w:rsidR="00147D8A" w:rsidRDefault="00147D8A" w:rsidP="00147D8A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717770" w:rsidRPr="00147D8A" w:rsidRDefault="00147D8A" w:rsidP="00147D8A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866D01">
        <w:rPr>
          <w:sz w:val="20"/>
          <w:szCs w:val="20"/>
        </w:rPr>
        <w:t>Some minor editorial mistakes still occurred in ECE/TRANS/WP.29/2015/88</w:t>
      </w:r>
      <w:r>
        <w:rPr>
          <w:sz w:val="20"/>
          <w:szCs w:val="20"/>
        </w:rPr>
        <w:t>.</w:t>
      </w:r>
      <w:r w:rsidR="00866D01">
        <w:rPr>
          <w:sz w:val="20"/>
          <w:szCs w:val="20"/>
        </w:rPr>
        <w:t xml:space="preserve"> The document proposes to correct these editorial errors.</w:t>
      </w:r>
    </w:p>
    <w:p w:rsidR="00717770" w:rsidRDefault="00717770" w:rsidP="00717770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717770" w:rsidRDefault="00717770" w:rsidP="00717770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717770" w:rsidRPr="0025188B" w:rsidRDefault="00717770" w:rsidP="00DF63D1">
      <w:pPr>
        <w:numPr>
          <w:ilvl w:val="0"/>
          <w:numId w:val="8"/>
        </w:numPr>
        <w:tabs>
          <w:tab w:val="num" w:pos="567"/>
          <w:tab w:val="left" w:pos="1134"/>
        </w:tabs>
        <w:ind w:left="1134" w:right="43" w:hanging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Proposal</w:t>
      </w:r>
    </w:p>
    <w:p w:rsidR="003A594A" w:rsidRDefault="003A594A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866D01" w:rsidRPr="00866D01" w:rsidRDefault="00866D01" w:rsidP="00866D01">
      <w:pPr>
        <w:tabs>
          <w:tab w:val="num" w:pos="567"/>
          <w:tab w:val="left" w:pos="1134"/>
        </w:tabs>
        <w:ind w:right="43"/>
        <w:jc w:val="both"/>
        <w:rPr>
          <w:iCs/>
          <w:sz w:val="20"/>
          <w:szCs w:val="20"/>
          <w:lang w:val="en-GB"/>
        </w:rPr>
      </w:pPr>
      <w:r w:rsidRPr="00866D01">
        <w:rPr>
          <w:i/>
          <w:iCs/>
          <w:sz w:val="20"/>
          <w:szCs w:val="20"/>
          <w:lang w:val="en-GB"/>
        </w:rPr>
        <w:t>Paragraph</w:t>
      </w:r>
      <w:r w:rsidRPr="00866D01">
        <w:rPr>
          <w:i/>
          <w:sz w:val="20"/>
          <w:szCs w:val="20"/>
          <w:lang w:val="en-GB"/>
        </w:rPr>
        <w:t xml:space="preserve"> 2.3., </w:t>
      </w:r>
      <w:r>
        <w:rPr>
          <w:iCs/>
          <w:sz w:val="20"/>
          <w:szCs w:val="20"/>
          <w:lang w:val="en-GB"/>
        </w:rPr>
        <w:t xml:space="preserve">correct </w:t>
      </w:r>
      <w:r w:rsidRPr="00866D01">
        <w:rPr>
          <w:iCs/>
          <w:sz w:val="20"/>
          <w:szCs w:val="20"/>
          <w:lang w:val="en-GB"/>
        </w:rPr>
        <w:t xml:space="preserve">to </w:t>
      </w:r>
      <w:r w:rsidRPr="00866D01">
        <w:rPr>
          <w:bCs/>
          <w:sz w:val="20"/>
          <w:szCs w:val="20"/>
        </w:rPr>
        <w:t>read</w:t>
      </w:r>
      <w:r w:rsidRPr="00866D01">
        <w:rPr>
          <w:iCs/>
          <w:sz w:val="20"/>
          <w:szCs w:val="20"/>
          <w:lang w:val="en-GB"/>
        </w:rPr>
        <w:t>:</w:t>
      </w:r>
    </w:p>
    <w:p w:rsidR="00866D01" w:rsidRPr="00866D01" w:rsidRDefault="00866D01" w:rsidP="00866D01">
      <w:pPr>
        <w:tabs>
          <w:tab w:val="num" w:pos="567"/>
          <w:tab w:val="left" w:pos="1134"/>
        </w:tabs>
        <w:ind w:left="567" w:right="43" w:hanging="567"/>
        <w:jc w:val="both"/>
        <w:rPr>
          <w:i/>
          <w:sz w:val="20"/>
          <w:szCs w:val="20"/>
          <w:lang w:val="en-GB"/>
        </w:rPr>
      </w:pPr>
      <w:r w:rsidRPr="00866D01">
        <w:rPr>
          <w:sz w:val="20"/>
          <w:szCs w:val="20"/>
          <w:lang w:val="en-GB"/>
        </w:rPr>
        <w:t>"2.3.</w:t>
      </w:r>
      <w:r w:rsidRPr="00866D01">
        <w:rPr>
          <w:sz w:val="20"/>
          <w:szCs w:val="20"/>
          <w:lang w:val="en-GB"/>
        </w:rPr>
        <w:tab/>
      </w:r>
      <w:r w:rsidRPr="00866D01">
        <w:rPr>
          <w:i/>
          <w:sz w:val="20"/>
          <w:szCs w:val="20"/>
          <w:lang w:val="en-GB"/>
        </w:rPr>
        <w:t>"Approval of a vehicle, a separate technical unit or a component"</w:t>
      </w:r>
      <w:r w:rsidRPr="00866D01">
        <w:rPr>
          <w:sz w:val="20"/>
          <w:szCs w:val="20"/>
          <w:lang w:val="en-GB"/>
        </w:rPr>
        <w:t xml:space="preserve"> means the approval of a vehicle type, of a bodywork</w:t>
      </w:r>
      <w:r>
        <w:rPr>
          <w:sz w:val="20"/>
          <w:szCs w:val="20"/>
          <w:lang w:val="en-GB"/>
        </w:rPr>
        <w:t xml:space="preserve"> </w:t>
      </w:r>
      <w:r w:rsidRPr="00866D01">
        <w:rPr>
          <w:b/>
          <w:sz w:val="20"/>
          <w:szCs w:val="20"/>
          <w:lang w:val="en-GB"/>
        </w:rPr>
        <w:t>type</w:t>
      </w:r>
      <w:r>
        <w:rPr>
          <w:sz w:val="20"/>
          <w:szCs w:val="20"/>
          <w:lang w:val="en-GB"/>
        </w:rPr>
        <w:t xml:space="preserve"> o</w:t>
      </w:r>
      <w:r w:rsidRPr="00866D01">
        <w:rPr>
          <w:sz w:val="20"/>
          <w:szCs w:val="20"/>
          <w:lang w:val="en-GB"/>
        </w:rPr>
        <w:t>r of a component type as defined in paragraph 2.2. above with regard to the constructional features specified in this Regulation;"</w:t>
      </w:r>
    </w:p>
    <w:p w:rsidR="00DF63D1" w:rsidRPr="00866D01" w:rsidRDefault="00DF63D1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  <w:lang w:val="en-GB"/>
        </w:rPr>
      </w:pPr>
    </w:p>
    <w:p w:rsidR="007B6313" w:rsidRDefault="009E5D62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A2170">
        <w:rPr>
          <w:sz w:val="20"/>
          <w:szCs w:val="20"/>
        </w:rPr>
        <w:t>r other option:</w:t>
      </w:r>
    </w:p>
    <w:p w:rsidR="009A2170" w:rsidRDefault="009A2170" w:rsidP="009A2170">
      <w:pPr>
        <w:tabs>
          <w:tab w:val="num" w:pos="567"/>
          <w:tab w:val="left" w:pos="1134"/>
        </w:tabs>
        <w:ind w:left="567" w:right="43" w:hanging="567"/>
        <w:jc w:val="both"/>
        <w:rPr>
          <w:sz w:val="20"/>
          <w:szCs w:val="20"/>
          <w:lang w:val="en-GB"/>
        </w:rPr>
      </w:pPr>
      <w:r w:rsidRPr="00866D01">
        <w:rPr>
          <w:sz w:val="20"/>
          <w:szCs w:val="20"/>
          <w:lang w:val="en-GB"/>
        </w:rPr>
        <w:t>"2.3.</w:t>
      </w:r>
      <w:r w:rsidRPr="00866D01">
        <w:rPr>
          <w:sz w:val="20"/>
          <w:szCs w:val="20"/>
          <w:lang w:val="en-GB"/>
        </w:rPr>
        <w:tab/>
      </w:r>
      <w:r w:rsidRPr="00866D01">
        <w:rPr>
          <w:i/>
          <w:sz w:val="20"/>
          <w:szCs w:val="20"/>
          <w:lang w:val="en-GB"/>
        </w:rPr>
        <w:t>"Approval of a vehicle, a separate technical unit or a component"</w:t>
      </w:r>
      <w:r w:rsidRPr="00866D01">
        <w:rPr>
          <w:sz w:val="20"/>
          <w:szCs w:val="20"/>
          <w:lang w:val="en-GB"/>
        </w:rPr>
        <w:t xml:space="preserve"> means the approval </w:t>
      </w:r>
      <w:r w:rsidRPr="009A2170">
        <w:rPr>
          <w:sz w:val="20"/>
          <w:szCs w:val="20"/>
          <w:lang w:val="en-GB"/>
        </w:rPr>
        <w:t>of a</w:t>
      </w:r>
      <w:r w:rsidRPr="009A2170">
        <w:rPr>
          <w:b/>
          <w:sz w:val="20"/>
          <w:szCs w:val="20"/>
          <w:lang w:val="en-GB"/>
        </w:rPr>
        <w:t xml:space="preserve"> type of vehicle, bodywork or component </w:t>
      </w:r>
      <w:r w:rsidRPr="00866D01">
        <w:rPr>
          <w:sz w:val="20"/>
          <w:szCs w:val="20"/>
          <w:lang w:val="en-GB"/>
        </w:rPr>
        <w:t>as defined in paragraph 2.2. above with regard to the constructional features specified in this Regulation;"</w:t>
      </w:r>
    </w:p>
    <w:p w:rsidR="009A2170" w:rsidRDefault="009A2170" w:rsidP="009A2170">
      <w:pPr>
        <w:tabs>
          <w:tab w:val="num" w:pos="567"/>
          <w:tab w:val="left" w:pos="1134"/>
        </w:tabs>
        <w:ind w:left="567" w:right="43" w:hanging="567"/>
        <w:jc w:val="both"/>
        <w:rPr>
          <w:sz w:val="20"/>
          <w:szCs w:val="20"/>
          <w:lang w:val="en-GB"/>
        </w:rPr>
      </w:pPr>
    </w:p>
    <w:p w:rsidR="009A2170" w:rsidRPr="009A2170" w:rsidRDefault="009A2170" w:rsidP="009A2170">
      <w:pPr>
        <w:tabs>
          <w:tab w:val="left" w:pos="1134"/>
        </w:tabs>
        <w:ind w:right="43"/>
        <w:jc w:val="both"/>
        <w:rPr>
          <w:sz w:val="20"/>
          <w:szCs w:val="20"/>
          <w:lang w:val="en-GB"/>
        </w:rPr>
      </w:pPr>
      <w:r w:rsidRPr="009A2170">
        <w:rPr>
          <w:i/>
          <w:sz w:val="20"/>
          <w:szCs w:val="20"/>
          <w:lang w:val="en-GB"/>
        </w:rPr>
        <w:t>Annex 3, new paragraph 7.5.1.5.4.</w:t>
      </w:r>
      <w:r>
        <w:rPr>
          <w:i/>
          <w:sz w:val="20"/>
          <w:szCs w:val="20"/>
          <w:lang w:val="en-GB"/>
        </w:rPr>
        <w:t>2., at the end of the first subparagraph</w:t>
      </w:r>
      <w:r w:rsidRPr="009A2170">
        <w:rPr>
          <w:i/>
          <w:sz w:val="20"/>
          <w:szCs w:val="20"/>
          <w:lang w:val="en-GB"/>
        </w:rPr>
        <w:t>,</w:t>
      </w:r>
      <w:r w:rsidRPr="009A217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replace "</w:t>
      </w:r>
      <w:r w:rsidRPr="009A2170">
        <w:rPr>
          <w:sz w:val="20"/>
          <w:szCs w:val="20"/>
          <w:lang w:val="en-GB"/>
        </w:rPr>
        <w:t>altitude</w:t>
      </w:r>
      <w:r>
        <w:rPr>
          <w:sz w:val="20"/>
          <w:szCs w:val="20"/>
          <w:lang w:val="en-GB"/>
        </w:rPr>
        <w:t xml:space="preserve">" by </w:t>
      </w:r>
      <w:r w:rsidRPr="009A2170">
        <w:rPr>
          <w:sz w:val="20"/>
          <w:szCs w:val="20"/>
          <w:lang w:val="en-GB"/>
        </w:rPr>
        <w:t>"</w:t>
      </w:r>
      <w:r w:rsidRPr="009A2170">
        <w:rPr>
          <w:b/>
          <w:sz w:val="20"/>
          <w:szCs w:val="20"/>
          <w:lang w:val="en-GB"/>
        </w:rPr>
        <w:t>attitude</w:t>
      </w:r>
      <w:r w:rsidRPr="009A2170">
        <w:rPr>
          <w:sz w:val="20"/>
          <w:szCs w:val="20"/>
          <w:lang w:val="en-GB"/>
        </w:rPr>
        <w:t>"</w:t>
      </w:r>
      <w:r>
        <w:rPr>
          <w:sz w:val="20"/>
          <w:szCs w:val="20"/>
          <w:lang w:val="en-GB"/>
        </w:rPr>
        <w:t>.</w:t>
      </w:r>
    </w:p>
    <w:p w:rsidR="009A2170" w:rsidRDefault="009A2170" w:rsidP="009A2170">
      <w:pPr>
        <w:tabs>
          <w:tab w:val="num" w:pos="567"/>
          <w:tab w:val="left" w:pos="1134"/>
        </w:tabs>
        <w:ind w:left="567" w:right="43" w:hanging="567"/>
        <w:jc w:val="both"/>
        <w:rPr>
          <w:sz w:val="20"/>
          <w:szCs w:val="20"/>
          <w:lang w:val="en-GB"/>
        </w:rPr>
      </w:pPr>
    </w:p>
    <w:p w:rsidR="009A2170" w:rsidRPr="009A2170" w:rsidRDefault="009A2170" w:rsidP="009A2170">
      <w:pPr>
        <w:tabs>
          <w:tab w:val="left" w:pos="1134"/>
        </w:tabs>
        <w:ind w:right="43"/>
        <w:jc w:val="both"/>
        <w:rPr>
          <w:sz w:val="20"/>
          <w:szCs w:val="20"/>
          <w:lang w:val="en-GB"/>
        </w:rPr>
      </w:pPr>
      <w:r w:rsidRPr="009A2170">
        <w:rPr>
          <w:i/>
          <w:sz w:val="20"/>
          <w:szCs w:val="20"/>
          <w:lang w:val="en-GB"/>
        </w:rPr>
        <w:t>Annex 3, new paragraph 7.5.1.5.4.</w:t>
      </w:r>
      <w:r>
        <w:rPr>
          <w:i/>
          <w:sz w:val="20"/>
          <w:szCs w:val="20"/>
          <w:lang w:val="en-GB"/>
        </w:rPr>
        <w:t>3.,</w:t>
      </w:r>
      <w:r w:rsidRPr="009A217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replace "auxiliary heater" by </w:t>
      </w:r>
      <w:r w:rsidRPr="009A2170">
        <w:rPr>
          <w:sz w:val="20"/>
          <w:szCs w:val="20"/>
          <w:lang w:val="en-GB"/>
        </w:rPr>
        <w:t>"</w:t>
      </w:r>
      <w:r w:rsidRPr="009A2170">
        <w:rPr>
          <w:b/>
          <w:sz w:val="20"/>
          <w:szCs w:val="20"/>
          <w:lang w:val="en-GB"/>
        </w:rPr>
        <w:t>combustion</w:t>
      </w:r>
      <w:r w:rsidRPr="009A2170">
        <w:rPr>
          <w:sz w:val="20"/>
          <w:szCs w:val="20"/>
          <w:lang w:val="en-GB"/>
        </w:rPr>
        <w:t xml:space="preserve"> heater"</w:t>
      </w:r>
      <w:r>
        <w:rPr>
          <w:sz w:val="20"/>
          <w:szCs w:val="20"/>
          <w:lang w:val="en-GB"/>
        </w:rPr>
        <w:t xml:space="preserve"> (3 times).</w:t>
      </w:r>
    </w:p>
    <w:p w:rsidR="009A2170" w:rsidRDefault="009A2170" w:rsidP="009A2170">
      <w:pPr>
        <w:tabs>
          <w:tab w:val="num" w:pos="567"/>
          <w:tab w:val="left" w:pos="1134"/>
        </w:tabs>
        <w:ind w:left="567" w:right="43" w:hanging="567"/>
        <w:jc w:val="both"/>
        <w:rPr>
          <w:sz w:val="20"/>
          <w:szCs w:val="20"/>
          <w:lang w:val="en-GB"/>
        </w:rPr>
      </w:pPr>
    </w:p>
    <w:p w:rsidR="00717770" w:rsidRPr="0025188B" w:rsidRDefault="00717770" w:rsidP="00DF63D1">
      <w:pPr>
        <w:tabs>
          <w:tab w:val="num" w:pos="567"/>
          <w:tab w:val="left" w:pos="1134"/>
        </w:tabs>
        <w:ind w:right="43"/>
        <w:jc w:val="both"/>
        <w:rPr>
          <w:sz w:val="20"/>
          <w:szCs w:val="20"/>
        </w:rPr>
      </w:pPr>
    </w:p>
    <w:p w:rsidR="009A3E21" w:rsidRDefault="009A3E21" w:rsidP="009A3E21">
      <w:pPr>
        <w:tabs>
          <w:tab w:val="num" w:pos="720"/>
        </w:tabs>
        <w:jc w:val="center"/>
      </w:pPr>
      <w:r>
        <w:t>_____________________</w:t>
      </w:r>
    </w:p>
    <w:sectPr w:rsidR="009A3E21" w:rsidSect="00DF63D1">
      <w:footerReference w:type="default" r:id="rId9"/>
      <w:headerReference w:type="first" r:id="rId10"/>
      <w:footerReference w:type="first" r:id="rId11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54" w:rsidRDefault="00021554">
      <w:r>
        <w:separator/>
      </w:r>
    </w:p>
  </w:endnote>
  <w:endnote w:type="continuationSeparator" w:id="0">
    <w:p w:rsidR="00021554" w:rsidRDefault="000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6F1">
      <w:rPr>
        <w:noProof/>
      </w:rPr>
      <w:t>2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31D">
      <w:rPr>
        <w:noProof/>
      </w:rPr>
      <w:t>1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54" w:rsidRDefault="00021554">
      <w:r>
        <w:separator/>
      </w:r>
    </w:p>
  </w:footnote>
  <w:footnote w:type="continuationSeparator" w:id="0">
    <w:p w:rsidR="00021554" w:rsidRDefault="0002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B11753" w:rsidRPr="00C707D6" w:rsidTr="00EB3776">
      <w:tc>
        <w:tcPr>
          <w:tcW w:w="4395" w:type="dxa"/>
          <w:vAlign w:val="center"/>
        </w:tcPr>
        <w:p w:rsidR="00B11753" w:rsidRPr="0077562E" w:rsidRDefault="00B11753" w:rsidP="00EB3776">
          <w:pPr>
            <w:tabs>
              <w:tab w:val="center" w:pos="4677"/>
              <w:tab w:val="right" w:pos="9355"/>
            </w:tabs>
            <w:ind w:hanging="108"/>
            <w:rPr>
              <w:lang w:eastAsia="ar-SA"/>
            </w:rPr>
          </w:pPr>
          <w:r w:rsidRPr="00A46620">
            <w:rPr>
              <w:lang w:eastAsia="ar-SA"/>
            </w:rPr>
            <w:t xml:space="preserve">Submitted by the </w:t>
          </w:r>
          <w:r w:rsidR="00EB3776">
            <w:rPr>
              <w:lang w:eastAsia="ar-SA"/>
            </w:rPr>
            <w:t>expert from Sweden</w:t>
          </w:r>
        </w:p>
      </w:tc>
      <w:tc>
        <w:tcPr>
          <w:tcW w:w="5103" w:type="dxa"/>
        </w:tcPr>
        <w:p w:rsidR="002F6D64" w:rsidRDefault="002F6D64" w:rsidP="00EB3776">
          <w:pPr>
            <w:ind w:left="175"/>
            <w:rPr>
              <w:b/>
              <w:lang w:val="en-TT" w:eastAsia="ar-SA"/>
            </w:rPr>
          </w:pPr>
          <w:r>
            <w:rPr>
              <w:b/>
              <w:lang w:val="en-TT" w:eastAsia="ar-SA"/>
            </w:rPr>
            <w:t xml:space="preserve">Informal document </w:t>
          </w:r>
          <w:r w:rsidR="002E47F3">
            <w:rPr>
              <w:b/>
              <w:lang w:val="en-TT" w:eastAsia="ar-SA"/>
            </w:rPr>
            <w:t>GRSG-10</w:t>
          </w:r>
          <w:r w:rsidR="00EB3776">
            <w:rPr>
              <w:b/>
              <w:lang w:val="en-TT" w:eastAsia="ar-SA"/>
            </w:rPr>
            <w:t>9</w:t>
          </w:r>
          <w:r w:rsidR="002E47F3">
            <w:rPr>
              <w:b/>
              <w:lang w:val="en-TT" w:eastAsia="ar-SA"/>
            </w:rPr>
            <w:t>-</w:t>
          </w:r>
          <w:r w:rsidR="005C4622">
            <w:rPr>
              <w:b/>
              <w:lang w:val="en-TT" w:eastAsia="ar-SA"/>
            </w:rPr>
            <w:t>0</w:t>
          </w:r>
          <w:r w:rsidR="00EB3776">
            <w:rPr>
              <w:b/>
              <w:lang w:val="en-TT" w:eastAsia="ar-SA"/>
            </w:rPr>
            <w:t>2</w:t>
          </w:r>
        </w:p>
        <w:p w:rsidR="00B11753" w:rsidRPr="002E47F3" w:rsidRDefault="002E47F3" w:rsidP="00EB3776">
          <w:pPr>
            <w:ind w:left="175"/>
            <w:rPr>
              <w:lang w:val="en-TT" w:eastAsia="ar-SA"/>
            </w:rPr>
          </w:pPr>
          <w:r>
            <w:rPr>
              <w:lang w:val="en-TT" w:eastAsia="ar-SA"/>
            </w:rPr>
            <w:t>(10</w:t>
          </w:r>
          <w:r w:rsidR="00EB3776">
            <w:rPr>
              <w:lang w:val="en-TT" w:eastAsia="ar-SA"/>
            </w:rPr>
            <w:t>9</w:t>
          </w:r>
          <w:r w:rsidR="00B11753" w:rsidRPr="00A46620">
            <w:rPr>
              <w:lang w:val="en-TT" w:eastAsia="ar-SA"/>
            </w:rPr>
            <w:t xml:space="preserve">th GRSG, </w:t>
          </w:r>
          <w:r w:rsidR="00EB3776">
            <w:rPr>
              <w:lang w:val="en-TT" w:eastAsia="ar-SA"/>
            </w:rPr>
            <w:t>29 September –</w:t>
          </w:r>
          <w:r>
            <w:rPr>
              <w:lang w:val="en-TT" w:eastAsia="ar-SA"/>
            </w:rPr>
            <w:t xml:space="preserve"> </w:t>
          </w:r>
          <w:r w:rsidR="00EB3776">
            <w:rPr>
              <w:lang w:val="en-TT" w:eastAsia="ar-SA"/>
            </w:rPr>
            <w:t>2 October</w:t>
          </w:r>
          <w:r>
            <w:rPr>
              <w:lang w:val="en-TT" w:eastAsia="ar-SA"/>
            </w:rPr>
            <w:t xml:space="preserve"> 2015</w:t>
          </w:r>
          <w:r w:rsidR="003B66F1">
            <w:rPr>
              <w:lang w:val="en-TT" w:eastAsia="ar-SA"/>
            </w:rPr>
            <w:t>,</w:t>
          </w:r>
          <w:r w:rsidR="003B66F1">
            <w:rPr>
              <w:lang w:val="en-TT" w:eastAsia="ar-SA"/>
            </w:rPr>
            <w:br/>
            <w:t xml:space="preserve">agenda item </w:t>
          </w:r>
          <w:r w:rsidR="00EB3776">
            <w:rPr>
              <w:lang w:val="en-TT" w:eastAsia="ar-SA"/>
            </w:rPr>
            <w:t>2</w:t>
          </w:r>
          <w:r w:rsidR="003B66F1">
            <w:rPr>
              <w:lang w:val="en-TT" w:eastAsia="ar-SA"/>
            </w:rPr>
            <w:t>(a)</w:t>
          </w:r>
          <w:r w:rsidR="00B11753" w:rsidRPr="00A46620">
            <w:rPr>
              <w:lang w:val="en-TT" w:eastAsia="ar-SA"/>
            </w:rPr>
            <w:t>)</w:t>
          </w:r>
        </w:p>
      </w:tc>
    </w:tr>
  </w:tbl>
  <w:p w:rsidR="00B11753" w:rsidRDefault="00B11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4A"/>
    <w:rsid w:val="00021554"/>
    <w:rsid w:val="0003235B"/>
    <w:rsid w:val="0005054C"/>
    <w:rsid w:val="00056A18"/>
    <w:rsid w:val="000A3E18"/>
    <w:rsid w:val="000B631D"/>
    <w:rsid w:val="000E1E57"/>
    <w:rsid w:val="000E271A"/>
    <w:rsid w:val="000E727E"/>
    <w:rsid w:val="0010267B"/>
    <w:rsid w:val="001053C0"/>
    <w:rsid w:val="0012442B"/>
    <w:rsid w:val="00147D8A"/>
    <w:rsid w:val="00165491"/>
    <w:rsid w:val="001A0E48"/>
    <w:rsid w:val="001A48AF"/>
    <w:rsid w:val="001A6093"/>
    <w:rsid w:val="001E51D8"/>
    <w:rsid w:val="002334F2"/>
    <w:rsid w:val="0025188B"/>
    <w:rsid w:val="00270DB3"/>
    <w:rsid w:val="002739C0"/>
    <w:rsid w:val="002E47F3"/>
    <w:rsid w:val="002F6D64"/>
    <w:rsid w:val="003317C3"/>
    <w:rsid w:val="00350E4A"/>
    <w:rsid w:val="00390AC0"/>
    <w:rsid w:val="003A594A"/>
    <w:rsid w:val="003B66F1"/>
    <w:rsid w:val="003D7259"/>
    <w:rsid w:val="003E211E"/>
    <w:rsid w:val="003E5E06"/>
    <w:rsid w:val="004066F9"/>
    <w:rsid w:val="004145B2"/>
    <w:rsid w:val="004461F8"/>
    <w:rsid w:val="0044689F"/>
    <w:rsid w:val="0046001E"/>
    <w:rsid w:val="00486F9E"/>
    <w:rsid w:val="004905F7"/>
    <w:rsid w:val="00496FB3"/>
    <w:rsid w:val="004C2EDC"/>
    <w:rsid w:val="005C2A6A"/>
    <w:rsid w:val="005C4622"/>
    <w:rsid w:val="005D6790"/>
    <w:rsid w:val="00601B6D"/>
    <w:rsid w:val="00603473"/>
    <w:rsid w:val="00616C3B"/>
    <w:rsid w:val="0064770D"/>
    <w:rsid w:val="006908E8"/>
    <w:rsid w:val="00695C93"/>
    <w:rsid w:val="006C31BC"/>
    <w:rsid w:val="00707C89"/>
    <w:rsid w:val="00713758"/>
    <w:rsid w:val="00717770"/>
    <w:rsid w:val="007755AE"/>
    <w:rsid w:val="0077562E"/>
    <w:rsid w:val="007860BF"/>
    <w:rsid w:val="007B3A62"/>
    <w:rsid w:val="007B6313"/>
    <w:rsid w:val="00800542"/>
    <w:rsid w:val="0080171E"/>
    <w:rsid w:val="008109E0"/>
    <w:rsid w:val="00810D93"/>
    <w:rsid w:val="00846FBB"/>
    <w:rsid w:val="008560BB"/>
    <w:rsid w:val="00866D01"/>
    <w:rsid w:val="009164B9"/>
    <w:rsid w:val="009734BE"/>
    <w:rsid w:val="009A2170"/>
    <w:rsid w:val="009A3E21"/>
    <w:rsid w:val="009E5D62"/>
    <w:rsid w:val="00A16B6F"/>
    <w:rsid w:val="00A27151"/>
    <w:rsid w:val="00A3635F"/>
    <w:rsid w:val="00A46620"/>
    <w:rsid w:val="00A5441F"/>
    <w:rsid w:val="00AA3C92"/>
    <w:rsid w:val="00AD30E9"/>
    <w:rsid w:val="00B11753"/>
    <w:rsid w:val="00B452C1"/>
    <w:rsid w:val="00BC0209"/>
    <w:rsid w:val="00BD4738"/>
    <w:rsid w:val="00BD537B"/>
    <w:rsid w:val="00C16F0C"/>
    <w:rsid w:val="00C26D6E"/>
    <w:rsid w:val="00C54187"/>
    <w:rsid w:val="00C71C95"/>
    <w:rsid w:val="00CA663C"/>
    <w:rsid w:val="00CB79ED"/>
    <w:rsid w:val="00CD4CBE"/>
    <w:rsid w:val="00D00538"/>
    <w:rsid w:val="00D2380D"/>
    <w:rsid w:val="00D366FC"/>
    <w:rsid w:val="00D77FCE"/>
    <w:rsid w:val="00DC3642"/>
    <w:rsid w:val="00DD58A5"/>
    <w:rsid w:val="00DF63D1"/>
    <w:rsid w:val="00E4665F"/>
    <w:rsid w:val="00E55518"/>
    <w:rsid w:val="00EA24BF"/>
    <w:rsid w:val="00EB3776"/>
    <w:rsid w:val="00ED6FF0"/>
    <w:rsid w:val="00F07BD5"/>
    <w:rsid w:val="00F40F0E"/>
    <w:rsid w:val="00F52D4A"/>
    <w:rsid w:val="00F64600"/>
    <w:rsid w:val="00F86E67"/>
    <w:rsid w:val="00F933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054C"/>
    <w:rPr>
      <w:lang w:eastAsia="ja-JP"/>
    </w:rPr>
  </w:style>
  <w:style w:type="character" w:styleId="FootnoteReference">
    <w:name w:val="footnote reference"/>
    <w:uiPriority w:val="99"/>
    <w:semiHidden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A590-2168-434E-A85B-95A4911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GRSG-107-02</vt:lpstr>
    </vt:vector>
  </TitlesOfParts>
  <Company>Clepa</Company>
  <LinksUpToDate>false</LinksUpToDate>
  <CharactersWithSpaces>1614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2</cp:revision>
  <cp:lastPrinted>2014-09-01T14:58:00Z</cp:lastPrinted>
  <dcterms:created xsi:type="dcterms:W3CDTF">2015-09-03T07:05:00Z</dcterms:created>
  <dcterms:modified xsi:type="dcterms:W3CDTF">2015-09-03T07:05:00Z</dcterms:modified>
</cp:coreProperties>
</file>