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8" w:rsidRPr="009A2E0D" w:rsidRDefault="00DD3218" w:rsidP="00DD3218">
      <w:pPr>
        <w:spacing w:line="240" w:lineRule="auto"/>
        <w:rPr>
          <w:sz w:val="2"/>
          <w:lang w:val="fr-CH"/>
        </w:rPr>
        <w:sectPr w:rsidR="00DD3218" w:rsidRPr="009A2E0D" w:rsidSect="00DD32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9A2E0D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DD3218" w:rsidRPr="009A2E0D" w:rsidRDefault="00DD3218" w:rsidP="009E67AA">
      <w:pPr>
        <w:pStyle w:val="H1"/>
        <w:rPr>
          <w:sz w:val="28"/>
          <w:lang w:val="fr-CH"/>
        </w:rPr>
      </w:pPr>
      <w:r w:rsidRPr="009A2E0D">
        <w:rPr>
          <w:sz w:val="28"/>
          <w:lang w:val="fr-CH"/>
        </w:rPr>
        <w:lastRenderedPageBreak/>
        <w:t>Commission économique pour l’Europe</w:t>
      </w:r>
    </w:p>
    <w:p w:rsidR="009E67AA" w:rsidRPr="009A2E0D" w:rsidRDefault="009E67AA" w:rsidP="009E67AA">
      <w:pPr>
        <w:spacing w:line="120" w:lineRule="exact"/>
        <w:rPr>
          <w:sz w:val="10"/>
          <w:lang w:val="fr-CH"/>
        </w:rPr>
      </w:pPr>
    </w:p>
    <w:p w:rsidR="00DD3218" w:rsidRPr="009A2E0D" w:rsidRDefault="00DD3218" w:rsidP="009E67AA">
      <w:pPr>
        <w:pStyle w:val="H1"/>
        <w:spacing w:line="300" w:lineRule="exact"/>
        <w:rPr>
          <w:b w:val="0"/>
          <w:sz w:val="28"/>
          <w:lang w:val="fr-CH"/>
        </w:rPr>
      </w:pPr>
      <w:r w:rsidRPr="009A2E0D">
        <w:rPr>
          <w:b w:val="0"/>
          <w:sz w:val="28"/>
          <w:lang w:val="fr-CH"/>
        </w:rPr>
        <w:t>Comité des transports intérieurs</w:t>
      </w:r>
    </w:p>
    <w:p w:rsidR="009E67AA" w:rsidRPr="009A2E0D" w:rsidRDefault="009E67AA" w:rsidP="009E67AA">
      <w:pPr>
        <w:spacing w:line="120" w:lineRule="exact"/>
        <w:rPr>
          <w:sz w:val="10"/>
          <w:lang w:val="fr-CH"/>
        </w:rPr>
      </w:pPr>
    </w:p>
    <w:p w:rsidR="00CA6958" w:rsidRPr="009A2E0D" w:rsidRDefault="00CA6958" w:rsidP="00CF325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A2E0D">
        <w:rPr>
          <w:lang w:val="fr-CH"/>
        </w:rPr>
        <w:t xml:space="preserve">Forum mondial de l’harmonisation des Règlements </w:t>
      </w:r>
      <w:r w:rsidRPr="009A2E0D">
        <w:rPr>
          <w:lang w:val="fr-CH"/>
        </w:rPr>
        <w:br/>
        <w:t>concernant les véhicules</w:t>
      </w: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  <w:lang w:val="fr-CH"/>
        </w:rPr>
      </w:pPr>
      <w:r w:rsidRPr="009A2E0D">
        <w:rPr>
          <w:lang w:val="fr-CH"/>
        </w:rPr>
        <w:t xml:space="preserve">Groupe de travail en matière de roulement et de freinage </w:t>
      </w:r>
    </w:p>
    <w:p w:rsidR="00CA6958" w:rsidRPr="009A2E0D" w:rsidRDefault="00CA6958" w:rsidP="00CA69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CA6958" w:rsidRPr="009A2E0D" w:rsidRDefault="00CA6958" w:rsidP="00CA695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A2E0D">
        <w:rPr>
          <w:lang w:val="fr-CH"/>
        </w:rPr>
        <w:t>Quatre-vingtième session</w:t>
      </w:r>
    </w:p>
    <w:p w:rsidR="00CA6958" w:rsidRPr="009A2E0D" w:rsidRDefault="009E67AA" w:rsidP="00CA69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9A2E0D">
        <w:rPr>
          <w:lang w:val="fr-CH"/>
        </w:rPr>
        <w:t>Genève, 15-18 </w:t>
      </w:r>
      <w:r w:rsidR="00CA6958" w:rsidRPr="009A2E0D">
        <w:rPr>
          <w:lang w:val="fr-CH"/>
        </w:rPr>
        <w:t>septembre 2015</w:t>
      </w:r>
    </w:p>
    <w:p w:rsidR="00CA6958" w:rsidRPr="009A2E0D" w:rsidRDefault="00CA6958" w:rsidP="00CA69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9A2E0D">
        <w:rPr>
          <w:lang w:val="fr-CH"/>
        </w:rPr>
        <w:t>Point 7 c) de l’ordre du jour provisoire</w:t>
      </w:r>
    </w:p>
    <w:p w:rsidR="00CA6958" w:rsidRPr="009A2E0D" w:rsidRDefault="00CA6958" w:rsidP="00CA695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9A2E0D">
        <w:rPr>
          <w:lang w:val="fr-CH"/>
        </w:rPr>
        <w:t>Pneumatiques – Règlement n</w:t>
      </w:r>
      <w:r w:rsidR="009E67AA" w:rsidRPr="009A2E0D">
        <w:rPr>
          <w:vertAlign w:val="superscript"/>
          <w:lang w:val="fr-CH"/>
        </w:rPr>
        <w:t>o</w:t>
      </w:r>
      <w:r w:rsidRPr="009A2E0D">
        <w:rPr>
          <w:lang w:val="fr-CH"/>
        </w:rPr>
        <w:t> 54</w:t>
      </w: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CH"/>
        </w:rPr>
      </w:pPr>
      <w:r w:rsidRPr="009A2E0D">
        <w:rPr>
          <w:lang w:val="fr-CH"/>
        </w:rPr>
        <w:tab/>
      </w:r>
      <w:r w:rsidRPr="009A2E0D">
        <w:rPr>
          <w:lang w:val="fr-CH"/>
        </w:rPr>
        <w:tab/>
        <w:t>Proposition d’amendement au Règlement n</w:t>
      </w:r>
      <w:r w:rsidRPr="009A2E0D">
        <w:rPr>
          <w:vertAlign w:val="superscript"/>
          <w:lang w:val="fr-CH"/>
        </w:rPr>
        <w:t>o</w:t>
      </w:r>
      <w:r w:rsidRPr="009A2E0D">
        <w:rPr>
          <w:lang w:val="fr-CH"/>
        </w:rPr>
        <w:t xml:space="preserve"> 54 </w:t>
      </w:r>
      <w:r w:rsidRPr="009A2E0D">
        <w:rPr>
          <w:lang w:val="fr-CH"/>
        </w:rPr>
        <w:br/>
        <w:t xml:space="preserve">(Pneumatiques pour véhicules utilitaires </w:t>
      </w:r>
      <w:r w:rsidRPr="009A2E0D">
        <w:rPr>
          <w:lang w:val="fr-CH"/>
        </w:rPr>
        <w:br/>
        <w:t xml:space="preserve">et leurs remorques) </w:t>
      </w: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b w:val="0"/>
          <w:sz w:val="20"/>
          <w:szCs w:val="20"/>
          <w:lang w:val="fr-CH"/>
        </w:rPr>
      </w:pPr>
      <w:r w:rsidRPr="009A2E0D">
        <w:rPr>
          <w:lang w:val="fr-CH"/>
        </w:rPr>
        <w:tab/>
      </w:r>
      <w:r w:rsidRPr="009A2E0D">
        <w:rPr>
          <w:lang w:val="fr-CH"/>
        </w:rPr>
        <w:tab/>
        <w:t xml:space="preserve">Communication des experts de l’Organisation technique </w:t>
      </w:r>
      <w:r w:rsidRPr="009A2E0D">
        <w:rPr>
          <w:lang w:val="fr-CH"/>
        </w:rPr>
        <w:br/>
        <w:t>européenne du pneumatique et de la jante</w:t>
      </w:r>
      <w:r w:rsidRPr="004F034F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spacing w:line="120" w:lineRule="exact"/>
        <w:rPr>
          <w:sz w:val="10"/>
          <w:lang w:val="fr-CH"/>
        </w:rPr>
      </w:pPr>
    </w:p>
    <w:p w:rsidR="00CA6958" w:rsidRPr="009A2E0D" w:rsidRDefault="00CA6958" w:rsidP="00CA6958">
      <w:pPr>
        <w:pStyle w:val="SingleTxt"/>
        <w:rPr>
          <w:lang w:val="fr-CH"/>
        </w:rPr>
      </w:pPr>
      <w:r w:rsidRPr="009A2E0D">
        <w:rPr>
          <w:lang w:val="fr-CH"/>
        </w:rPr>
        <w:tab/>
        <w:t>Le texte reproduit ci-après, établi par les experts de l’Organisation technique européenne du pneumatique et de la jante (ETRTO), vise à modifier les prescriptions relatives au marquage des pneumatiques énoncées dans le Règlement n</w:t>
      </w:r>
      <w:r w:rsidRPr="009A2E0D">
        <w:rPr>
          <w:vertAlign w:val="superscript"/>
          <w:lang w:val="fr-CH"/>
        </w:rPr>
        <w:t>o</w:t>
      </w:r>
      <w:r w:rsidRPr="009A2E0D">
        <w:rPr>
          <w:lang w:val="fr-CH"/>
        </w:rPr>
        <w:t> 54. Les modifications qu</w:t>
      </w:r>
      <w:r w:rsidR="00156712" w:rsidRPr="009A2E0D">
        <w:rPr>
          <w:lang w:val="fr-CH"/>
        </w:rPr>
        <w:t>’</w:t>
      </w:r>
      <w:r w:rsidRPr="009A2E0D">
        <w:rPr>
          <w:lang w:val="fr-CH"/>
        </w:rPr>
        <w:t>il est proposé d’apporter au texte actuel du Règlement sont signalées en caractères gras pour les ajouts ou biffés pour les suppressions.</w:t>
      </w:r>
    </w:p>
    <w:p w:rsidR="00CA6958" w:rsidRPr="009A2E0D" w:rsidRDefault="00CA6958" w:rsidP="00CA6958">
      <w:pPr>
        <w:pStyle w:val="SingleTxt"/>
        <w:rPr>
          <w:lang w:val="fr-CH"/>
        </w:rPr>
      </w:pPr>
    </w:p>
    <w:p w:rsidR="00CA6958" w:rsidRPr="009A2E0D" w:rsidRDefault="00CA6958" w:rsidP="00387E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9A2E0D">
        <w:rPr>
          <w:lang w:val="fr-CH"/>
        </w:rPr>
        <w:br w:type="page"/>
      </w:r>
      <w:r w:rsidRPr="009A2E0D">
        <w:rPr>
          <w:lang w:val="fr-CH"/>
        </w:rPr>
        <w:lastRenderedPageBreak/>
        <w:tab/>
        <w:t>I.</w:t>
      </w:r>
      <w:r w:rsidRPr="009A2E0D">
        <w:rPr>
          <w:lang w:val="fr-CH"/>
        </w:rPr>
        <w:tab/>
        <w:t>Proposition</w:t>
      </w:r>
    </w:p>
    <w:p w:rsidR="00387E7E" w:rsidRPr="009A2E0D" w:rsidRDefault="00387E7E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387E7E" w:rsidRPr="009A2E0D" w:rsidRDefault="00387E7E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CA6958" w:rsidRPr="009A2E0D" w:rsidRDefault="00CA6958" w:rsidP="00387E7E">
      <w:pPr>
        <w:pStyle w:val="SingleTxt"/>
        <w:rPr>
          <w:lang w:val="fr-CH"/>
        </w:rPr>
      </w:pPr>
      <w:r w:rsidRPr="009A2E0D">
        <w:rPr>
          <w:i/>
          <w:lang w:val="fr-CH"/>
        </w:rPr>
        <w:t>Paragraphe 2.17.1.3.1</w:t>
      </w:r>
      <w:r w:rsidRPr="009A2E0D">
        <w:rPr>
          <w:lang w:val="fr-CH"/>
        </w:rPr>
        <w:t>, modifier comme suit</w:t>
      </w:r>
      <w:r w:rsidR="00387E7E" w:rsidRPr="009A2E0D">
        <w:rPr>
          <w:lang w:val="fr-CH"/>
        </w:rPr>
        <w:t> </w:t>
      </w:r>
      <w:r w:rsidRPr="009A2E0D">
        <w:rPr>
          <w:lang w:val="fr-CH"/>
        </w:rPr>
        <w:t>:</w:t>
      </w:r>
    </w:p>
    <w:p w:rsidR="00CA6958" w:rsidRPr="009A2E0D" w:rsidRDefault="00387E7E" w:rsidP="00417450">
      <w:pPr>
        <w:pStyle w:val="SingleTxt"/>
        <w:ind w:left="2693" w:hanging="1426"/>
        <w:rPr>
          <w:lang w:val="fr-CH"/>
        </w:rPr>
      </w:pPr>
      <w:r w:rsidRPr="009A2E0D">
        <w:rPr>
          <w:lang w:val="fr-CH"/>
        </w:rPr>
        <w:t>« </w:t>
      </w:r>
      <w:r w:rsidR="00CA6958" w:rsidRPr="009A2E0D">
        <w:rPr>
          <w:lang w:val="fr-CH"/>
        </w:rPr>
        <w:t xml:space="preserve">2.17.1.3.1 </w:t>
      </w:r>
      <w:r w:rsidR="00CA6958" w:rsidRPr="009A2E0D">
        <w:rPr>
          <w:lang w:val="fr-CH"/>
        </w:rPr>
        <w:tab/>
        <w:t>Les valeurs des symboles “</w:t>
      </w:r>
      <w:r w:rsidRPr="009A2E0D">
        <w:rPr>
          <w:lang w:val="fr-CH"/>
        </w:rPr>
        <w:t> </w:t>
      </w:r>
      <w:r w:rsidR="00CA6958" w:rsidRPr="009A2E0D">
        <w:rPr>
          <w:lang w:val="fr-CH"/>
        </w:rPr>
        <w:t>d</w:t>
      </w:r>
      <w:r w:rsidRPr="009A2E0D">
        <w:rPr>
          <w:lang w:val="fr-CH"/>
        </w:rPr>
        <w:t> </w:t>
      </w:r>
      <w:r w:rsidR="00CA6958" w:rsidRPr="009A2E0D">
        <w:rPr>
          <w:lang w:val="fr-CH"/>
        </w:rPr>
        <w:t>” exprimées en mm sont indiquées ci-dessous</w:t>
      </w:r>
      <w:r w:rsidRPr="009A2E0D">
        <w:rPr>
          <w:lang w:val="fr-CH"/>
        </w:rPr>
        <w:t> </w:t>
      </w:r>
      <w:r w:rsidR="00CA6958" w:rsidRPr="009A2E0D">
        <w:rPr>
          <w:lang w:val="fr-CH"/>
        </w:rPr>
        <w:t>:</w:t>
      </w:r>
    </w:p>
    <w:p w:rsidR="00387E7E" w:rsidRPr="009A2E0D" w:rsidRDefault="00387E7E" w:rsidP="00387E7E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  <w:r w:rsidRPr="009A2E0D">
        <w:rPr>
          <w:sz w:val="10"/>
          <w:lang w:val="fr-CH"/>
        </w:rPr>
        <w:tab/>
      </w:r>
      <w:r w:rsidRPr="009A2E0D">
        <w:rPr>
          <w:sz w:val="10"/>
          <w:lang w:val="fr-CH"/>
        </w:rPr>
        <w:tab/>
      </w:r>
      <w:r w:rsidRPr="009A2E0D">
        <w:rPr>
          <w:sz w:val="10"/>
          <w:lang w:val="fr-CH"/>
        </w:rPr>
        <w:tab/>
      </w:r>
    </w:p>
    <w:tbl>
      <w:tblPr>
        <w:tblW w:w="6075" w:type="dxa"/>
        <w:tblInd w:w="2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121"/>
      </w:tblGrid>
      <w:tr w:rsidR="00CA6958" w:rsidRPr="009A2E0D" w:rsidTr="00E735E6">
        <w:trPr>
          <w:tblHeader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suppressAutoHyphens/>
              <w:spacing w:before="80" w:after="80" w:line="160" w:lineRule="exact"/>
              <w:ind w:left="144" w:right="144"/>
              <w:jc w:val="left"/>
              <w:rPr>
                <w:i/>
                <w:sz w:val="14"/>
                <w:lang w:val="fr-CH"/>
              </w:rPr>
            </w:pPr>
            <w:r w:rsidRPr="009A2E0D">
              <w:rPr>
                <w:i/>
                <w:sz w:val="14"/>
                <w:lang w:val="fr-CH"/>
              </w:rPr>
              <w:t xml:space="preserve">Code de diamètre nominal de la jante </w:t>
            </w:r>
            <w:r w:rsidRPr="009A2E0D">
              <w:rPr>
                <w:i/>
                <w:sz w:val="14"/>
                <w:lang w:val="fr-CH"/>
              </w:rPr>
              <w:br/>
              <w:t>(symbole “</w:t>
            </w:r>
            <w:r w:rsidR="00387E7E" w:rsidRPr="009A2E0D">
              <w:rPr>
                <w:i/>
                <w:sz w:val="14"/>
                <w:lang w:val="fr-CH"/>
              </w:rPr>
              <w:t> </w:t>
            </w:r>
            <w:r w:rsidRPr="009A2E0D">
              <w:rPr>
                <w:i/>
                <w:sz w:val="14"/>
                <w:lang w:val="fr-CH"/>
              </w:rPr>
              <w:t>d</w:t>
            </w:r>
            <w:r w:rsidR="00387E7E" w:rsidRPr="009A2E0D">
              <w:rPr>
                <w:i/>
                <w:sz w:val="14"/>
                <w:lang w:val="fr-CH"/>
              </w:rPr>
              <w:t> </w:t>
            </w:r>
            <w:r w:rsidRPr="009A2E0D">
              <w:rPr>
                <w:i/>
                <w:sz w:val="14"/>
                <w:lang w:val="fr-CH"/>
              </w:rPr>
              <w:t>”)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suppressAutoHyphens/>
              <w:spacing w:before="80" w:after="80" w:line="160" w:lineRule="exact"/>
              <w:ind w:right="144"/>
              <w:jc w:val="right"/>
              <w:rPr>
                <w:i/>
                <w:sz w:val="14"/>
                <w:lang w:val="fr-CH"/>
              </w:rPr>
            </w:pPr>
            <w:r w:rsidRPr="009A2E0D">
              <w:rPr>
                <w:i/>
                <w:sz w:val="14"/>
                <w:lang w:val="fr-CH"/>
              </w:rPr>
              <w:t>Valeur du symbole “ d</w:t>
            </w:r>
            <w:r w:rsidR="00387E7E" w:rsidRPr="009A2E0D">
              <w:rPr>
                <w:i/>
                <w:sz w:val="14"/>
                <w:lang w:val="fr-CH"/>
              </w:rPr>
              <w:t> ”</w:t>
            </w:r>
            <w:r w:rsidRPr="009A2E0D">
              <w:rPr>
                <w:i/>
                <w:sz w:val="14"/>
                <w:lang w:val="fr-CH"/>
              </w:rPr>
              <w:t>,</w:t>
            </w:r>
            <w:r w:rsidR="00387E7E" w:rsidRPr="009A2E0D">
              <w:rPr>
                <w:i/>
                <w:sz w:val="14"/>
                <w:lang w:val="fr-CH"/>
              </w:rPr>
              <w:br/>
            </w:r>
            <w:r w:rsidRPr="009A2E0D">
              <w:rPr>
                <w:i/>
                <w:sz w:val="14"/>
                <w:lang w:val="fr-CH"/>
              </w:rPr>
              <w:t>exprimée en mm</w:t>
            </w:r>
          </w:p>
        </w:tc>
      </w:tr>
      <w:tr w:rsidR="00CA6958" w:rsidRPr="009A2E0D" w:rsidTr="005D6B7F">
        <w:trPr>
          <w:trHeight w:hRule="exact" w:val="115"/>
          <w:tblHeader/>
        </w:trPr>
        <w:tc>
          <w:tcPr>
            <w:tcW w:w="29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58" w:rsidRPr="009A2E0D" w:rsidRDefault="00CA6958" w:rsidP="005E63B7">
            <w:pPr>
              <w:pStyle w:val="SingleTxt"/>
              <w:suppressAutoHyphens/>
              <w:spacing w:before="40" w:after="40" w:line="210" w:lineRule="exact"/>
              <w:ind w:left="144" w:right="144"/>
              <w:rPr>
                <w:sz w:val="17"/>
                <w:lang w:val="fr-CH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958" w:rsidRPr="009A2E0D" w:rsidRDefault="00CA6958" w:rsidP="005E63B7">
            <w:pPr>
              <w:pStyle w:val="SingleTxt"/>
              <w:suppressAutoHyphens/>
              <w:spacing w:before="40" w:after="40" w:line="210" w:lineRule="exact"/>
              <w:ind w:right="144"/>
              <w:jc w:val="right"/>
              <w:rPr>
                <w:sz w:val="17"/>
                <w:lang w:val="fr-CH"/>
              </w:rPr>
            </w:pPr>
          </w:p>
        </w:tc>
      </w:tr>
      <w:tr w:rsidR="00CA6958" w:rsidRPr="009A2E0D" w:rsidTr="005D6B7F"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  <w:tab w:val="right" w:pos="462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8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9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10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11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12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13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14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203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229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254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279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305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330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356</w:t>
            </w:r>
          </w:p>
        </w:tc>
      </w:tr>
      <w:tr w:rsidR="00CA6958" w:rsidRPr="009A2E0D" w:rsidTr="005D6B7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15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16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17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18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381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406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432</w:t>
            </w:r>
          </w:p>
          <w:p w:rsidR="00417450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457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trike/>
                <w:sz w:val="17"/>
                <w:lang w:val="fr-CH"/>
              </w:rPr>
              <w:t xml:space="preserve">482 </w:t>
            </w:r>
            <w:r w:rsidRPr="009A2E0D">
              <w:rPr>
                <w:b/>
                <w:sz w:val="17"/>
                <w:lang w:val="fr-CH"/>
              </w:rPr>
              <w:t>483</w:t>
            </w:r>
          </w:p>
        </w:tc>
      </w:tr>
      <w:tr w:rsidR="00CA6958" w:rsidRPr="009A2E0D" w:rsidTr="005D6B7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20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21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22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24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508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533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559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610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635</w:t>
            </w:r>
          </w:p>
        </w:tc>
      </w:tr>
      <w:tr w:rsidR="00CA6958" w:rsidRPr="009A2E0D" w:rsidTr="005D6B7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14,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16,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17,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19,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20,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22,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5D6B7F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>
              <w:rPr>
                <w:sz w:val="17"/>
                <w:lang w:val="fr-CH"/>
              </w:rPr>
              <w:t>24,</w:t>
            </w:r>
            <w:r w:rsidR="00CA6958" w:rsidRPr="009A2E0D">
              <w:rPr>
                <w:sz w:val="17"/>
                <w:lang w:val="fr-CH"/>
              </w:rPr>
              <w:t>5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26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28</w:t>
            </w:r>
          </w:p>
          <w:p w:rsidR="00CA6958" w:rsidRPr="009A2E0D" w:rsidRDefault="00CA6958" w:rsidP="005E63B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  <w:tab w:val="right" w:pos="1742"/>
              </w:tabs>
              <w:suppressAutoHyphens/>
              <w:spacing w:before="40" w:after="40" w:line="210" w:lineRule="exact"/>
              <w:ind w:left="144" w:right="144"/>
              <w:jc w:val="lef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368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419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445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495</w:t>
            </w:r>
          </w:p>
          <w:p w:rsidR="00CA6958" w:rsidRPr="009A2E0D" w:rsidRDefault="00CA6958" w:rsidP="005E32CC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144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521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572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622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660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711</w:t>
            </w:r>
          </w:p>
          <w:p w:rsidR="00CA6958" w:rsidRPr="009A2E0D" w:rsidRDefault="00CA6958" w:rsidP="005E63B7">
            <w:pPr>
              <w:pStyle w:val="SingleTxt"/>
              <w:tabs>
                <w:tab w:val="right" w:pos="288"/>
                <w:tab w:val="left" w:pos="576"/>
                <w:tab w:val="left" w:pos="864"/>
                <w:tab w:val="left" w:pos="1152"/>
                <w:tab w:val="right" w:pos="4622"/>
              </w:tabs>
              <w:suppressAutoHyphens/>
              <w:spacing w:before="40" w:after="40" w:line="210" w:lineRule="exact"/>
              <w:ind w:left="0" w:right="144"/>
              <w:jc w:val="right"/>
              <w:rPr>
                <w:sz w:val="17"/>
                <w:lang w:val="fr-CH"/>
              </w:rPr>
            </w:pPr>
            <w:r w:rsidRPr="009A2E0D">
              <w:rPr>
                <w:sz w:val="17"/>
                <w:lang w:val="fr-CH"/>
              </w:rPr>
              <w:t>762</w:t>
            </w:r>
          </w:p>
        </w:tc>
      </w:tr>
    </w:tbl>
    <w:p w:rsidR="00CA6958" w:rsidRPr="009A2E0D" w:rsidRDefault="00CA6958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387E7E" w:rsidRPr="009A2E0D" w:rsidRDefault="00387E7E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CA6958" w:rsidRDefault="00387E7E" w:rsidP="00387E7E">
      <w:pPr>
        <w:pStyle w:val="SingleTxt"/>
        <w:jc w:val="right"/>
        <w:rPr>
          <w:lang w:val="fr-CH"/>
        </w:rPr>
      </w:pPr>
      <w:r w:rsidRPr="009A2E0D">
        <w:rPr>
          <w:lang w:val="fr-CH"/>
        </w:rPr>
        <w:t>».</w:t>
      </w:r>
    </w:p>
    <w:p w:rsidR="00062A16" w:rsidRPr="00062A16" w:rsidRDefault="00062A16" w:rsidP="00062A16">
      <w:pPr>
        <w:pStyle w:val="SingleTxt"/>
        <w:spacing w:after="0" w:line="120" w:lineRule="exact"/>
        <w:jc w:val="left"/>
        <w:rPr>
          <w:sz w:val="10"/>
          <w:lang w:val="fr-CH"/>
        </w:rPr>
      </w:pPr>
    </w:p>
    <w:p w:rsidR="00062A16" w:rsidRPr="00062A16" w:rsidRDefault="00062A16" w:rsidP="00062A16">
      <w:pPr>
        <w:pStyle w:val="SingleTxt"/>
        <w:spacing w:after="0" w:line="120" w:lineRule="exact"/>
        <w:jc w:val="left"/>
        <w:rPr>
          <w:sz w:val="10"/>
          <w:lang w:val="fr-CH"/>
        </w:rPr>
      </w:pPr>
    </w:p>
    <w:p w:rsidR="00CA6958" w:rsidRPr="009A2E0D" w:rsidRDefault="00387E7E" w:rsidP="00387E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9A2E0D">
        <w:rPr>
          <w:lang w:val="fr-CH"/>
        </w:rPr>
        <w:tab/>
      </w:r>
      <w:r w:rsidR="00CA6958" w:rsidRPr="009A2E0D">
        <w:rPr>
          <w:lang w:val="fr-CH"/>
        </w:rPr>
        <w:t xml:space="preserve">II. </w:t>
      </w:r>
      <w:r w:rsidR="00CA6958" w:rsidRPr="009A2E0D">
        <w:rPr>
          <w:lang w:val="fr-CH"/>
        </w:rPr>
        <w:tab/>
        <w:t>Justification</w:t>
      </w:r>
    </w:p>
    <w:p w:rsidR="00387E7E" w:rsidRPr="009A2E0D" w:rsidRDefault="00387E7E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387E7E" w:rsidRPr="009A2E0D" w:rsidRDefault="00387E7E" w:rsidP="00387E7E">
      <w:pPr>
        <w:pStyle w:val="SingleTxt"/>
        <w:spacing w:after="0" w:line="120" w:lineRule="exact"/>
        <w:rPr>
          <w:sz w:val="10"/>
          <w:lang w:val="fr-CH"/>
        </w:rPr>
      </w:pPr>
    </w:p>
    <w:p w:rsidR="00CA6958" w:rsidRPr="009A2E0D" w:rsidRDefault="00387E7E" w:rsidP="00CA6958">
      <w:pPr>
        <w:pStyle w:val="SingleTxt"/>
        <w:rPr>
          <w:lang w:val="fr-CH"/>
        </w:rPr>
      </w:pPr>
      <w:r w:rsidRPr="009A2E0D">
        <w:rPr>
          <w:lang w:val="fr-CH"/>
        </w:rPr>
        <w:tab/>
      </w:r>
      <w:r w:rsidR="00CA6958" w:rsidRPr="009A2E0D">
        <w:rPr>
          <w:lang w:val="fr-CH"/>
        </w:rPr>
        <w:t>La valeur du diamètre d’une jante s’obtient en multipliant son code de</w:t>
      </w:r>
      <w:r w:rsidRPr="009A2E0D">
        <w:rPr>
          <w:lang w:val="fr-CH"/>
        </w:rPr>
        <w:t xml:space="preserve"> diamètre par </w:t>
      </w:r>
      <w:r w:rsidR="00CA6958" w:rsidRPr="009A2E0D">
        <w:rPr>
          <w:lang w:val="fr-CH"/>
        </w:rPr>
        <w:t>25,4 puis en arrondissant la valeur obtenue au nombre entier le plus proche. Pour une jante relevant du code 19</w:t>
      </w:r>
      <w:r w:rsidRPr="009A2E0D">
        <w:rPr>
          <w:lang w:val="fr-CH"/>
        </w:rPr>
        <w:t> : (482,6) arrondi = </w:t>
      </w:r>
      <w:r w:rsidR="00CA6958" w:rsidRPr="009A2E0D">
        <w:rPr>
          <w:lang w:val="fr-CH"/>
        </w:rPr>
        <w:t>(483).</w:t>
      </w:r>
    </w:p>
    <w:p w:rsidR="00DD3218" w:rsidRPr="009A2E0D" w:rsidRDefault="00387E7E" w:rsidP="00387E7E">
      <w:pPr>
        <w:pStyle w:val="SingleTxt"/>
        <w:spacing w:after="0" w:line="240" w:lineRule="auto"/>
        <w:rPr>
          <w:lang w:val="fr-CH"/>
        </w:rPr>
      </w:pPr>
      <w:r w:rsidRPr="009A2E0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C1894" wp14:editId="4917D15D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D3218" w:rsidRPr="009A2E0D" w:rsidSect="00DD3218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8T14:26:00Z" w:initials="Start">
    <w:p w:rsidR="00DD3218" w:rsidRDefault="00DD321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NO&gt;&gt;N1514565F&lt;&lt;ODS JOB NO&gt;&gt;</w:t>
      </w:r>
    </w:p>
    <w:p w:rsidR="00DD3218" w:rsidRDefault="00DD3218">
      <w:pPr>
        <w:pStyle w:val="CommentText"/>
      </w:pPr>
      <w:r>
        <w:t>&lt;&lt;ODS DOC SYMBOL1&gt;&gt;ECE/TRANS/WP.29/GRRF/2015/26&lt;&lt;ODS DOC SYMBOL1&gt;&gt;</w:t>
      </w:r>
    </w:p>
    <w:p w:rsidR="00DD3218" w:rsidRDefault="00DD321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F9" w:rsidRDefault="000C49F9" w:rsidP="00F3330B">
      <w:pPr>
        <w:spacing w:line="240" w:lineRule="auto"/>
      </w:pPr>
      <w:r>
        <w:separator/>
      </w:r>
    </w:p>
  </w:endnote>
  <w:endnote w:type="continuationSeparator" w:id="0">
    <w:p w:rsidR="000C49F9" w:rsidRDefault="000C49F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3218" w:rsidTr="00DD3218">
      <w:trPr>
        <w:jc w:val="center"/>
      </w:trPr>
      <w:tc>
        <w:tcPr>
          <w:tcW w:w="5126" w:type="dxa"/>
          <w:shd w:val="clear" w:color="auto" w:fill="auto"/>
        </w:tcPr>
        <w:p w:rsidR="00DD3218" w:rsidRPr="00DD3218" w:rsidRDefault="00DD3218" w:rsidP="00DD321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F034F">
            <w:rPr>
              <w:b w:val="0"/>
              <w:w w:val="103"/>
              <w:sz w:val="14"/>
            </w:rPr>
            <w:t>GE.15-11248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D3218" w:rsidRPr="00DD3218" w:rsidRDefault="00DD3218" w:rsidP="00DD321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5E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5E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D3218" w:rsidRPr="00DD3218" w:rsidRDefault="00DD3218" w:rsidP="00DD3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3218" w:rsidTr="00DD3218">
      <w:trPr>
        <w:jc w:val="center"/>
      </w:trPr>
      <w:tc>
        <w:tcPr>
          <w:tcW w:w="5126" w:type="dxa"/>
          <w:shd w:val="clear" w:color="auto" w:fill="auto"/>
        </w:tcPr>
        <w:p w:rsidR="00DD3218" w:rsidRPr="00DD3218" w:rsidRDefault="00DD3218" w:rsidP="00DD321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F03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F034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D3218" w:rsidRPr="00DD3218" w:rsidRDefault="00DD3218" w:rsidP="00DD321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F034F">
            <w:rPr>
              <w:b w:val="0"/>
              <w:w w:val="103"/>
              <w:sz w:val="14"/>
            </w:rPr>
            <w:t>GE.15-11248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D3218" w:rsidRPr="00DD3218" w:rsidRDefault="00DD3218" w:rsidP="00DD3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8" w:rsidRDefault="00DD32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8FFCFD" wp14:editId="6FE93E37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2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2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DD3218" w:rsidTr="00DD3218">
      <w:tc>
        <w:tcPr>
          <w:tcW w:w="3859" w:type="dxa"/>
        </w:tcPr>
        <w:p w:rsidR="00DD3218" w:rsidRDefault="00DD3218" w:rsidP="00DD321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F034F">
            <w:rPr>
              <w:b w:val="0"/>
              <w:sz w:val="20"/>
            </w:rPr>
            <w:t>GE.15-11248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280715    </w:t>
          </w:r>
          <w:r w:rsidR="00571511">
            <w:rPr>
              <w:b w:val="0"/>
              <w:sz w:val="20"/>
            </w:rPr>
            <w:t>0408</w:t>
          </w:r>
          <w:r>
            <w:rPr>
              <w:b w:val="0"/>
              <w:sz w:val="20"/>
            </w:rPr>
            <w:t>15</w:t>
          </w:r>
        </w:p>
        <w:p w:rsidR="00DD3218" w:rsidRPr="00DD3218" w:rsidRDefault="00DD3218" w:rsidP="00DD321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F034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*1511248*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DD3218" w:rsidRDefault="00DD3218" w:rsidP="00DD321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204A8AF" wp14:editId="67C8203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3218" w:rsidRPr="00DD3218" w:rsidRDefault="00DD3218" w:rsidP="00DD321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F9" w:rsidRPr="004F034F" w:rsidRDefault="004F034F" w:rsidP="004F034F">
      <w:pPr>
        <w:pStyle w:val="Footer"/>
        <w:spacing w:after="80"/>
        <w:ind w:left="792"/>
        <w:rPr>
          <w:sz w:val="16"/>
        </w:rPr>
      </w:pPr>
      <w:r w:rsidRPr="004F034F">
        <w:rPr>
          <w:sz w:val="16"/>
        </w:rPr>
        <w:t>__________________</w:t>
      </w:r>
    </w:p>
  </w:footnote>
  <w:footnote w:type="continuationSeparator" w:id="0">
    <w:p w:rsidR="000C49F9" w:rsidRPr="004F034F" w:rsidRDefault="004F034F" w:rsidP="004F034F">
      <w:pPr>
        <w:pStyle w:val="Footer"/>
        <w:spacing w:after="80"/>
        <w:ind w:left="792"/>
        <w:rPr>
          <w:sz w:val="16"/>
        </w:rPr>
      </w:pPr>
      <w:r w:rsidRPr="004F034F">
        <w:rPr>
          <w:sz w:val="16"/>
        </w:rPr>
        <w:t>__________________</w:t>
      </w:r>
    </w:p>
  </w:footnote>
  <w:footnote w:id="1">
    <w:p w:rsidR="00CA6958" w:rsidRPr="004F034F" w:rsidRDefault="00CA6958" w:rsidP="004F034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pacing w:val="5"/>
          <w:w w:val="104"/>
          <w:lang w:val="fr-CH"/>
        </w:rPr>
      </w:pPr>
      <w:r w:rsidRPr="002955F2">
        <w:rPr>
          <w:lang w:val="fr-CH"/>
        </w:rPr>
        <w:tab/>
      </w:r>
      <w:r w:rsidRPr="002955F2">
        <w:rPr>
          <w:rStyle w:val="FootnoteReference"/>
          <w:color w:val="auto"/>
          <w:sz w:val="20"/>
          <w:vertAlign w:val="baseline"/>
          <w:lang w:val="fr-CH"/>
        </w:rPr>
        <w:t>*</w:t>
      </w:r>
      <w:r w:rsidRPr="002955F2">
        <w:rPr>
          <w:sz w:val="20"/>
          <w:lang w:val="fr-CH"/>
        </w:rPr>
        <w:tab/>
      </w:r>
      <w:r w:rsidRPr="004F034F">
        <w:rPr>
          <w:spacing w:val="5"/>
          <w:w w:val="104"/>
          <w:lang w:val="fr-CH"/>
        </w:rPr>
        <w:t>Conformément au programme de travail du Comité des transports intérieurs pour la période</w:t>
      </w:r>
      <w:r w:rsidR="00571511" w:rsidRPr="004F034F">
        <w:rPr>
          <w:spacing w:val="5"/>
          <w:w w:val="104"/>
          <w:lang w:val="fr-CH"/>
        </w:rPr>
        <w:t xml:space="preserve"> 2012-2016 (ECE/TRANS/224, par. </w:t>
      </w:r>
      <w:r w:rsidRPr="004F034F">
        <w:rPr>
          <w:spacing w:val="5"/>
          <w:w w:val="104"/>
          <w:lang w:val="fr-CH"/>
        </w:rPr>
        <w:t>94, et ECE/TRANS/2012/12, activité</w:t>
      </w:r>
      <w:r w:rsidR="00F20168" w:rsidRPr="004F034F">
        <w:rPr>
          <w:spacing w:val="5"/>
          <w:w w:val="104"/>
          <w:lang w:val="fr-CH"/>
        </w:rPr>
        <w:t> </w:t>
      </w:r>
      <w:r w:rsidRPr="004F034F">
        <w:rPr>
          <w:spacing w:val="5"/>
          <w:w w:val="104"/>
          <w:lang w:val="fr-CH"/>
        </w:rPr>
        <w:t>02.4), le Forum mondial a pour mission d’élaborer, d’harmoniser et de mettre à jour les Règlements en vue d’améliorer les caractéristiques fonctionnelles des véhicules. Le présent document est soumis en vertu de ce mandat.</w:t>
      </w:r>
      <w:bookmarkStart w:id="2" w:name="insstart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3218" w:rsidTr="00DD32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3218" w:rsidRPr="00DD3218" w:rsidRDefault="00DD3218" w:rsidP="00DD321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F034F">
            <w:rPr>
              <w:b/>
              <w:color w:val="000000"/>
            </w:rPr>
            <w:t>ECE/TRANS/WP.29/GRRF/2015/26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3218" w:rsidRDefault="00DD3218" w:rsidP="00DD3218">
          <w:pPr>
            <w:pStyle w:val="Header"/>
          </w:pPr>
        </w:p>
      </w:tc>
    </w:tr>
  </w:tbl>
  <w:p w:rsidR="00DD3218" w:rsidRPr="00DD3218" w:rsidRDefault="00DD3218" w:rsidP="00DD321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3218" w:rsidTr="00DD32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3218" w:rsidRDefault="00DD3218" w:rsidP="00DD321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D3218" w:rsidRPr="00DD3218" w:rsidRDefault="00DD3218" w:rsidP="00DD321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F034F">
            <w:rPr>
              <w:b/>
              <w:color w:val="000000"/>
            </w:rPr>
            <w:t>ECE/TRANS/WP.29/GRRF/2015/26</w:t>
          </w:r>
          <w:r>
            <w:rPr>
              <w:b/>
              <w:color w:val="000000"/>
            </w:rPr>
            <w:fldChar w:fldCharType="end"/>
          </w:r>
        </w:p>
      </w:tc>
    </w:tr>
  </w:tbl>
  <w:p w:rsidR="00DD3218" w:rsidRPr="00DD3218" w:rsidRDefault="00DD3218" w:rsidP="00DD321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D3218" w:rsidTr="00DD321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3218" w:rsidRDefault="00DD3218" w:rsidP="00DD321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3218" w:rsidRPr="00DD3218" w:rsidRDefault="00DD3218" w:rsidP="00DD321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3218" w:rsidRDefault="00DD3218" w:rsidP="00DD321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D3218" w:rsidRPr="00DD3218" w:rsidRDefault="00DD3218" w:rsidP="00DD321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/TRANS/WP.29/GRRF/2015/26</w:t>
          </w:r>
        </w:p>
      </w:tc>
    </w:tr>
    <w:tr w:rsidR="00DD3218" w:rsidRPr="00DD3218" w:rsidTr="00DD321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3218" w:rsidRPr="00DD3218" w:rsidRDefault="00DD3218" w:rsidP="00DD321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9C884C2" wp14:editId="7C99DBB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3218" w:rsidRPr="00DD3218" w:rsidRDefault="00DD3218" w:rsidP="00DD321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3218" w:rsidRPr="00DD3218" w:rsidRDefault="00DD3218" w:rsidP="00DD321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3218" w:rsidRDefault="00DD3218" w:rsidP="00DD321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DD3218" w:rsidRDefault="00DD3218" w:rsidP="00DD3218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 juillet 2015</w:t>
          </w:r>
        </w:p>
        <w:p w:rsidR="00DD3218" w:rsidRDefault="00DD3218" w:rsidP="00DD3218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DD3218" w:rsidRPr="00DD3218" w:rsidRDefault="00DD3218" w:rsidP="00DD3218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DD3218" w:rsidRPr="00DD3218" w:rsidRDefault="00DD3218" w:rsidP="00DD321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B09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48*"/>
    <w:docVar w:name="CreationDt" w:val="7/28/2015 2:26: PM"/>
    <w:docVar w:name="DocCategory" w:val="Doc"/>
    <w:docVar w:name="DocType" w:val="Final"/>
    <w:docVar w:name="DutyStation" w:val="Geneva"/>
    <w:docVar w:name="FooterJN" w:val="GE.15-11248"/>
    <w:docVar w:name="jobn" w:val="GE.15-11248 (F)"/>
    <w:docVar w:name="jobnDT" w:val="GE.15-11248 (F)   280715"/>
    <w:docVar w:name="jobnDTDT" w:val="GE.15-11248 (F)   280715   280715"/>
    <w:docVar w:name="JobNo" w:val="GE.1511248F"/>
    <w:docVar w:name="JobNo2" w:val="GE.1514565F"/>
    <w:docVar w:name="LocalDrive" w:val="0"/>
    <w:docVar w:name="OandT" w:val="Edith"/>
    <w:docVar w:name="PaperSize" w:val="A4"/>
    <w:docVar w:name="sss1" w:val="ECE/TRANS/WP.29/GRRF/2015/26"/>
    <w:docVar w:name="sss2" w:val="-"/>
    <w:docVar w:name="Symbol1" w:val="ECE/TRANS/WP.29/GRRF/2015/26"/>
    <w:docVar w:name="Symbol2" w:val="-"/>
  </w:docVars>
  <w:rsids>
    <w:rsidRoot w:val="000C49F9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2A16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49F9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5E4F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56712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237F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1D6E"/>
    <w:rsid w:val="00285DC4"/>
    <w:rsid w:val="00286531"/>
    <w:rsid w:val="002867C7"/>
    <w:rsid w:val="0029018C"/>
    <w:rsid w:val="002955F2"/>
    <w:rsid w:val="002A07EF"/>
    <w:rsid w:val="002A27E5"/>
    <w:rsid w:val="002A69DB"/>
    <w:rsid w:val="002B037D"/>
    <w:rsid w:val="002B1D15"/>
    <w:rsid w:val="002B4A7F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4C75"/>
    <w:rsid w:val="00316628"/>
    <w:rsid w:val="00316B58"/>
    <w:rsid w:val="003235C7"/>
    <w:rsid w:val="00326270"/>
    <w:rsid w:val="00332A87"/>
    <w:rsid w:val="003342DF"/>
    <w:rsid w:val="00334FEB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87E7E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25D7"/>
    <w:rsid w:val="00414C9D"/>
    <w:rsid w:val="00415A2B"/>
    <w:rsid w:val="00416293"/>
    <w:rsid w:val="00417450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6B0"/>
    <w:rsid w:val="00491B0E"/>
    <w:rsid w:val="00491CD5"/>
    <w:rsid w:val="00492DC3"/>
    <w:rsid w:val="004973EC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034F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1511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6B7F"/>
    <w:rsid w:val="005D7CA9"/>
    <w:rsid w:val="005E32CC"/>
    <w:rsid w:val="005E63B7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58F9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3B88"/>
    <w:rsid w:val="00993D02"/>
    <w:rsid w:val="009943AB"/>
    <w:rsid w:val="00994740"/>
    <w:rsid w:val="009966F8"/>
    <w:rsid w:val="009A10C4"/>
    <w:rsid w:val="009A142A"/>
    <w:rsid w:val="009A17F4"/>
    <w:rsid w:val="009A2E0D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70D0"/>
    <w:rsid w:val="009C7F1B"/>
    <w:rsid w:val="009D5A2E"/>
    <w:rsid w:val="009E0573"/>
    <w:rsid w:val="009E06DE"/>
    <w:rsid w:val="009E246F"/>
    <w:rsid w:val="009E67AA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236C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86CAB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19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975FD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D7A91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4002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6958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6998"/>
    <w:rsid w:val="00CE7ADD"/>
    <w:rsid w:val="00CF3253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2935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3218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35E6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13DC7"/>
    <w:rsid w:val="00F14729"/>
    <w:rsid w:val="00F14ED7"/>
    <w:rsid w:val="00F150D6"/>
    <w:rsid w:val="00F17670"/>
    <w:rsid w:val="00F17A90"/>
    <w:rsid w:val="00F20168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B4679"/>
    <w:rsid w:val="00FC0F57"/>
    <w:rsid w:val="00FC1BC9"/>
    <w:rsid w:val="00FC4133"/>
    <w:rsid w:val="00FC41DA"/>
    <w:rsid w:val="00FC5C65"/>
    <w:rsid w:val="00FC75B8"/>
    <w:rsid w:val="00FC75D3"/>
    <w:rsid w:val="00FD318F"/>
    <w:rsid w:val="00FD48C1"/>
    <w:rsid w:val="00FD54BE"/>
    <w:rsid w:val="00FD7CD4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DD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1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18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styleId="ListBullet">
    <w:name w:val="List Bullet"/>
    <w:basedOn w:val="Normal"/>
    <w:uiPriority w:val="99"/>
    <w:unhideWhenUsed/>
    <w:rsid w:val="00CA695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DD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1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18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styleId="ListBullet">
    <w:name w:val="List Bullet"/>
    <w:basedOn w:val="Normal"/>
    <w:uiPriority w:val="99"/>
    <w:unhideWhenUsed/>
    <w:rsid w:val="00CA695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3015-3663-4AE3-B28D-FBDD254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Bourion</dc:creator>
  <cp:lastModifiedBy>Benedicte Boudol</cp:lastModifiedBy>
  <cp:revision>2</cp:revision>
  <cp:lastPrinted>2015-07-28T13:00:00Z</cp:lastPrinted>
  <dcterms:created xsi:type="dcterms:W3CDTF">2015-08-04T12:17:00Z</dcterms:created>
  <dcterms:modified xsi:type="dcterms:W3CDTF">2015-08-04T12:17:00Z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1511248F</vt:lpwstr>
  </property>
  <property fmtid="{D5CDD505-2E9C-101B-9397-08002B2CF9AE}" pid="3" name="ODSRefJobNo">
    <vt:lpwstr>1514565F</vt:lpwstr>
  </property>
  <property fmtid="{D5CDD505-2E9C-101B-9397-08002B2CF9AE}" pid="4" name="Symbol1">
    <vt:lpwstr>ECE/TRANS/WP.29/GRRF/2015/26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3 juillet 2015</vt:lpwstr>
  </property>
  <property fmtid="{D5CDD505-2E9C-101B-9397-08002B2CF9AE}" pid="9" name="Original">
    <vt:lpwstr>anglais</vt:lpwstr>
  </property>
  <property fmtid="{D5CDD505-2E9C-101B-9397-08002B2CF9AE}" pid="10" name="Release Date">
    <vt:lpwstr>280715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Edith</vt:lpwstr>
  </property>
</Properties>
</file>