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29" w:rsidRPr="00683265" w:rsidRDefault="00553229" w:rsidP="00553229">
      <w:pPr>
        <w:spacing w:line="240" w:lineRule="auto"/>
        <w:rPr>
          <w:sz w:val="2"/>
          <w:lang w:val="fr-CH"/>
        </w:rPr>
        <w:sectPr w:rsidR="00553229" w:rsidRPr="00683265" w:rsidSect="0055322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683265">
        <w:rPr>
          <w:rStyle w:val="CommentReference"/>
          <w:lang w:val="fr-CH"/>
        </w:rPr>
        <w:commentReference w:id="0"/>
      </w:r>
      <w:bookmarkStart w:id="1" w:name="_GoBack"/>
      <w:bookmarkEnd w:id="1"/>
    </w:p>
    <w:p w:rsidR="00553229" w:rsidRPr="00683265" w:rsidRDefault="00553229" w:rsidP="00553229">
      <w:pPr>
        <w:pStyle w:val="H1"/>
        <w:spacing w:after="120"/>
        <w:rPr>
          <w:sz w:val="28"/>
          <w:lang w:val="fr-CH"/>
        </w:rPr>
      </w:pPr>
      <w:r w:rsidRPr="00683265">
        <w:rPr>
          <w:sz w:val="28"/>
          <w:lang w:val="fr-CH"/>
        </w:rPr>
        <w:lastRenderedPageBreak/>
        <w:t>Commission économique pour l’Europe</w:t>
      </w:r>
    </w:p>
    <w:p w:rsidR="00553229" w:rsidRPr="00683265" w:rsidRDefault="00553229" w:rsidP="00553229">
      <w:pPr>
        <w:pStyle w:val="H1"/>
        <w:spacing w:after="120" w:line="300" w:lineRule="exact"/>
        <w:rPr>
          <w:b w:val="0"/>
          <w:sz w:val="28"/>
          <w:lang w:val="fr-CH"/>
        </w:rPr>
      </w:pPr>
      <w:r w:rsidRPr="00683265">
        <w:rPr>
          <w:b w:val="0"/>
          <w:sz w:val="28"/>
          <w:lang w:val="fr-CH"/>
        </w:rPr>
        <w:t>Comité des transports intérieurs</w:t>
      </w:r>
    </w:p>
    <w:p w:rsidR="00683265" w:rsidRPr="00683265" w:rsidRDefault="00683265" w:rsidP="006832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683265">
        <w:rPr>
          <w:lang w:val="fr-CH"/>
        </w:rPr>
        <w:t xml:space="preserve">Forum mondial de l’harmonisation des Règlements </w:t>
      </w:r>
      <w:r w:rsidRPr="00683265">
        <w:rPr>
          <w:lang w:val="fr-CH"/>
        </w:rPr>
        <w:br/>
        <w:t>concernant les véhicules</w:t>
      </w: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3265">
        <w:rPr>
          <w:lang w:val="fr-CH"/>
        </w:rPr>
        <w:t>Groupe de travail de l’éclairage et de la signalisation lumineuse</w:t>
      </w:r>
    </w:p>
    <w:p w:rsidR="00683265" w:rsidRPr="00683265" w:rsidRDefault="00683265" w:rsidP="00683265">
      <w:pPr>
        <w:pStyle w:val="SingleTxt"/>
        <w:spacing w:after="0" w:line="120" w:lineRule="exact"/>
        <w:rPr>
          <w:b/>
          <w:bCs/>
          <w:sz w:val="10"/>
          <w:lang w:val="fr-CH"/>
        </w:rPr>
      </w:pPr>
    </w:p>
    <w:p w:rsidR="00683265" w:rsidRPr="00683265" w:rsidRDefault="00683265" w:rsidP="006832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3265">
        <w:rPr>
          <w:lang w:val="fr-CH"/>
        </w:rPr>
        <w:t>Soixante-quatorzième session</w:t>
      </w:r>
    </w:p>
    <w:p w:rsidR="00683265" w:rsidRPr="00683265" w:rsidRDefault="00683265" w:rsidP="006832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83265">
        <w:rPr>
          <w:lang w:val="fr-CH"/>
        </w:rPr>
        <w:t>Genève, 20-23 octobre 2015</w:t>
      </w:r>
    </w:p>
    <w:p w:rsidR="00683265" w:rsidRPr="00683265" w:rsidRDefault="00683265" w:rsidP="006832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83265">
        <w:rPr>
          <w:lang w:val="fr-CH"/>
        </w:rPr>
        <w:t>Point 7 d) de l’ordre du jour provisoire</w:t>
      </w:r>
    </w:p>
    <w:p w:rsidR="00683265" w:rsidRPr="00683265" w:rsidRDefault="00683265" w:rsidP="0068326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3265">
        <w:rPr>
          <w:lang w:val="fr-CH"/>
        </w:rPr>
        <w:t>Autres règlements – Règlement n</w:t>
      </w:r>
      <w:r w:rsidRPr="00683265">
        <w:rPr>
          <w:vertAlign w:val="superscript"/>
          <w:lang w:val="fr-CH"/>
        </w:rPr>
        <w:t>o</w:t>
      </w:r>
      <w:r w:rsidRPr="00683265">
        <w:rPr>
          <w:lang w:val="fr-CH"/>
        </w:rPr>
        <w:t xml:space="preserve"> 53 (Installation des dispositifs </w:t>
      </w:r>
      <w:r w:rsidRPr="00683265">
        <w:rPr>
          <w:lang w:val="fr-CH"/>
        </w:rPr>
        <w:br/>
        <w:t xml:space="preserve">d’éclairage et de signalisation lumineuse sur les véhicules </w:t>
      </w:r>
      <w:r w:rsidRPr="00683265">
        <w:rPr>
          <w:lang w:val="fr-CH"/>
        </w:rPr>
        <w:br/>
        <w:t>de la catégorie L</w:t>
      </w:r>
      <w:r w:rsidRPr="00683265">
        <w:rPr>
          <w:vertAlign w:val="subscript"/>
          <w:lang w:val="fr-CH"/>
        </w:rPr>
        <w:t>3</w:t>
      </w:r>
      <w:r w:rsidRPr="00683265">
        <w:rPr>
          <w:lang w:val="fr-CH"/>
        </w:rPr>
        <w:t>)</w:t>
      </w: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3265">
        <w:rPr>
          <w:lang w:val="fr-CH"/>
        </w:rPr>
        <w:tab/>
      </w:r>
      <w:r w:rsidRPr="00683265">
        <w:rPr>
          <w:lang w:val="fr-CH"/>
        </w:rPr>
        <w:tab/>
        <w:t xml:space="preserve">Proposition de complément 18 à la série 01 </w:t>
      </w:r>
      <w:r w:rsidRPr="00683265">
        <w:rPr>
          <w:lang w:val="fr-CH"/>
        </w:rPr>
        <w:br/>
        <w:t>d’amendements au Règlement n</w:t>
      </w:r>
      <w:r w:rsidRPr="00683265">
        <w:rPr>
          <w:vertAlign w:val="superscript"/>
          <w:lang w:val="fr-CH"/>
        </w:rPr>
        <w:t>o </w:t>
      </w:r>
      <w:r w:rsidRPr="00683265">
        <w:rPr>
          <w:lang w:val="fr-CH"/>
        </w:rPr>
        <w:t xml:space="preserve">53 (Installation </w:t>
      </w:r>
      <w:r w:rsidRPr="00683265">
        <w:rPr>
          <w:lang w:val="fr-CH"/>
        </w:rPr>
        <w:br/>
        <w:t xml:space="preserve">des dispositifs d’éclairage et de signalisation </w:t>
      </w:r>
      <w:r w:rsidRPr="00683265">
        <w:rPr>
          <w:lang w:val="fr-CH"/>
        </w:rPr>
        <w:br/>
        <w:t>lumineuse sur les véhicules de la catégorie L</w:t>
      </w:r>
      <w:r w:rsidRPr="00683265">
        <w:rPr>
          <w:vertAlign w:val="subscript"/>
          <w:lang w:val="fr-CH"/>
        </w:rPr>
        <w:t>3</w:t>
      </w:r>
      <w:r w:rsidRPr="00683265">
        <w:rPr>
          <w:lang w:val="fr-CH"/>
        </w:rPr>
        <w:t>)</w:t>
      </w: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683265">
        <w:rPr>
          <w:lang w:val="fr-CH"/>
        </w:rPr>
        <w:tab/>
      </w:r>
      <w:r w:rsidRPr="00683265">
        <w:rPr>
          <w:lang w:val="fr-CH"/>
        </w:rPr>
        <w:tab/>
        <w:t xml:space="preserve">Communication de l’expert de l’Association internationale </w:t>
      </w:r>
      <w:r w:rsidRPr="00683265">
        <w:rPr>
          <w:lang w:val="fr-CH"/>
        </w:rPr>
        <w:br/>
        <w:t>des constructeurs de motocycles</w:t>
      </w:r>
      <w:r w:rsidRPr="00683265">
        <w:rPr>
          <w:rStyle w:val="FootnoteReference"/>
          <w:b w:val="0"/>
          <w:sz w:val="20"/>
          <w:szCs w:val="20"/>
          <w:vertAlign w:val="baseline"/>
          <w:lang w:val="fr-CH"/>
        </w:rPr>
        <w:footnoteReference w:customMarkFollows="1" w:id="1"/>
        <w:t>*</w:t>
      </w:r>
    </w:p>
    <w:p w:rsidR="00683265" w:rsidRPr="00683265" w:rsidRDefault="00683265" w:rsidP="00683265">
      <w:pPr>
        <w:pStyle w:val="SingleTxt"/>
        <w:spacing w:after="0" w:line="120" w:lineRule="exact"/>
        <w:rPr>
          <w:bCs/>
          <w:sz w:val="10"/>
          <w:lang w:val="fr-CH"/>
        </w:rPr>
      </w:pP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SingleTxt"/>
        <w:rPr>
          <w:lang w:val="fr-CH"/>
        </w:rPr>
      </w:pPr>
      <w:r w:rsidRPr="00683265">
        <w:rPr>
          <w:lang w:val="fr-CH"/>
        </w:rPr>
        <w:tab/>
        <w:t>Le texte reproduit ci-après a été établi par l’expert de l’Association internationale des constructeurs de motocycles (IMMA) en vue d’autoriser l’installation sur les motocycles de dispositifs de signalisation lumineuse comprenant des sources lumineuses pouvant faire l’objet d’une activation séquentielle. La même fonction existe pour les véhicules à quatre roues (Règlements n</w:t>
      </w:r>
      <w:r w:rsidRPr="00683265">
        <w:rPr>
          <w:vertAlign w:val="superscript"/>
          <w:lang w:val="fr-CH"/>
        </w:rPr>
        <w:t>os</w:t>
      </w:r>
      <w:r w:rsidRPr="00683265">
        <w:rPr>
          <w:lang w:val="fr-CH"/>
        </w:rPr>
        <w:t> 6 et 48). Les modifications qu’il est proposé d’apporter au texte actuel du Règlement sont signalées en caractères gras pour les ajouts et en caractères biffés pour les suppressions.</w:t>
      </w:r>
    </w:p>
    <w:p w:rsidR="00683265" w:rsidRPr="00683265" w:rsidRDefault="00683265" w:rsidP="00683265">
      <w:pPr>
        <w:pStyle w:val="SingleTxt"/>
        <w:rPr>
          <w:lang w:val="fr-CH"/>
        </w:rPr>
      </w:pPr>
      <w:r w:rsidRPr="00683265">
        <w:rPr>
          <w:lang w:val="fr-CH"/>
        </w:rPr>
        <w:br w:type="page"/>
      </w:r>
    </w:p>
    <w:p w:rsidR="00683265" w:rsidRPr="00683265" w:rsidRDefault="00E83C78" w:rsidP="006832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683265" w:rsidRPr="00683265">
        <w:rPr>
          <w:lang w:val="fr-CH"/>
        </w:rPr>
        <w:t>I.</w:t>
      </w:r>
      <w:r w:rsidR="00683265" w:rsidRPr="00683265">
        <w:rPr>
          <w:lang w:val="fr-CH"/>
        </w:rPr>
        <w:tab/>
        <w:t>Proposition</w:t>
      </w:r>
    </w:p>
    <w:p w:rsidR="00683265" w:rsidRPr="00683265" w:rsidRDefault="00683265" w:rsidP="00683265">
      <w:pPr>
        <w:pStyle w:val="SingleTxt"/>
        <w:keepNext/>
        <w:spacing w:after="0" w:line="120" w:lineRule="exact"/>
        <w:rPr>
          <w:i/>
          <w:sz w:val="10"/>
          <w:lang w:val="fr-CH"/>
        </w:rPr>
      </w:pPr>
    </w:p>
    <w:p w:rsidR="00683265" w:rsidRPr="00683265" w:rsidRDefault="00683265" w:rsidP="00683265">
      <w:pPr>
        <w:pStyle w:val="SingleTxt"/>
        <w:keepNext/>
        <w:spacing w:after="0" w:line="120" w:lineRule="exact"/>
        <w:rPr>
          <w:i/>
          <w:sz w:val="10"/>
          <w:lang w:val="fr-CH"/>
        </w:rPr>
      </w:pPr>
    </w:p>
    <w:p w:rsidR="00683265" w:rsidRPr="00683265" w:rsidRDefault="00683265" w:rsidP="00683265">
      <w:pPr>
        <w:pStyle w:val="SingleTxt"/>
        <w:rPr>
          <w:i/>
          <w:lang w:val="fr-CH"/>
        </w:rPr>
      </w:pPr>
      <w:r w:rsidRPr="00683265">
        <w:rPr>
          <w:i/>
          <w:lang w:val="fr-CH"/>
        </w:rPr>
        <w:t>Ajouter un paragraphe 2.32</w:t>
      </w:r>
      <w:r w:rsidRPr="00E83C78">
        <w:rPr>
          <w:lang w:val="fr-CH"/>
        </w:rPr>
        <w:t>,</w:t>
      </w:r>
      <w:r w:rsidRPr="00683265">
        <w:rPr>
          <w:lang w:val="fr-CH"/>
        </w:rPr>
        <w:t xml:space="preserve"> libellé comme suit :</w:t>
      </w:r>
    </w:p>
    <w:p w:rsidR="00683265" w:rsidRPr="00683265" w:rsidRDefault="00683265" w:rsidP="00683265">
      <w:pPr>
        <w:pStyle w:val="SingleTxt"/>
        <w:ind w:left="2218" w:hanging="951"/>
        <w:rPr>
          <w:i/>
          <w:lang w:val="fr-CH"/>
        </w:rPr>
      </w:pPr>
      <w:r w:rsidRPr="00683265">
        <w:rPr>
          <w:lang w:val="fr-CH"/>
        </w:rPr>
        <w:t>« </w:t>
      </w:r>
      <w:r w:rsidRPr="00683265">
        <w:rPr>
          <w:b/>
          <w:lang w:val="fr-CH"/>
        </w:rPr>
        <w:t xml:space="preserve">2.32 </w:t>
      </w:r>
      <w:r w:rsidRPr="00683265">
        <w:rPr>
          <w:b/>
          <w:lang w:val="fr-CH"/>
        </w:rPr>
        <w:tab/>
        <w:t>“</w:t>
      </w:r>
      <w:r w:rsidRPr="00683265">
        <w:rPr>
          <w:b/>
          <w:i/>
          <w:lang w:val="fr-CH"/>
        </w:rPr>
        <w:t> Activation séquentielle</w:t>
      </w:r>
      <w:r w:rsidRPr="00683265">
        <w:rPr>
          <w:b/>
          <w:lang w:val="fr-CH"/>
        </w:rPr>
        <w:t>”, un branchement électrique au sein duquel les différentes sources lumineuses d’un feu sont interconnectées de manière à être activées dans un ordre prédéterminé. </w:t>
      </w:r>
      <w:r w:rsidRPr="00E83C78">
        <w:rPr>
          <w:lang w:val="fr-CH"/>
        </w:rPr>
        <w:t>».</w:t>
      </w:r>
    </w:p>
    <w:p w:rsidR="00683265" w:rsidRPr="00683265" w:rsidRDefault="00683265" w:rsidP="00683265">
      <w:pPr>
        <w:pStyle w:val="SingleTxt"/>
        <w:rPr>
          <w:i/>
          <w:lang w:val="fr-CH"/>
        </w:rPr>
      </w:pPr>
      <w:r w:rsidRPr="00683265">
        <w:rPr>
          <w:i/>
          <w:lang w:val="fr-CH"/>
        </w:rPr>
        <w:t>Ajouter un paragraphe 5.8</w:t>
      </w:r>
      <w:r w:rsidR="00E83C78">
        <w:rPr>
          <w:i/>
          <w:lang w:val="fr-CH"/>
        </w:rPr>
        <w:t>.1</w:t>
      </w:r>
      <w:r w:rsidRPr="00E83C78">
        <w:rPr>
          <w:lang w:val="fr-CH"/>
        </w:rPr>
        <w:t>,</w:t>
      </w:r>
      <w:r w:rsidRPr="00683265">
        <w:rPr>
          <w:i/>
          <w:lang w:val="fr-CH"/>
        </w:rPr>
        <w:t xml:space="preserve"> </w:t>
      </w:r>
      <w:r w:rsidRPr="00683265">
        <w:rPr>
          <w:lang w:val="fr-CH"/>
        </w:rPr>
        <w:t>libellé comme suit :</w:t>
      </w:r>
      <w:r w:rsidRPr="00683265">
        <w:rPr>
          <w:i/>
          <w:lang w:val="fr-CH"/>
        </w:rPr>
        <w:t xml:space="preserve"> </w:t>
      </w:r>
    </w:p>
    <w:p w:rsidR="00683265" w:rsidRPr="00683265" w:rsidRDefault="00683265" w:rsidP="00683265">
      <w:pPr>
        <w:pStyle w:val="SingleTxt"/>
        <w:ind w:left="2218" w:hanging="951"/>
        <w:rPr>
          <w:lang w:val="fr-CH"/>
        </w:rPr>
      </w:pPr>
      <w:r w:rsidRPr="00683265">
        <w:rPr>
          <w:lang w:val="fr-CH"/>
        </w:rPr>
        <w:t>«</w:t>
      </w:r>
      <w:r>
        <w:rPr>
          <w:i/>
          <w:lang w:val="fr-CH"/>
        </w:rPr>
        <w:t> </w:t>
      </w:r>
      <w:r w:rsidRPr="00683265">
        <w:rPr>
          <w:b/>
          <w:lang w:val="fr-CH"/>
        </w:rPr>
        <w:t>5.8.1</w:t>
      </w:r>
      <w:r w:rsidRPr="00683265">
        <w:rPr>
          <w:b/>
          <w:lang w:val="fr-CH"/>
        </w:rPr>
        <w:tab/>
        <w:t>Les caractéristiques photométriques des feux indicateurs de direction, à l’e</w:t>
      </w:r>
      <w:r>
        <w:rPr>
          <w:b/>
          <w:lang w:val="fr-CH"/>
        </w:rPr>
        <w:t>xception de ceux des catégories </w:t>
      </w:r>
      <w:r w:rsidRPr="00683265">
        <w:rPr>
          <w:b/>
          <w:lang w:val="fr-CH"/>
        </w:rPr>
        <w:t>5 et 6 précisées dans le Règlement n</w:t>
      </w:r>
      <w:r w:rsidRPr="00683265">
        <w:rPr>
          <w:b/>
          <w:vertAlign w:val="superscript"/>
          <w:lang w:val="fr-CH"/>
        </w:rPr>
        <w:t>o</w:t>
      </w:r>
      <w:r w:rsidRPr="00683265">
        <w:rPr>
          <w:b/>
          <w:lang w:val="fr-CH"/>
        </w:rPr>
        <w:t> 6, et du feu indicateur de direction précisé dans le Règlement n</w:t>
      </w:r>
      <w:r w:rsidRPr="00683265">
        <w:rPr>
          <w:b/>
          <w:vertAlign w:val="superscript"/>
          <w:lang w:val="fr-CH"/>
        </w:rPr>
        <w:t>o</w:t>
      </w:r>
      <w:r w:rsidRPr="00683265">
        <w:rPr>
          <w:b/>
          <w:lang w:val="fr-CH"/>
        </w:rPr>
        <w:t> 50, peuvent varier durant un clignotement par activation séquentielle produit conformément au paragraphe 5.6 du Règlement n</w:t>
      </w:r>
      <w:r w:rsidRPr="00683265">
        <w:rPr>
          <w:b/>
          <w:vertAlign w:val="superscript"/>
          <w:lang w:val="fr-CH"/>
        </w:rPr>
        <w:t>o</w:t>
      </w:r>
      <w:r w:rsidRPr="00683265">
        <w:rPr>
          <w:b/>
          <w:lang w:val="fr-CH"/>
        </w:rPr>
        <w:t> </w:t>
      </w:r>
      <w:r>
        <w:rPr>
          <w:b/>
          <w:lang w:val="fr-CH"/>
        </w:rPr>
        <w:t>6 ou au paragraphe </w:t>
      </w:r>
      <w:r w:rsidRPr="00683265">
        <w:rPr>
          <w:b/>
          <w:lang w:val="fr-CH"/>
        </w:rPr>
        <w:t>6.8 du Règlement n</w:t>
      </w:r>
      <w:r w:rsidRPr="00683265">
        <w:rPr>
          <w:b/>
          <w:vertAlign w:val="superscript"/>
          <w:lang w:val="fr-CH"/>
        </w:rPr>
        <w:t>o</w:t>
      </w:r>
      <w:r w:rsidRPr="00683265">
        <w:rPr>
          <w:b/>
          <w:lang w:val="fr-CH"/>
        </w:rPr>
        <w:t> 50.</w:t>
      </w:r>
      <w:r w:rsidRPr="00683265">
        <w:rPr>
          <w:lang w:val="fr-CH"/>
        </w:rPr>
        <w:t xml:space="preserve"> ». </w:t>
      </w: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SingleTxt"/>
        <w:spacing w:after="0" w:line="120" w:lineRule="exact"/>
        <w:rPr>
          <w:b/>
          <w:sz w:val="10"/>
          <w:lang w:val="fr-CH"/>
        </w:rPr>
      </w:pPr>
    </w:p>
    <w:p w:rsidR="00683265" w:rsidRPr="00683265" w:rsidRDefault="00683265" w:rsidP="006832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3265">
        <w:rPr>
          <w:lang w:val="fr-CH"/>
        </w:rPr>
        <w:tab/>
        <w:t>II.</w:t>
      </w:r>
      <w:r w:rsidRPr="00683265">
        <w:rPr>
          <w:lang w:val="fr-CH"/>
        </w:rPr>
        <w:tab/>
        <w:t>Justification</w:t>
      </w:r>
    </w:p>
    <w:p w:rsidR="00683265" w:rsidRPr="00683265" w:rsidRDefault="00683265" w:rsidP="00683265">
      <w:pPr>
        <w:pStyle w:val="SingleTxt"/>
        <w:spacing w:after="0" w:line="120" w:lineRule="exact"/>
        <w:rPr>
          <w:sz w:val="10"/>
          <w:lang w:val="fr-CH"/>
        </w:rPr>
      </w:pPr>
    </w:p>
    <w:p w:rsidR="00683265" w:rsidRPr="00683265" w:rsidRDefault="00683265" w:rsidP="00683265">
      <w:pPr>
        <w:pStyle w:val="SingleTxt"/>
        <w:spacing w:after="0" w:line="120" w:lineRule="exact"/>
        <w:rPr>
          <w:sz w:val="10"/>
          <w:lang w:val="fr-CH"/>
        </w:rPr>
      </w:pPr>
    </w:p>
    <w:p w:rsidR="00683265" w:rsidRPr="00683265" w:rsidRDefault="00683265" w:rsidP="00683265">
      <w:pPr>
        <w:pStyle w:val="SingleTxt"/>
        <w:numPr>
          <w:ilvl w:val="0"/>
          <w:numId w:val="6"/>
        </w:numPr>
        <w:tabs>
          <w:tab w:val="clear" w:pos="475"/>
          <w:tab w:val="num" w:pos="1742"/>
        </w:tabs>
        <w:ind w:left="1267"/>
        <w:rPr>
          <w:lang w:val="fr-CH"/>
        </w:rPr>
      </w:pPr>
      <w:r w:rsidRPr="00683265">
        <w:rPr>
          <w:lang w:val="fr-CH"/>
        </w:rPr>
        <w:t>L’IMMA propose ce complément au Règlement n</w:t>
      </w:r>
      <w:r w:rsidRPr="00683265">
        <w:rPr>
          <w:vertAlign w:val="superscript"/>
          <w:lang w:val="fr-CH"/>
        </w:rPr>
        <w:t>o </w:t>
      </w:r>
      <w:r w:rsidRPr="00683265">
        <w:rPr>
          <w:lang w:val="fr-CH"/>
        </w:rPr>
        <w:t>53 (et un complément distinct au Règlement n</w:t>
      </w:r>
      <w:r w:rsidRPr="00683265">
        <w:rPr>
          <w:vertAlign w:val="superscript"/>
          <w:lang w:val="fr-CH"/>
        </w:rPr>
        <w:t>o </w:t>
      </w:r>
      <w:r w:rsidRPr="00683265">
        <w:rPr>
          <w:lang w:val="fr-CH"/>
        </w:rPr>
        <w:t>50) pour introduire l’activation séquentielle des sources lumineuses sur les feux indicateurs de direction pour motocycles. La même fonction existe pour les véhicules à quatre roues dans les Règlements n</w:t>
      </w:r>
      <w:r w:rsidRPr="00683265">
        <w:rPr>
          <w:vertAlign w:val="superscript"/>
          <w:lang w:val="fr-CH"/>
        </w:rPr>
        <w:t>os</w:t>
      </w:r>
      <w:r w:rsidR="00E83C78">
        <w:rPr>
          <w:lang w:val="fr-CH"/>
        </w:rPr>
        <w:t> </w:t>
      </w:r>
      <w:r w:rsidRPr="00683265">
        <w:rPr>
          <w:lang w:val="fr-CH"/>
        </w:rPr>
        <w:t>6 et 48. Le texte proposé</w:t>
      </w:r>
      <w:r w:rsidR="00E83C78">
        <w:rPr>
          <w:lang w:val="fr-CH"/>
        </w:rPr>
        <w:t xml:space="preserve"> est fondé sur les paragraphes </w:t>
      </w:r>
      <w:r w:rsidRPr="00683265">
        <w:rPr>
          <w:lang w:val="fr-CH"/>
        </w:rPr>
        <w:t>2.36 et 5.9.3 du Règlement n</w:t>
      </w:r>
      <w:r w:rsidRPr="00683265">
        <w:rPr>
          <w:vertAlign w:val="superscript"/>
          <w:lang w:val="fr-CH"/>
        </w:rPr>
        <w:t>o </w:t>
      </w:r>
      <w:r w:rsidRPr="00683265">
        <w:rPr>
          <w:lang w:val="fr-CH"/>
        </w:rPr>
        <w:t>48,.</w:t>
      </w:r>
    </w:p>
    <w:p w:rsidR="00683265" w:rsidRPr="00683265" w:rsidRDefault="00683265" w:rsidP="00683265">
      <w:pPr>
        <w:pStyle w:val="SingleTxt"/>
        <w:numPr>
          <w:ilvl w:val="0"/>
          <w:numId w:val="6"/>
        </w:numPr>
        <w:tabs>
          <w:tab w:val="clear" w:pos="475"/>
          <w:tab w:val="num" w:pos="1742"/>
        </w:tabs>
        <w:ind w:left="1267"/>
        <w:rPr>
          <w:lang w:val="fr-CH"/>
        </w:rPr>
      </w:pPr>
      <w:r w:rsidRPr="00683265">
        <w:rPr>
          <w:lang w:val="fr-CH"/>
        </w:rPr>
        <w:t xml:space="preserve">Aucun facteur négatif n’a été mis en évidence pour l’introduction de l’activation séquentielle des sources lumineuses sur les feux indicateurs de direction pour motocycles. </w:t>
      </w:r>
    </w:p>
    <w:p w:rsidR="00553229" w:rsidRDefault="00683265" w:rsidP="00553229">
      <w:pPr>
        <w:pStyle w:val="SingleTxt"/>
        <w:numPr>
          <w:ilvl w:val="0"/>
          <w:numId w:val="6"/>
        </w:numPr>
        <w:tabs>
          <w:tab w:val="clear" w:pos="475"/>
          <w:tab w:val="num" w:pos="1742"/>
        </w:tabs>
        <w:ind w:left="1267"/>
        <w:rPr>
          <w:lang w:val="fr-CH"/>
        </w:rPr>
      </w:pPr>
      <w:r w:rsidRPr="00683265">
        <w:rPr>
          <w:lang w:val="fr-CH"/>
        </w:rPr>
        <w:t xml:space="preserve">L’Organisation internationale des constructeurs d’automobiles </w:t>
      </w:r>
      <w:r>
        <w:rPr>
          <w:lang w:val="fr-CH"/>
        </w:rPr>
        <w:t>(OICA) a présenté à la soixante-</w:t>
      </w:r>
      <w:r w:rsidRPr="00683265">
        <w:rPr>
          <w:lang w:val="fr-CH"/>
        </w:rPr>
        <w:t>dixième session du GRE une enquête (GRE</w:t>
      </w:r>
      <w:r>
        <w:rPr>
          <w:lang w:val="fr-CH"/>
        </w:rPr>
        <w:t>-</w:t>
      </w:r>
      <w:r w:rsidRPr="00683265">
        <w:rPr>
          <w:lang w:val="fr-CH"/>
        </w:rPr>
        <w:t>70</w:t>
      </w:r>
      <w:r>
        <w:rPr>
          <w:lang w:val="fr-CH"/>
        </w:rPr>
        <w:t>-</w:t>
      </w:r>
      <w:r w:rsidRPr="00683265">
        <w:rPr>
          <w:lang w:val="fr-CH"/>
        </w:rPr>
        <w:t>16) portant sur la distraction due aux indicateurs de direction dynamiques dans le cas des véhicules à quatre roues. Il ne semblait pas y avoir de problème de sécurité puisque près de 70</w:t>
      </w:r>
      <w:r w:rsidR="00E83C78">
        <w:rPr>
          <w:lang w:val="fr-CH"/>
        </w:rPr>
        <w:t> </w:t>
      </w:r>
      <w:r w:rsidRPr="00683265">
        <w:rPr>
          <w:lang w:val="fr-CH"/>
        </w:rPr>
        <w:t xml:space="preserve">% des personnes interrogées avaient estimé que </w:t>
      </w:r>
      <w:r w:rsidR="00E83C78">
        <w:rPr>
          <w:lang w:val="fr-CH"/>
        </w:rPr>
        <w:t>« </w:t>
      </w:r>
      <w:r w:rsidRPr="00683265">
        <w:rPr>
          <w:lang w:val="fr-CH"/>
        </w:rPr>
        <w:t>dyna</w:t>
      </w:r>
      <w:r w:rsidR="00E83C78">
        <w:rPr>
          <w:lang w:val="fr-CH"/>
        </w:rPr>
        <w:t>mique valait mieux que statique</w:t>
      </w:r>
      <w:r w:rsidRPr="00683265">
        <w:rPr>
          <w:lang w:val="fr-CH"/>
        </w:rPr>
        <w:t xml:space="preserve"> » et que seules quelques-unes d’entre elles avaient émis un jugement négatif. On devrait obtenir des résultats analogues si les indicateurs de direction dynamiques étaient soumis à la même enquête en ce qui concerne les motocycles. </w:t>
      </w:r>
    </w:p>
    <w:p w:rsidR="00E83C78" w:rsidRPr="00E83C78" w:rsidRDefault="00E83C78" w:rsidP="00E83C78">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83C78" w:rsidRPr="00E83C78" w:rsidSect="00553229">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9T13:34:00Z" w:initials="Start">
    <w:p w:rsidR="00553229" w:rsidRDefault="00553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NO&gt;&gt;N1517397F&lt;&lt;ODS JOB NO&gt;&gt;</w:t>
      </w:r>
    </w:p>
    <w:p w:rsidR="00553229" w:rsidRDefault="00553229">
      <w:pPr>
        <w:pStyle w:val="CommentText"/>
      </w:pPr>
      <w:r>
        <w:t>&lt;&lt;ODS DOC SYMBOL1&gt;&gt;ECE/TRANS/WP.29/GRE/2015/39&lt;&lt;ODS DOC SYMBOL1&gt;&gt;</w:t>
      </w:r>
    </w:p>
    <w:p w:rsidR="00553229" w:rsidRDefault="0055322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9E" w:rsidRDefault="008A489E" w:rsidP="00F3330B">
      <w:pPr>
        <w:spacing w:line="240" w:lineRule="auto"/>
      </w:pPr>
      <w:r>
        <w:separator/>
      </w:r>
    </w:p>
  </w:endnote>
  <w:endnote w:type="continuationSeparator" w:id="0">
    <w:p w:rsidR="008A489E" w:rsidRDefault="008A489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53229" w:rsidTr="00553229">
      <w:trPr>
        <w:jc w:val="center"/>
      </w:trPr>
      <w:tc>
        <w:tcPr>
          <w:tcW w:w="5126" w:type="dxa"/>
          <w:shd w:val="clear" w:color="auto" w:fill="auto"/>
        </w:tcPr>
        <w:p w:rsidR="00553229" w:rsidRPr="00553229" w:rsidRDefault="00553229" w:rsidP="005532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603">
            <w:rPr>
              <w:b w:val="0"/>
              <w:w w:val="103"/>
              <w:sz w:val="14"/>
            </w:rPr>
            <w:t>GE.15-13293</w:t>
          </w:r>
          <w:r>
            <w:rPr>
              <w:b w:val="0"/>
              <w:w w:val="103"/>
              <w:sz w:val="14"/>
            </w:rPr>
            <w:fldChar w:fldCharType="end"/>
          </w:r>
        </w:p>
      </w:tc>
      <w:tc>
        <w:tcPr>
          <w:tcW w:w="5127" w:type="dxa"/>
          <w:shd w:val="clear" w:color="auto" w:fill="auto"/>
        </w:tcPr>
        <w:p w:rsidR="00553229" w:rsidRPr="00553229" w:rsidRDefault="00553229" w:rsidP="00553229">
          <w:pPr>
            <w:pStyle w:val="Footer"/>
            <w:rPr>
              <w:w w:val="103"/>
            </w:rPr>
          </w:pPr>
          <w:r>
            <w:rPr>
              <w:w w:val="103"/>
            </w:rPr>
            <w:fldChar w:fldCharType="begin"/>
          </w:r>
          <w:r>
            <w:rPr>
              <w:w w:val="103"/>
            </w:rPr>
            <w:instrText xml:space="preserve"> PAGE  \* Arabic  \* MERGEFORMAT </w:instrText>
          </w:r>
          <w:r>
            <w:rPr>
              <w:w w:val="103"/>
            </w:rPr>
            <w:fldChar w:fldCharType="separate"/>
          </w:r>
          <w:r w:rsidR="004737E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737E4">
            <w:rPr>
              <w:noProof/>
              <w:w w:val="103"/>
            </w:rPr>
            <w:t>2</w:t>
          </w:r>
          <w:r>
            <w:rPr>
              <w:w w:val="103"/>
            </w:rPr>
            <w:fldChar w:fldCharType="end"/>
          </w:r>
        </w:p>
      </w:tc>
    </w:tr>
  </w:tbl>
  <w:p w:rsidR="00553229" w:rsidRPr="00553229" w:rsidRDefault="00553229" w:rsidP="0055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53229" w:rsidTr="00553229">
      <w:trPr>
        <w:jc w:val="center"/>
      </w:trPr>
      <w:tc>
        <w:tcPr>
          <w:tcW w:w="5126" w:type="dxa"/>
          <w:shd w:val="clear" w:color="auto" w:fill="auto"/>
        </w:tcPr>
        <w:p w:rsidR="00553229" w:rsidRPr="00553229" w:rsidRDefault="00553229" w:rsidP="0055322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460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603">
            <w:rPr>
              <w:noProof/>
              <w:w w:val="103"/>
            </w:rPr>
            <w:t>2</w:t>
          </w:r>
          <w:r>
            <w:rPr>
              <w:w w:val="103"/>
            </w:rPr>
            <w:fldChar w:fldCharType="end"/>
          </w:r>
        </w:p>
      </w:tc>
      <w:tc>
        <w:tcPr>
          <w:tcW w:w="5127" w:type="dxa"/>
          <w:shd w:val="clear" w:color="auto" w:fill="auto"/>
        </w:tcPr>
        <w:p w:rsidR="00553229" w:rsidRPr="00553229" w:rsidRDefault="00553229" w:rsidP="005532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603">
            <w:rPr>
              <w:b w:val="0"/>
              <w:w w:val="103"/>
              <w:sz w:val="14"/>
            </w:rPr>
            <w:t>GE.15-13293</w:t>
          </w:r>
          <w:r>
            <w:rPr>
              <w:b w:val="0"/>
              <w:w w:val="103"/>
              <w:sz w:val="14"/>
            </w:rPr>
            <w:fldChar w:fldCharType="end"/>
          </w:r>
        </w:p>
      </w:tc>
    </w:tr>
  </w:tbl>
  <w:p w:rsidR="00553229" w:rsidRPr="00553229" w:rsidRDefault="00553229" w:rsidP="00553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29" w:rsidRDefault="00553229">
    <w:pPr>
      <w:pStyle w:val="Footer"/>
    </w:pPr>
    <w:r>
      <w:rPr>
        <w:noProof/>
        <w:lang w:val="en-GB" w:eastAsia="en-GB"/>
      </w:rPr>
      <w:drawing>
        <wp:anchor distT="0" distB="0" distL="114300" distR="114300" simplePos="0" relativeHeight="251658240" behindDoc="0" locked="0" layoutInCell="1" allowOverlap="1" wp14:anchorId="7C5B4E94" wp14:editId="55E28CA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53229" w:rsidTr="00553229">
      <w:tc>
        <w:tcPr>
          <w:tcW w:w="3859" w:type="dxa"/>
        </w:tcPr>
        <w:p w:rsidR="00553229" w:rsidRDefault="00553229" w:rsidP="0055322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54603">
            <w:rPr>
              <w:b w:val="0"/>
              <w:sz w:val="20"/>
            </w:rPr>
            <w:t>GE.15-13293 (F)</w:t>
          </w:r>
          <w:r>
            <w:rPr>
              <w:b w:val="0"/>
              <w:sz w:val="20"/>
            </w:rPr>
            <w:fldChar w:fldCharType="end"/>
          </w:r>
          <w:r>
            <w:rPr>
              <w:b w:val="0"/>
              <w:sz w:val="20"/>
            </w:rPr>
            <w:t xml:space="preserve">    091015    091015</w:t>
          </w:r>
        </w:p>
        <w:p w:rsidR="00553229" w:rsidRPr="00553229" w:rsidRDefault="00553229" w:rsidP="0055322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54603">
            <w:rPr>
              <w:rFonts w:ascii="Barcode 3 of 9 by request" w:hAnsi="Barcode 3 of 9 by request"/>
              <w:b w:val="0"/>
              <w:spacing w:val="0"/>
              <w:w w:val="100"/>
              <w:sz w:val="24"/>
            </w:rPr>
            <w:t>*1513293*</w:t>
          </w:r>
          <w:r>
            <w:rPr>
              <w:rFonts w:ascii="Barcode 3 of 9 by request" w:hAnsi="Barcode 3 of 9 by request"/>
              <w:b w:val="0"/>
              <w:spacing w:val="0"/>
              <w:w w:val="100"/>
              <w:sz w:val="24"/>
            </w:rPr>
            <w:fldChar w:fldCharType="end"/>
          </w:r>
        </w:p>
      </w:tc>
      <w:tc>
        <w:tcPr>
          <w:tcW w:w="5127" w:type="dxa"/>
        </w:tcPr>
        <w:p w:rsidR="00553229" w:rsidRDefault="00553229" w:rsidP="00553229">
          <w:pPr>
            <w:pStyle w:val="Footer"/>
            <w:spacing w:line="240" w:lineRule="atLeast"/>
            <w:jc w:val="right"/>
            <w:rPr>
              <w:b w:val="0"/>
              <w:sz w:val="20"/>
            </w:rPr>
          </w:pPr>
          <w:r>
            <w:rPr>
              <w:b w:val="0"/>
              <w:noProof/>
              <w:sz w:val="20"/>
              <w:lang w:val="en-GB" w:eastAsia="en-GB"/>
            </w:rPr>
            <w:drawing>
              <wp:inline distT="0" distB="0" distL="0" distR="0" wp14:anchorId="6F3B03D6" wp14:editId="460F1DC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53229" w:rsidRPr="00553229" w:rsidRDefault="00553229" w:rsidP="0055322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9E" w:rsidRPr="00683265" w:rsidRDefault="00683265" w:rsidP="00683265">
      <w:pPr>
        <w:pStyle w:val="Footer"/>
        <w:spacing w:after="80"/>
        <w:ind w:left="792"/>
        <w:rPr>
          <w:sz w:val="16"/>
        </w:rPr>
      </w:pPr>
      <w:r w:rsidRPr="00683265">
        <w:rPr>
          <w:sz w:val="16"/>
        </w:rPr>
        <w:t>__________________</w:t>
      </w:r>
    </w:p>
  </w:footnote>
  <w:footnote w:type="continuationSeparator" w:id="0">
    <w:p w:rsidR="008A489E" w:rsidRPr="00683265" w:rsidRDefault="00683265" w:rsidP="00683265">
      <w:pPr>
        <w:pStyle w:val="Footer"/>
        <w:spacing w:after="80"/>
        <w:ind w:left="792"/>
        <w:rPr>
          <w:sz w:val="16"/>
        </w:rPr>
      </w:pPr>
      <w:r w:rsidRPr="00683265">
        <w:rPr>
          <w:sz w:val="16"/>
        </w:rPr>
        <w:t>__________________</w:t>
      </w:r>
    </w:p>
  </w:footnote>
  <w:footnote w:id="1">
    <w:p w:rsidR="00683265" w:rsidRPr="00683265" w:rsidRDefault="00683265" w:rsidP="00683265">
      <w:pPr>
        <w:pStyle w:val="FootnoteText"/>
        <w:tabs>
          <w:tab w:val="right" w:pos="1195"/>
          <w:tab w:val="left" w:pos="1267"/>
          <w:tab w:val="left" w:pos="1742"/>
          <w:tab w:val="left" w:pos="2218"/>
          <w:tab w:val="left" w:pos="2693"/>
        </w:tabs>
        <w:ind w:left="1267" w:right="1260" w:hanging="432"/>
        <w:rPr>
          <w:lang w:val="fr-CH"/>
        </w:rPr>
      </w:pPr>
      <w:r>
        <w:tab/>
      </w:r>
      <w:r w:rsidRPr="00683265">
        <w:rPr>
          <w:rStyle w:val="FootnoteReference"/>
          <w:vertAlign w:val="baseline"/>
        </w:rPr>
        <w:t>*</w:t>
      </w:r>
      <w:r w:rsidRPr="00683265">
        <w:tab/>
      </w:r>
      <w:r>
        <w:rPr>
          <w:spacing w:val="-2"/>
        </w:rPr>
        <w:t>Conformément au programme de travail du Comité des transports intérieurs pour la période 2012-2016 (ECE/TRANS/224, par. 94</w:t>
      </w:r>
      <w:r w:rsidR="00E83C78">
        <w:rPr>
          <w:spacing w:val="-2"/>
        </w:rPr>
        <w:t>,</w:t>
      </w:r>
      <w:r>
        <w:rPr>
          <w:spacing w:val="-2"/>
        </w:rPr>
        <w:t xml:space="preserve"> et ECE/TRANS/2012/12, activité 02.4), le Forum mondial a pour mission d’élaborer, d’harmoniser et de mettre à jour les Règlements en vue d’améliorer les caractéristiques fonctionnelles des véhicules. Le présent document est soumis en vertu de ce mandat</w:t>
      </w:r>
      <w:r>
        <w:rPr>
          <w:spacing w:val="-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53229" w:rsidTr="00553229">
      <w:trPr>
        <w:trHeight w:hRule="exact" w:val="864"/>
        <w:jc w:val="center"/>
      </w:trPr>
      <w:tc>
        <w:tcPr>
          <w:tcW w:w="4882" w:type="dxa"/>
          <w:shd w:val="clear" w:color="auto" w:fill="auto"/>
          <w:vAlign w:val="bottom"/>
        </w:tcPr>
        <w:p w:rsidR="00553229" w:rsidRPr="00553229" w:rsidRDefault="00553229" w:rsidP="0055322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4603">
            <w:rPr>
              <w:b/>
              <w:color w:val="000000"/>
            </w:rPr>
            <w:t>ECE/TRANS/WP.29/GRE/2015/39</w:t>
          </w:r>
          <w:r>
            <w:rPr>
              <w:b/>
              <w:color w:val="000000"/>
            </w:rPr>
            <w:fldChar w:fldCharType="end"/>
          </w:r>
        </w:p>
      </w:tc>
      <w:tc>
        <w:tcPr>
          <w:tcW w:w="5127" w:type="dxa"/>
          <w:shd w:val="clear" w:color="auto" w:fill="auto"/>
          <w:vAlign w:val="bottom"/>
        </w:tcPr>
        <w:p w:rsidR="00553229" w:rsidRDefault="00553229" w:rsidP="00553229">
          <w:pPr>
            <w:pStyle w:val="Header"/>
          </w:pPr>
        </w:p>
      </w:tc>
    </w:tr>
  </w:tbl>
  <w:p w:rsidR="00553229" w:rsidRPr="00553229" w:rsidRDefault="00553229" w:rsidP="0055322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53229" w:rsidTr="00553229">
      <w:trPr>
        <w:trHeight w:hRule="exact" w:val="864"/>
        <w:jc w:val="center"/>
      </w:trPr>
      <w:tc>
        <w:tcPr>
          <w:tcW w:w="4882" w:type="dxa"/>
          <w:shd w:val="clear" w:color="auto" w:fill="auto"/>
          <w:vAlign w:val="bottom"/>
        </w:tcPr>
        <w:p w:rsidR="00553229" w:rsidRDefault="00553229" w:rsidP="00553229">
          <w:pPr>
            <w:pStyle w:val="Header"/>
          </w:pPr>
        </w:p>
      </w:tc>
      <w:tc>
        <w:tcPr>
          <w:tcW w:w="5127" w:type="dxa"/>
          <w:shd w:val="clear" w:color="auto" w:fill="auto"/>
          <w:vAlign w:val="bottom"/>
        </w:tcPr>
        <w:p w:rsidR="00553229" w:rsidRPr="00553229" w:rsidRDefault="00553229" w:rsidP="0055322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4603">
            <w:rPr>
              <w:b/>
              <w:color w:val="000000"/>
            </w:rPr>
            <w:t>ECE/TRANS/WP.29/GRE/2015/39</w:t>
          </w:r>
          <w:r>
            <w:rPr>
              <w:b/>
              <w:color w:val="000000"/>
            </w:rPr>
            <w:fldChar w:fldCharType="end"/>
          </w:r>
        </w:p>
      </w:tc>
    </w:tr>
  </w:tbl>
  <w:p w:rsidR="00553229" w:rsidRPr="00553229" w:rsidRDefault="00553229" w:rsidP="0055322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53229" w:rsidTr="00553229">
      <w:trPr>
        <w:trHeight w:hRule="exact" w:val="864"/>
      </w:trPr>
      <w:tc>
        <w:tcPr>
          <w:tcW w:w="1267" w:type="dxa"/>
          <w:tcBorders>
            <w:bottom w:val="single" w:sz="4" w:space="0" w:color="auto"/>
          </w:tcBorders>
          <w:shd w:val="clear" w:color="auto" w:fill="auto"/>
          <w:vAlign w:val="bottom"/>
        </w:tcPr>
        <w:p w:rsidR="00553229" w:rsidRDefault="00553229" w:rsidP="00553229">
          <w:pPr>
            <w:pStyle w:val="Header"/>
            <w:spacing w:after="120"/>
          </w:pPr>
        </w:p>
      </w:tc>
      <w:tc>
        <w:tcPr>
          <w:tcW w:w="2059" w:type="dxa"/>
          <w:tcBorders>
            <w:bottom w:val="single" w:sz="4" w:space="0" w:color="auto"/>
          </w:tcBorders>
          <w:shd w:val="clear" w:color="auto" w:fill="auto"/>
          <w:vAlign w:val="bottom"/>
        </w:tcPr>
        <w:p w:rsidR="00553229" w:rsidRPr="00553229" w:rsidRDefault="00553229" w:rsidP="0055322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53229" w:rsidRDefault="00553229" w:rsidP="00553229">
          <w:pPr>
            <w:pStyle w:val="Header"/>
            <w:spacing w:after="120"/>
          </w:pPr>
        </w:p>
      </w:tc>
      <w:tc>
        <w:tcPr>
          <w:tcW w:w="6653" w:type="dxa"/>
          <w:gridSpan w:val="4"/>
          <w:tcBorders>
            <w:bottom w:val="single" w:sz="4" w:space="0" w:color="auto"/>
          </w:tcBorders>
          <w:shd w:val="clear" w:color="auto" w:fill="auto"/>
          <w:vAlign w:val="bottom"/>
        </w:tcPr>
        <w:p w:rsidR="00553229" w:rsidRPr="00553229" w:rsidRDefault="00553229" w:rsidP="00553229">
          <w:pPr>
            <w:spacing w:after="80" w:line="240" w:lineRule="auto"/>
            <w:jc w:val="right"/>
            <w:rPr>
              <w:position w:val="-4"/>
            </w:rPr>
          </w:pPr>
          <w:r>
            <w:rPr>
              <w:position w:val="-4"/>
              <w:sz w:val="40"/>
            </w:rPr>
            <w:t>ECE</w:t>
          </w:r>
          <w:r>
            <w:rPr>
              <w:position w:val="-4"/>
            </w:rPr>
            <w:t>/TRANS/WP.29/GRE/2015/39</w:t>
          </w:r>
        </w:p>
      </w:tc>
    </w:tr>
    <w:tr w:rsidR="00553229" w:rsidRPr="00553229" w:rsidTr="00553229">
      <w:trPr>
        <w:gridAfter w:val="1"/>
        <w:wAfter w:w="18" w:type="dxa"/>
        <w:trHeight w:hRule="exact" w:val="2880"/>
      </w:trPr>
      <w:tc>
        <w:tcPr>
          <w:tcW w:w="1267" w:type="dxa"/>
          <w:tcBorders>
            <w:top w:val="single" w:sz="4" w:space="0" w:color="auto"/>
            <w:bottom w:val="single" w:sz="12" w:space="0" w:color="auto"/>
          </w:tcBorders>
          <w:shd w:val="clear" w:color="auto" w:fill="auto"/>
        </w:tcPr>
        <w:p w:rsidR="00553229" w:rsidRPr="00553229" w:rsidRDefault="00553229" w:rsidP="00553229">
          <w:pPr>
            <w:pStyle w:val="Header"/>
            <w:spacing w:before="120" w:line="240" w:lineRule="auto"/>
            <w:ind w:left="-72"/>
            <w:jc w:val="center"/>
          </w:pPr>
          <w:r>
            <w:t xml:space="preserve">  </w:t>
          </w:r>
          <w:r>
            <w:rPr>
              <w:noProof/>
              <w:lang w:val="en-GB" w:eastAsia="en-GB"/>
            </w:rPr>
            <w:drawing>
              <wp:inline distT="0" distB="0" distL="0" distR="0" wp14:anchorId="21092AB7" wp14:editId="77B881D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53229" w:rsidRPr="00553229" w:rsidRDefault="00553229" w:rsidP="0055322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53229" w:rsidRPr="00553229" w:rsidRDefault="00553229" w:rsidP="00553229">
          <w:pPr>
            <w:pStyle w:val="Header"/>
            <w:spacing w:before="109"/>
          </w:pPr>
        </w:p>
      </w:tc>
      <w:tc>
        <w:tcPr>
          <w:tcW w:w="3280" w:type="dxa"/>
          <w:tcBorders>
            <w:top w:val="single" w:sz="4" w:space="0" w:color="auto"/>
            <w:bottom w:val="single" w:sz="12" w:space="0" w:color="auto"/>
          </w:tcBorders>
          <w:shd w:val="clear" w:color="auto" w:fill="auto"/>
        </w:tcPr>
        <w:p w:rsidR="00553229" w:rsidRDefault="00553229" w:rsidP="00553229">
          <w:pPr>
            <w:pStyle w:val="Distribution"/>
            <w:rPr>
              <w:color w:val="000000"/>
            </w:rPr>
          </w:pPr>
          <w:r>
            <w:rPr>
              <w:color w:val="000000"/>
            </w:rPr>
            <w:t>Distr. générale</w:t>
          </w:r>
        </w:p>
        <w:p w:rsidR="00553229" w:rsidRDefault="00553229" w:rsidP="00553229">
          <w:pPr>
            <w:pStyle w:val="Publication"/>
            <w:rPr>
              <w:color w:val="000000"/>
            </w:rPr>
          </w:pPr>
          <w:r>
            <w:rPr>
              <w:color w:val="000000"/>
            </w:rPr>
            <w:t>6 août 2015</w:t>
          </w:r>
        </w:p>
        <w:p w:rsidR="00553229" w:rsidRDefault="00553229" w:rsidP="00553229">
          <w:pPr>
            <w:rPr>
              <w:lang w:val="en-US"/>
            </w:rPr>
          </w:pPr>
          <w:r>
            <w:rPr>
              <w:lang w:val="en-US"/>
            </w:rPr>
            <w:t>Français</w:t>
          </w:r>
        </w:p>
        <w:p w:rsidR="00553229" w:rsidRPr="00553229" w:rsidRDefault="00553229" w:rsidP="00553229">
          <w:pPr>
            <w:pStyle w:val="Original"/>
            <w:rPr>
              <w:color w:val="000000"/>
            </w:rPr>
          </w:pPr>
          <w:r>
            <w:rPr>
              <w:color w:val="000000"/>
            </w:rPr>
            <w:t>Original : anglais</w:t>
          </w:r>
        </w:p>
      </w:tc>
    </w:tr>
  </w:tbl>
  <w:p w:rsidR="00553229" w:rsidRPr="00553229" w:rsidRDefault="00553229" w:rsidP="0055322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A1FB8"/>
    <w:multiLevelType w:val="singleLevel"/>
    <w:tmpl w:val="C4BA9EAA"/>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93*"/>
    <w:docVar w:name="CreationDt" w:val="10/9/2015 1:34: PM"/>
    <w:docVar w:name="DocCategory" w:val="Doc"/>
    <w:docVar w:name="DocType" w:val="Final"/>
    <w:docVar w:name="DutyStation" w:val="Geneva"/>
    <w:docVar w:name="FooterJN" w:val="GE.15-13293"/>
    <w:docVar w:name="jobn" w:val="GE.15-13293 (F)"/>
    <w:docVar w:name="jobnDT" w:val="GE.15-13293 (F)   091015"/>
    <w:docVar w:name="jobnDTDT" w:val="GE.15-13293 (F)   091015   091015"/>
    <w:docVar w:name="JobNo" w:val="GE.1513293F"/>
    <w:docVar w:name="JobNo2" w:val="GE.1517397F"/>
    <w:docVar w:name="LocalDrive" w:val="0"/>
    <w:docVar w:name="OandT" w:val="Nath V."/>
    <w:docVar w:name="PaperSize" w:val="A4"/>
    <w:docVar w:name="sss1" w:val="ECE/TRANS/WP.29/GRE/2015/39"/>
    <w:docVar w:name="sss2" w:val="-"/>
    <w:docVar w:name="Symbol1" w:val="ECE/TRANS/WP.29/GRE/2015/39"/>
    <w:docVar w:name="Symbol2" w:val="-"/>
  </w:docVars>
  <w:rsids>
    <w:rsidRoot w:val="008A489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603"/>
    <w:rsid w:val="004548AC"/>
    <w:rsid w:val="00455176"/>
    <w:rsid w:val="00455E42"/>
    <w:rsid w:val="00457D04"/>
    <w:rsid w:val="00460112"/>
    <w:rsid w:val="00461788"/>
    <w:rsid w:val="004627F7"/>
    <w:rsid w:val="004638A8"/>
    <w:rsid w:val="00464787"/>
    <w:rsid w:val="004669E9"/>
    <w:rsid w:val="00472794"/>
    <w:rsid w:val="004737E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229"/>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E2F30"/>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265"/>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89E"/>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C78"/>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53229"/>
    <w:rPr>
      <w:sz w:val="16"/>
      <w:szCs w:val="16"/>
    </w:rPr>
  </w:style>
  <w:style w:type="paragraph" w:styleId="CommentText">
    <w:name w:val="annotation text"/>
    <w:basedOn w:val="Normal"/>
    <w:link w:val="CommentTextChar"/>
    <w:uiPriority w:val="99"/>
    <w:semiHidden/>
    <w:unhideWhenUsed/>
    <w:rsid w:val="00553229"/>
    <w:pPr>
      <w:spacing w:line="240" w:lineRule="auto"/>
    </w:pPr>
    <w:rPr>
      <w:szCs w:val="20"/>
    </w:rPr>
  </w:style>
  <w:style w:type="character" w:customStyle="1" w:styleId="CommentTextChar">
    <w:name w:val="Comment Text Char"/>
    <w:basedOn w:val="DefaultParagraphFont"/>
    <w:link w:val="CommentText"/>
    <w:uiPriority w:val="99"/>
    <w:semiHidden/>
    <w:rsid w:val="005532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53229"/>
    <w:rPr>
      <w:b/>
      <w:bCs/>
    </w:rPr>
  </w:style>
  <w:style w:type="character" w:customStyle="1" w:styleId="CommentSubjectChar">
    <w:name w:val="Comment Subject Char"/>
    <w:basedOn w:val="CommentTextChar"/>
    <w:link w:val="CommentSubject"/>
    <w:uiPriority w:val="99"/>
    <w:semiHidden/>
    <w:rsid w:val="0055322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53229"/>
    <w:rPr>
      <w:sz w:val="16"/>
      <w:szCs w:val="16"/>
    </w:rPr>
  </w:style>
  <w:style w:type="paragraph" w:styleId="CommentText">
    <w:name w:val="annotation text"/>
    <w:basedOn w:val="Normal"/>
    <w:link w:val="CommentTextChar"/>
    <w:uiPriority w:val="99"/>
    <w:semiHidden/>
    <w:unhideWhenUsed/>
    <w:rsid w:val="00553229"/>
    <w:pPr>
      <w:spacing w:line="240" w:lineRule="auto"/>
    </w:pPr>
    <w:rPr>
      <w:szCs w:val="20"/>
    </w:rPr>
  </w:style>
  <w:style w:type="character" w:customStyle="1" w:styleId="CommentTextChar">
    <w:name w:val="Comment Text Char"/>
    <w:basedOn w:val="DefaultParagraphFont"/>
    <w:link w:val="CommentText"/>
    <w:uiPriority w:val="99"/>
    <w:semiHidden/>
    <w:rsid w:val="005532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53229"/>
    <w:rPr>
      <w:b/>
      <w:bCs/>
    </w:rPr>
  </w:style>
  <w:style w:type="character" w:customStyle="1" w:styleId="CommentSubjectChar">
    <w:name w:val="Comment Subject Char"/>
    <w:basedOn w:val="CommentTextChar"/>
    <w:link w:val="CommentSubject"/>
    <w:uiPriority w:val="99"/>
    <w:semiHidden/>
    <w:rsid w:val="0055322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8796-9206-4B70-BCCE-CA81E035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2015-10-09T11:53:00Z</cp:lastPrinted>
  <dcterms:created xsi:type="dcterms:W3CDTF">2015-10-09T12:45:00Z</dcterms:created>
  <dcterms:modified xsi:type="dcterms:W3CDTF">2015-10-09T12:45:00Z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1513293F</vt:lpwstr>
  </property>
  <property fmtid="{D5CDD505-2E9C-101B-9397-08002B2CF9AE}" pid="3" name="ODSRefJobNo">
    <vt:lpwstr>1517397F</vt:lpwstr>
  </property>
  <property fmtid="{D5CDD505-2E9C-101B-9397-08002B2CF9AE}" pid="4" name="Symbol1">
    <vt:lpwstr>ECE/TRANS/WP.29/GRE/2015/39</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091015</vt:lpwstr>
  </property>
</Properties>
</file>