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8A" w:rsidRPr="009220CF" w:rsidRDefault="00B3028A" w:rsidP="00B3028A">
      <w:pPr>
        <w:spacing w:line="60" w:lineRule="exact"/>
        <w:rPr>
          <w:color w:val="010000"/>
          <w:sz w:val="6"/>
        </w:rPr>
        <w:sectPr w:rsidR="00B3028A" w:rsidRPr="009220CF" w:rsidSect="00B302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9220CF">
        <w:rPr>
          <w:rStyle w:val="CommentReference"/>
        </w:rPr>
        <w:commentReference w:id="0"/>
      </w:r>
      <w:bookmarkStart w:id="1" w:name="_GoBack"/>
      <w:bookmarkEnd w:id="1"/>
    </w:p>
    <w:p w:rsidR="009220CF" w:rsidRDefault="009220CF" w:rsidP="009220C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  <w:lang w:val="en-US"/>
        </w:rPr>
      </w:pPr>
      <w:r w:rsidRPr="009220CF">
        <w:rPr>
          <w:sz w:val="28"/>
          <w:szCs w:val="28"/>
        </w:rPr>
        <w:lastRenderedPageBreak/>
        <w:t>Европейская экономическая комиссия</w:t>
      </w:r>
    </w:p>
    <w:p w:rsidR="009220CF" w:rsidRPr="009220CF" w:rsidRDefault="009220CF" w:rsidP="009220CF">
      <w:pPr>
        <w:spacing w:line="120" w:lineRule="exact"/>
        <w:rPr>
          <w:sz w:val="10"/>
          <w:lang w:val="en-US"/>
        </w:rPr>
      </w:pPr>
    </w:p>
    <w:p w:rsidR="009220CF" w:rsidRDefault="009220CF" w:rsidP="009220C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  <w:lang w:val="en-US"/>
        </w:rPr>
      </w:pPr>
      <w:r w:rsidRPr="009220CF">
        <w:rPr>
          <w:b w:val="0"/>
          <w:sz w:val="28"/>
          <w:szCs w:val="28"/>
        </w:rPr>
        <w:t>Комитет по внутреннему транспорту</w:t>
      </w:r>
    </w:p>
    <w:p w:rsidR="009220CF" w:rsidRPr="009220CF" w:rsidRDefault="009220CF" w:rsidP="009220CF">
      <w:pPr>
        <w:spacing w:line="120" w:lineRule="exact"/>
        <w:rPr>
          <w:sz w:val="10"/>
          <w:lang w:val="en-US"/>
        </w:rPr>
      </w:pPr>
    </w:p>
    <w:p w:rsidR="009220CF" w:rsidRDefault="009220CF" w:rsidP="009220C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9220CF">
        <w:t>Всемирны</w:t>
      </w:r>
      <w:r>
        <w:t>й форум для согласования правил</w:t>
      </w:r>
      <w:r w:rsidRPr="009220CF">
        <w:br/>
        <w:t>в области транспортных средств</w:t>
      </w:r>
    </w:p>
    <w:p w:rsidR="009220CF" w:rsidRPr="009220CF" w:rsidRDefault="009220CF" w:rsidP="009220CF">
      <w:pPr>
        <w:spacing w:line="120" w:lineRule="exact"/>
        <w:rPr>
          <w:sz w:val="10"/>
          <w:lang w:val="en-US"/>
        </w:rPr>
      </w:pPr>
    </w:p>
    <w:p w:rsidR="009220CF" w:rsidRDefault="009220CF" w:rsidP="009220C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  <w:lang w:val="en-US"/>
        </w:rPr>
      </w:pPr>
      <w:r w:rsidRPr="009220CF">
        <w:t xml:space="preserve">Рабочая группа по вопросам освещения </w:t>
      </w:r>
      <w:r w:rsidRPr="009220CF">
        <w:br/>
      </w:r>
      <w:r w:rsidRPr="009220CF">
        <w:rPr>
          <w:bCs/>
        </w:rPr>
        <w:t>и световой сигнализации</w:t>
      </w:r>
    </w:p>
    <w:p w:rsidR="009220CF" w:rsidRPr="009220CF" w:rsidRDefault="009220CF" w:rsidP="009220CF">
      <w:pPr>
        <w:spacing w:line="120" w:lineRule="exact"/>
        <w:rPr>
          <w:sz w:val="10"/>
          <w:lang w:val="en-US"/>
        </w:rPr>
      </w:pPr>
    </w:p>
    <w:p w:rsidR="009220CF" w:rsidRPr="009220CF" w:rsidRDefault="009220CF" w:rsidP="009220C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220CF">
        <w:t>Семьдесят четвертая сессия</w:t>
      </w:r>
    </w:p>
    <w:p w:rsidR="009220CF" w:rsidRPr="009220CF" w:rsidRDefault="009220CF" w:rsidP="009220CF">
      <w:pPr>
        <w:rPr>
          <w:bCs/>
        </w:rPr>
      </w:pPr>
      <w:r w:rsidRPr="009220CF">
        <w:t>Женева, 20–23 октября 2015 года</w:t>
      </w:r>
    </w:p>
    <w:p w:rsidR="009220CF" w:rsidRPr="009220CF" w:rsidRDefault="009220CF" w:rsidP="009220CF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220CF">
        <w:t xml:space="preserve">Пункт 7 </w:t>
      </w:r>
      <w:r w:rsidRPr="009220CF">
        <w:rPr>
          <w:lang w:val="en-US"/>
        </w:rPr>
        <w:t>b</w:t>
      </w:r>
      <w:r w:rsidRPr="009220CF">
        <w:t>) предварительной повестки дня</w:t>
      </w:r>
    </w:p>
    <w:p w:rsidR="009220CF" w:rsidRDefault="009220CF" w:rsidP="009220C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9220CF">
        <w:t xml:space="preserve">Другие правила − Правила № 10 </w:t>
      </w:r>
      <w:r w:rsidRPr="009220CF">
        <w:br/>
        <w:t>(электромагнитная совместимость)</w:t>
      </w:r>
    </w:p>
    <w:p w:rsidR="009220CF" w:rsidRPr="009220CF" w:rsidRDefault="009220CF" w:rsidP="009220CF">
      <w:pPr>
        <w:spacing w:line="120" w:lineRule="exact"/>
        <w:rPr>
          <w:sz w:val="10"/>
          <w:lang w:val="en-US"/>
        </w:rPr>
      </w:pPr>
    </w:p>
    <w:p w:rsidR="009220CF" w:rsidRPr="009220CF" w:rsidRDefault="009220CF" w:rsidP="009220CF">
      <w:pPr>
        <w:spacing w:line="120" w:lineRule="exact"/>
        <w:rPr>
          <w:sz w:val="10"/>
          <w:lang w:val="en-US"/>
        </w:rPr>
      </w:pPr>
    </w:p>
    <w:p w:rsidR="009220CF" w:rsidRPr="009220CF" w:rsidRDefault="009220CF" w:rsidP="009220CF">
      <w:pPr>
        <w:spacing w:line="120" w:lineRule="exact"/>
        <w:rPr>
          <w:sz w:val="10"/>
          <w:lang w:val="en-US"/>
        </w:rPr>
      </w:pPr>
    </w:p>
    <w:p w:rsidR="009220CF" w:rsidRDefault="009220CF" w:rsidP="009220C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9220CF">
        <w:tab/>
      </w:r>
      <w:r w:rsidRPr="009220CF">
        <w:tab/>
        <w:t>Предложение по дополнениям к поправкам серий 04 и 05 к Правилам № 10 (электромагнитная совместимость)</w:t>
      </w:r>
    </w:p>
    <w:p w:rsidR="009220CF" w:rsidRPr="009220CF" w:rsidRDefault="009220CF" w:rsidP="009220CF">
      <w:pPr>
        <w:pStyle w:val="SingleTxt"/>
        <w:spacing w:after="0" w:line="120" w:lineRule="exact"/>
        <w:rPr>
          <w:sz w:val="10"/>
          <w:lang w:val="en-US"/>
        </w:rPr>
      </w:pPr>
    </w:p>
    <w:p w:rsidR="009220CF" w:rsidRPr="009220CF" w:rsidRDefault="009220CF" w:rsidP="009220CF">
      <w:pPr>
        <w:pStyle w:val="SingleTxt"/>
        <w:spacing w:after="0" w:line="120" w:lineRule="exact"/>
        <w:rPr>
          <w:sz w:val="10"/>
          <w:lang w:val="en-US"/>
        </w:rPr>
      </w:pPr>
    </w:p>
    <w:p w:rsidR="009220CF" w:rsidRPr="009220CF" w:rsidRDefault="009220CF" w:rsidP="009220C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220CF">
        <w:tab/>
      </w:r>
      <w:r w:rsidRPr="009220CF">
        <w:tab/>
        <w:t>Представлено Рабочей группой по общим предписаниям, касаю</w:t>
      </w:r>
      <w:r w:rsidR="006D2679">
        <w:t>щимся безопасности</w:t>
      </w:r>
      <w:r w:rsidRPr="009220CF">
        <w:rPr>
          <w:b w:val="0"/>
          <w:color w:val="943634" w:themeColor="accent2" w:themeShade="BF"/>
          <w:sz w:val="20"/>
        </w:rPr>
        <w:footnoteReference w:customMarkFollows="1" w:id="1"/>
        <w:t>*</w:t>
      </w:r>
    </w:p>
    <w:p w:rsidR="009220CF" w:rsidRPr="009220CF" w:rsidRDefault="009220CF" w:rsidP="009220CF">
      <w:pPr>
        <w:pStyle w:val="SingleTxt"/>
        <w:spacing w:after="0" w:line="120" w:lineRule="exact"/>
        <w:rPr>
          <w:sz w:val="10"/>
        </w:rPr>
      </w:pPr>
    </w:p>
    <w:p w:rsidR="009220CF" w:rsidRPr="009220CF" w:rsidRDefault="009220CF" w:rsidP="009220CF">
      <w:pPr>
        <w:pStyle w:val="SingleTxt"/>
        <w:spacing w:after="0" w:line="120" w:lineRule="exact"/>
        <w:rPr>
          <w:sz w:val="10"/>
        </w:rPr>
      </w:pPr>
    </w:p>
    <w:p w:rsidR="009220CF" w:rsidRPr="009220CF" w:rsidRDefault="009220CF" w:rsidP="009220CF">
      <w:pPr>
        <w:pStyle w:val="SingleTxt"/>
      </w:pPr>
      <w:r w:rsidRPr="009220CF">
        <w:tab/>
        <w:t>Воспроизведенный ниже текст был подготовлен Рабочей группой по общим предписаниям, касающимся безопасности (GRSG), в целях согласования пол</w:t>
      </w:r>
      <w:r w:rsidRPr="009220CF">
        <w:t>о</w:t>
      </w:r>
      <w:r w:rsidRPr="009220CF">
        <w:t>жений Правил № 10 с предложенными поправками к Правилам № 46 (устройства непрямого обзора) для факультативной замены зеркал заднего вида системами видеокамер/видеомонитора (</w:t>
      </w:r>
      <w:r w:rsidR="006D2679">
        <w:t xml:space="preserve">см. </w:t>
      </w:r>
      <w:r w:rsidRPr="009220CF">
        <w:t>ECE/TRANS/WP.29/GRSG/87, пункт 26). Изм</w:t>
      </w:r>
      <w:r w:rsidRPr="009220CF">
        <w:t>е</w:t>
      </w:r>
      <w:r w:rsidRPr="009220CF">
        <w:t>нения к существующему тексту Правил выделены жирным шрифтом, а текст, подлежащий исключению, − зачеркнут.</w:t>
      </w:r>
    </w:p>
    <w:p w:rsidR="009220CF" w:rsidRDefault="009220CF" w:rsidP="009220C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220CF">
        <w:br w:type="page"/>
      </w:r>
      <w:r w:rsidRPr="009220CF">
        <w:lastRenderedPageBreak/>
        <w:tab/>
        <w:t>I.</w:t>
      </w:r>
      <w:r w:rsidRPr="009220CF">
        <w:tab/>
        <w:t>Предложение</w:t>
      </w:r>
    </w:p>
    <w:p w:rsidR="009220CF" w:rsidRPr="009220CF" w:rsidRDefault="009220CF" w:rsidP="009220CF">
      <w:pPr>
        <w:pStyle w:val="SingleTxt"/>
        <w:spacing w:after="0" w:line="120" w:lineRule="exact"/>
        <w:rPr>
          <w:sz w:val="10"/>
        </w:rPr>
      </w:pPr>
    </w:p>
    <w:p w:rsidR="009220CF" w:rsidRPr="009220CF" w:rsidRDefault="009220CF" w:rsidP="009220CF">
      <w:pPr>
        <w:pStyle w:val="SingleTxt"/>
        <w:spacing w:after="0" w:line="120" w:lineRule="exact"/>
        <w:rPr>
          <w:sz w:val="10"/>
        </w:rPr>
      </w:pPr>
    </w:p>
    <w:p w:rsidR="009220CF" w:rsidRPr="009220CF" w:rsidRDefault="009220CF" w:rsidP="009220CF">
      <w:pPr>
        <w:pStyle w:val="SingleTxt"/>
        <w:rPr>
          <w:i/>
          <w:iCs/>
        </w:rPr>
      </w:pPr>
      <w:r w:rsidRPr="009220CF">
        <w:rPr>
          <w:i/>
          <w:iCs/>
        </w:rPr>
        <w:t>Приложение 2А</w:t>
      </w:r>
    </w:p>
    <w:p w:rsidR="009220CF" w:rsidRPr="009220CF" w:rsidRDefault="009220CF" w:rsidP="009220CF">
      <w:pPr>
        <w:pStyle w:val="SingleTxt"/>
      </w:pPr>
      <w:r w:rsidRPr="009220CF">
        <w:rPr>
          <w:i/>
          <w:iCs/>
        </w:rPr>
        <w:t xml:space="preserve">Пункт 51 </w:t>
      </w:r>
      <w:r w:rsidRPr="009220CF">
        <w:t xml:space="preserve">изменить следующим образом: </w:t>
      </w:r>
    </w:p>
    <w:p w:rsidR="009220CF" w:rsidRPr="009220CF" w:rsidRDefault="009220CF" w:rsidP="009220CF">
      <w:pPr>
        <w:pStyle w:val="SingleTxt"/>
        <w:ind w:left="2218" w:hanging="951"/>
      </w:pPr>
      <w:r>
        <w:t>«</w:t>
      </w:r>
      <w:r w:rsidRPr="009220CF">
        <w:t>51.</w:t>
      </w:r>
      <w:r w:rsidRPr="009220CF">
        <w:tab/>
      </w:r>
      <w:r>
        <w:tab/>
      </w:r>
      <w:r w:rsidRPr="00216EE0">
        <w:rPr>
          <w:strike/>
        </w:rPr>
        <w:t>Зеркала заднего вида (представить данные по каждому зеркалу):</w:t>
      </w:r>
      <w:r w:rsidRPr="009220CF">
        <w:t xml:space="preserve"> </w:t>
      </w:r>
      <w:r w:rsidRPr="009220CF">
        <w:rPr>
          <w:b/>
          <w:bCs/>
        </w:rPr>
        <w:t>Устройства непрямого обзора, относящиеся к области применения Правил № 46:</w:t>
      </w:r>
      <w:r>
        <w:t>»</w:t>
      </w:r>
      <w:r w:rsidRPr="009220CF">
        <w:t>.</w:t>
      </w:r>
    </w:p>
    <w:p w:rsidR="009220CF" w:rsidRPr="009220CF" w:rsidRDefault="009220CF" w:rsidP="009220CF">
      <w:pPr>
        <w:pStyle w:val="SingleTxt"/>
      </w:pPr>
      <w:r w:rsidRPr="009220CF">
        <w:rPr>
          <w:i/>
          <w:iCs/>
        </w:rPr>
        <w:t xml:space="preserve">Пункт 52 </w:t>
      </w:r>
      <w:r w:rsidRPr="009220CF">
        <w:t xml:space="preserve">изменить следующим образом: </w:t>
      </w:r>
    </w:p>
    <w:p w:rsidR="009220CF" w:rsidRDefault="009220CF" w:rsidP="009220CF">
      <w:pPr>
        <w:pStyle w:val="SingleTxt"/>
        <w:ind w:left="2218" w:hanging="951"/>
      </w:pPr>
      <w:r>
        <w:t>«</w:t>
      </w:r>
      <w:r w:rsidRPr="009220CF">
        <w:t>52.</w:t>
      </w:r>
      <w:r w:rsidRPr="009220CF">
        <w:tab/>
      </w:r>
      <w:r>
        <w:tab/>
      </w:r>
      <w:r w:rsidRPr="009220CF">
        <w:t xml:space="preserve">Краткое описание </w:t>
      </w:r>
      <w:r w:rsidRPr="009220CF">
        <w:rPr>
          <w:b/>
          <w:bCs/>
        </w:rPr>
        <w:t>электрических</w:t>
      </w:r>
      <w:r w:rsidRPr="009220CF">
        <w:t>/электронных элементов (если так</w:t>
      </w:r>
      <w:r w:rsidRPr="009220CF">
        <w:t>о</w:t>
      </w:r>
      <w:r w:rsidRPr="009220CF">
        <w:t>вые имеются)</w:t>
      </w:r>
      <w:r w:rsidRPr="00216EE0">
        <w:rPr>
          <w:strike/>
        </w:rPr>
        <w:t xml:space="preserve"> для системы регулировки</w:t>
      </w:r>
      <w:r w:rsidRPr="009220CF">
        <w:t>:</w:t>
      </w:r>
      <w:r>
        <w:t>»</w:t>
      </w:r>
      <w:r w:rsidRPr="009220CF">
        <w:t>.</w:t>
      </w:r>
    </w:p>
    <w:p w:rsidR="009220CF" w:rsidRPr="009220CF" w:rsidRDefault="009220CF" w:rsidP="009220CF">
      <w:pPr>
        <w:pStyle w:val="SingleTxt"/>
        <w:spacing w:after="0" w:line="120" w:lineRule="exact"/>
        <w:ind w:left="2218" w:hanging="951"/>
        <w:rPr>
          <w:sz w:val="10"/>
        </w:rPr>
      </w:pPr>
    </w:p>
    <w:p w:rsidR="009220CF" w:rsidRPr="009220CF" w:rsidRDefault="009220CF" w:rsidP="009220CF">
      <w:pPr>
        <w:pStyle w:val="SingleTxt"/>
        <w:spacing w:after="0" w:line="120" w:lineRule="exact"/>
        <w:ind w:left="2218" w:hanging="951"/>
        <w:rPr>
          <w:sz w:val="10"/>
        </w:rPr>
      </w:pPr>
    </w:p>
    <w:p w:rsidR="009220CF" w:rsidRDefault="009220CF" w:rsidP="009220C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220CF">
        <w:tab/>
        <w:t>II.</w:t>
      </w:r>
      <w:r w:rsidRPr="009220CF">
        <w:tab/>
        <w:t>Обоснование</w:t>
      </w:r>
    </w:p>
    <w:p w:rsidR="009220CF" w:rsidRPr="009220CF" w:rsidRDefault="009220CF" w:rsidP="009220CF">
      <w:pPr>
        <w:pStyle w:val="SingleTxt"/>
        <w:spacing w:after="0" w:line="120" w:lineRule="exact"/>
        <w:rPr>
          <w:sz w:val="10"/>
        </w:rPr>
      </w:pPr>
    </w:p>
    <w:p w:rsidR="009220CF" w:rsidRPr="009220CF" w:rsidRDefault="009220CF" w:rsidP="009220CF">
      <w:pPr>
        <w:pStyle w:val="SingleTxt"/>
        <w:spacing w:after="0" w:line="120" w:lineRule="exact"/>
        <w:rPr>
          <w:sz w:val="10"/>
        </w:rPr>
      </w:pPr>
    </w:p>
    <w:p w:rsidR="009220CF" w:rsidRPr="009220CF" w:rsidRDefault="009220CF" w:rsidP="009220CF">
      <w:pPr>
        <w:pStyle w:val="SingleTxt"/>
      </w:pPr>
      <w:r w:rsidRPr="009220CF">
        <w:t>1.</w:t>
      </w:r>
      <w:r w:rsidRPr="009220CF">
        <w:tab/>
        <w:t>Настоящее предложение предусматривает внесение поправок в положения Правил № 10, касающиеся электромагнитной совместимости, в целях включения в них транспортных средств, оснащенных устройствами непрямого обзора, так</w:t>
      </w:r>
      <w:r w:rsidRPr="009220CF">
        <w:t>и</w:t>
      </w:r>
      <w:r w:rsidRPr="009220CF">
        <w:t>ми как видеокамеры/видеомониторы.</w:t>
      </w:r>
    </w:p>
    <w:p w:rsidR="009220CF" w:rsidRPr="009220CF" w:rsidRDefault="009220CF" w:rsidP="009220CF">
      <w:pPr>
        <w:pStyle w:val="SingleTxt"/>
      </w:pPr>
      <w:r w:rsidRPr="009220CF">
        <w:t>2.</w:t>
      </w:r>
      <w:r w:rsidRPr="009220CF">
        <w:tab/>
        <w:t>Поскольку устройства непрямого обзора, такие как видеокамеры/видео</w:t>
      </w:r>
      <w:r>
        <w:t>-</w:t>
      </w:r>
      <w:r w:rsidRPr="009220CF">
        <w:t>мониторы, могут подвергаться воздействию электромагнитных помех и напр</w:t>
      </w:r>
      <w:r w:rsidRPr="009220CF">
        <w:t>я</w:t>
      </w:r>
      <w:r w:rsidRPr="009220CF">
        <w:t>мую связаны с безопасностью (непосредственное управление в соответствии с пунктом 2.12 a) iii) Правил № 10), необходимо обеспечить, чтобы соответству</w:t>
      </w:r>
      <w:r w:rsidRPr="009220CF">
        <w:t>ю</w:t>
      </w:r>
      <w:r w:rsidRPr="009220CF">
        <w:t>щее описание таких устройств было включено в информационный документ. Иными словами, применяется тот же подход, что и в случае другого аналогичн</w:t>
      </w:r>
      <w:r w:rsidRPr="009220CF">
        <w:t>о</w:t>
      </w:r>
      <w:r w:rsidRPr="009220CF">
        <w:t>го оборудования, установленного на транспортном средстве.</w:t>
      </w:r>
    </w:p>
    <w:p w:rsidR="009220CF" w:rsidRPr="009220CF" w:rsidRDefault="009220CF" w:rsidP="009220CF">
      <w:pPr>
        <w:pStyle w:val="SingleTxt"/>
      </w:pPr>
      <w:r w:rsidRPr="009220CF">
        <w:t>3.</w:t>
      </w:r>
      <w:r w:rsidRPr="009220CF">
        <w:tab/>
        <w:t>Текст пункта 52 будет соответствовать пунктам 50, 54, 62 и пр.</w:t>
      </w:r>
    </w:p>
    <w:p w:rsidR="00B3028A" w:rsidRPr="009220CF" w:rsidRDefault="009220CF" w:rsidP="009220C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3028A" w:rsidRPr="009220CF" w:rsidSect="00B3028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5T10:36:00Z" w:initials="Start">
    <w:p w:rsidR="00B3028A" w:rsidRPr="009220CF" w:rsidRDefault="00B3028A">
      <w:pPr>
        <w:pStyle w:val="CommentText"/>
        <w:rPr>
          <w:lang w:val="en-US"/>
        </w:rPr>
      </w:pPr>
      <w:r>
        <w:fldChar w:fldCharType="begin"/>
      </w:r>
      <w:r w:rsidRPr="009220CF">
        <w:rPr>
          <w:rStyle w:val="CommentReference"/>
          <w:lang w:val="en-US"/>
        </w:rPr>
        <w:instrText xml:space="preserve"> </w:instrText>
      </w:r>
      <w:r w:rsidRPr="009220CF">
        <w:rPr>
          <w:lang w:val="en-US"/>
        </w:rPr>
        <w:instrText>PAGE \# "'Page: '#'</w:instrText>
      </w:r>
      <w:r w:rsidRPr="009220CF">
        <w:rPr>
          <w:lang w:val="en-US"/>
        </w:rPr>
        <w:br/>
        <w:instrText>'"</w:instrText>
      </w:r>
      <w:r w:rsidRPr="009220C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220CF">
        <w:rPr>
          <w:lang w:val="en-US"/>
        </w:rPr>
        <w:t>&lt;&lt;ODS JOB NO&gt;&gt;N1517418R&lt;&lt;ODS JOB NO&gt;&gt;</w:t>
      </w:r>
    </w:p>
    <w:p w:rsidR="00B3028A" w:rsidRDefault="00B3028A">
      <w:pPr>
        <w:pStyle w:val="CommentText"/>
      </w:pPr>
      <w:r>
        <w:t>&lt;&lt;ODS DOC SYMBOL1&gt;&gt;ECE/TRANS/WP.29/GRE/2015/35&lt;&lt;ODS DOC SYMBOL1&gt;&gt;</w:t>
      </w:r>
    </w:p>
    <w:p w:rsidR="00B3028A" w:rsidRDefault="00B3028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4C" w:rsidRDefault="0007594C" w:rsidP="008A1A7A">
      <w:pPr>
        <w:spacing w:line="240" w:lineRule="auto"/>
      </w:pPr>
      <w:r>
        <w:separator/>
      </w:r>
    </w:p>
  </w:endnote>
  <w:endnote w:type="continuationSeparator" w:id="0">
    <w:p w:rsidR="0007594C" w:rsidRDefault="0007594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3028A" w:rsidTr="00B3028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3028A" w:rsidRPr="00B3028A" w:rsidRDefault="00B3028A" w:rsidP="00B3028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A578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1A578E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B3028A" w:rsidRPr="00B3028A" w:rsidRDefault="00B3028A" w:rsidP="00B3028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672AE">
            <w:rPr>
              <w:b w:val="0"/>
              <w:color w:val="000000"/>
              <w:sz w:val="14"/>
            </w:rPr>
            <w:t>GE.15-13322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3028A" w:rsidRPr="00B3028A" w:rsidRDefault="00B3028A" w:rsidP="00B30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3028A" w:rsidTr="00B3028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3028A" w:rsidRPr="00B3028A" w:rsidRDefault="00B3028A" w:rsidP="00B3028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672AE">
            <w:rPr>
              <w:b w:val="0"/>
              <w:color w:val="000000"/>
              <w:sz w:val="14"/>
            </w:rPr>
            <w:t>GE.15-13322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3028A" w:rsidRPr="00B3028A" w:rsidRDefault="00B3028A" w:rsidP="00B3028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672AE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7672AE">
              <w:rPr>
                <w:noProof/>
              </w:rPr>
              <w:t>2</w:t>
            </w:r>
          </w:fldSimple>
        </w:p>
      </w:tc>
    </w:tr>
  </w:tbl>
  <w:p w:rsidR="00B3028A" w:rsidRPr="00B3028A" w:rsidRDefault="00B3028A" w:rsidP="00B30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3028A" w:rsidTr="00B3028A">
      <w:tc>
        <w:tcPr>
          <w:tcW w:w="3873" w:type="dxa"/>
        </w:tcPr>
        <w:p w:rsidR="00B3028A" w:rsidRDefault="00B3028A" w:rsidP="00B3028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9485266" wp14:editId="268DDF0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3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3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GE.15-13322 (R)</w:t>
          </w:r>
          <w:r>
            <w:rPr>
              <w:color w:val="010000"/>
            </w:rPr>
            <w:t xml:space="preserve">    250815    250815</w:t>
          </w:r>
        </w:p>
        <w:p w:rsidR="00B3028A" w:rsidRPr="00B3028A" w:rsidRDefault="00B3028A" w:rsidP="00B3028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*1513322*</w:t>
          </w:r>
        </w:p>
      </w:tc>
      <w:tc>
        <w:tcPr>
          <w:tcW w:w="5127" w:type="dxa"/>
        </w:tcPr>
        <w:p w:rsidR="00B3028A" w:rsidRDefault="00B3028A" w:rsidP="00B3028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BB216CA" wp14:editId="6A2117E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028A" w:rsidRPr="00B3028A" w:rsidRDefault="00B3028A" w:rsidP="00B3028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4C" w:rsidRPr="009220CF" w:rsidRDefault="009220CF" w:rsidP="009220CF">
      <w:pPr>
        <w:pStyle w:val="Footer"/>
        <w:spacing w:after="80"/>
        <w:ind w:left="792"/>
        <w:rPr>
          <w:sz w:val="16"/>
        </w:rPr>
      </w:pPr>
      <w:r w:rsidRPr="009220CF">
        <w:rPr>
          <w:sz w:val="16"/>
        </w:rPr>
        <w:t>__________________</w:t>
      </w:r>
    </w:p>
  </w:footnote>
  <w:footnote w:type="continuationSeparator" w:id="0">
    <w:p w:rsidR="0007594C" w:rsidRPr="009220CF" w:rsidRDefault="009220CF" w:rsidP="009220CF">
      <w:pPr>
        <w:pStyle w:val="Footer"/>
        <w:spacing w:after="80"/>
        <w:ind w:left="792"/>
        <w:rPr>
          <w:sz w:val="16"/>
        </w:rPr>
      </w:pPr>
      <w:r w:rsidRPr="009220CF">
        <w:rPr>
          <w:sz w:val="16"/>
        </w:rPr>
        <w:t>__________________</w:t>
      </w:r>
    </w:p>
  </w:footnote>
  <w:footnote w:id="1">
    <w:p w:rsidR="009220CF" w:rsidRPr="00D27E35" w:rsidRDefault="009220CF" w:rsidP="009220C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9220CF">
        <w:rPr>
          <w:rStyle w:val="FootnoteReference"/>
          <w:szCs w:val="17"/>
          <w:vertAlign w:val="baseline"/>
        </w:rPr>
        <w:t>*</w:t>
      </w:r>
      <w:r w:rsidRPr="00BF41ED">
        <w:tab/>
      </w:r>
      <w:r w:rsidRPr="00EF69F1">
        <w:t>В соответствии с программой работы Комитета по внутреннему транспорту на</w:t>
      </w:r>
      <w:r>
        <w:t xml:space="preserve"> 2012−2016 </w:t>
      </w:r>
      <w:r w:rsidRPr="00EF69F1">
        <w:t>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3028A" w:rsidTr="00B3028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3028A" w:rsidRPr="00B3028A" w:rsidRDefault="00B3028A" w:rsidP="00B3028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672AE">
            <w:rPr>
              <w:b/>
            </w:rPr>
            <w:t>ECE/TRANS/WP.29/GRE/2015/35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3028A" w:rsidRDefault="00B3028A" w:rsidP="00B3028A">
          <w:pPr>
            <w:pStyle w:val="Header"/>
          </w:pPr>
        </w:p>
      </w:tc>
    </w:tr>
  </w:tbl>
  <w:p w:rsidR="00B3028A" w:rsidRPr="00B3028A" w:rsidRDefault="00B3028A" w:rsidP="00B30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3028A" w:rsidTr="00B3028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3028A" w:rsidRDefault="00B3028A" w:rsidP="00B3028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3028A" w:rsidRPr="00B3028A" w:rsidRDefault="00B3028A" w:rsidP="00B3028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672AE">
            <w:rPr>
              <w:b/>
            </w:rPr>
            <w:t>ECE/TRANS/WP.29/GRE/2015/35</w:t>
          </w:r>
          <w:r>
            <w:rPr>
              <w:b/>
            </w:rPr>
            <w:fldChar w:fldCharType="end"/>
          </w:r>
        </w:p>
      </w:tc>
    </w:tr>
  </w:tbl>
  <w:p w:rsidR="00B3028A" w:rsidRPr="00B3028A" w:rsidRDefault="00B3028A" w:rsidP="00B30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3028A" w:rsidTr="00B3028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3028A" w:rsidRPr="00B3028A" w:rsidRDefault="00B3028A" w:rsidP="00B3028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3028A" w:rsidRDefault="00B3028A" w:rsidP="00B3028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3028A" w:rsidRPr="00B3028A" w:rsidRDefault="00B3028A" w:rsidP="00B3028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/TRANS/WP.29/GRE/2015/35</w:t>
          </w:r>
        </w:p>
      </w:tc>
    </w:tr>
    <w:tr w:rsidR="00B3028A" w:rsidRPr="009220CF" w:rsidTr="00B3028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028A" w:rsidRPr="00B3028A" w:rsidRDefault="00B3028A" w:rsidP="00B3028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6975F8B" wp14:editId="28394CE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028A" w:rsidRPr="00B3028A" w:rsidRDefault="00B3028A" w:rsidP="00B3028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028A" w:rsidRPr="00B3028A" w:rsidRDefault="00B3028A" w:rsidP="00B3028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028A" w:rsidRPr="009220CF" w:rsidRDefault="00B3028A" w:rsidP="00B3028A">
          <w:pPr>
            <w:pStyle w:val="Distribution"/>
            <w:rPr>
              <w:color w:val="000000"/>
              <w:lang w:val="en-US"/>
            </w:rPr>
          </w:pPr>
          <w:r w:rsidRPr="009220CF">
            <w:rPr>
              <w:color w:val="000000"/>
              <w:lang w:val="en-US"/>
            </w:rPr>
            <w:t>Distr.: General</w:t>
          </w:r>
        </w:p>
        <w:p w:rsidR="00B3028A" w:rsidRPr="009220CF" w:rsidRDefault="009220CF" w:rsidP="00B3028A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6</w:t>
          </w:r>
          <w:r w:rsidR="00B3028A" w:rsidRPr="009220CF">
            <w:rPr>
              <w:color w:val="000000"/>
              <w:lang w:val="en-US"/>
            </w:rPr>
            <w:t xml:space="preserve"> August 2015</w:t>
          </w:r>
        </w:p>
        <w:p w:rsidR="00B3028A" w:rsidRPr="009220CF" w:rsidRDefault="00B3028A" w:rsidP="00B3028A">
          <w:pPr>
            <w:rPr>
              <w:color w:val="000000"/>
              <w:lang w:val="en-US"/>
            </w:rPr>
          </w:pPr>
          <w:r w:rsidRPr="009220CF">
            <w:rPr>
              <w:color w:val="000000"/>
              <w:lang w:val="en-US"/>
            </w:rPr>
            <w:t>Russian</w:t>
          </w:r>
        </w:p>
        <w:p w:rsidR="00B3028A" w:rsidRPr="009220CF" w:rsidRDefault="00B3028A" w:rsidP="00B3028A">
          <w:pPr>
            <w:pStyle w:val="Original"/>
            <w:rPr>
              <w:color w:val="000000"/>
              <w:lang w:val="en-US"/>
            </w:rPr>
          </w:pPr>
          <w:r w:rsidRPr="009220CF">
            <w:rPr>
              <w:color w:val="000000"/>
              <w:lang w:val="en-US"/>
            </w:rPr>
            <w:t>Original: English</w:t>
          </w:r>
        </w:p>
        <w:p w:rsidR="00B3028A" w:rsidRPr="009220CF" w:rsidRDefault="00B3028A" w:rsidP="00B3028A">
          <w:pPr>
            <w:rPr>
              <w:lang w:val="en-US"/>
            </w:rPr>
          </w:pPr>
        </w:p>
      </w:tc>
    </w:tr>
  </w:tbl>
  <w:p w:rsidR="00B3028A" w:rsidRPr="009220CF" w:rsidRDefault="00B3028A" w:rsidP="00B3028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322*"/>
    <w:docVar w:name="CreationDt" w:val="8/25/2015 10:36 AM"/>
    <w:docVar w:name="DocCategory" w:val="Doc"/>
    <w:docVar w:name="DocType" w:val="Final"/>
    <w:docVar w:name="DutyStation" w:val="Geneva"/>
    <w:docVar w:name="FooterJN" w:val="GE.15-13322"/>
    <w:docVar w:name="jobn" w:val="GE.15-13322 (R)"/>
    <w:docVar w:name="jobnDT" w:val="GE.15-13322 (R)   250815"/>
    <w:docVar w:name="jobnDTDT" w:val="GE.15-13322 (R)   250815   250815"/>
    <w:docVar w:name="JobNo" w:val="GE.1513322R"/>
    <w:docVar w:name="JobNo2" w:val="1517418R"/>
    <w:docVar w:name="LocalDrive" w:val="0"/>
    <w:docVar w:name="OandT" w:val="AP"/>
    <w:docVar w:name="PaperSize" w:val="A4"/>
    <w:docVar w:name="sss1" w:val="ECE/TRANS/WP.29/GRE/2015/35"/>
    <w:docVar w:name="sss2" w:val="-"/>
    <w:docVar w:name="Symbol1" w:val="ECE/TRANS/WP.29/GRE/2015/35"/>
    <w:docVar w:name="Symbol2" w:val="-"/>
  </w:docVars>
  <w:rsids>
    <w:rsidRoot w:val="0007594C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594C"/>
    <w:rsid w:val="00076F88"/>
    <w:rsid w:val="0008067C"/>
    <w:rsid w:val="00092464"/>
    <w:rsid w:val="000A111E"/>
    <w:rsid w:val="000A4A11"/>
    <w:rsid w:val="000B02B7"/>
    <w:rsid w:val="000B3940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578E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6EE0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0B8B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C408D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2679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2AE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D006D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0CF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28A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30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28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28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28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8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30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28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28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28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8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F153-4D10-452E-A8F0-08A371C4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Benedicte Boudol</cp:lastModifiedBy>
  <cp:revision>2</cp:revision>
  <cp:lastPrinted>2015-08-25T08:55:00Z</cp:lastPrinted>
  <dcterms:created xsi:type="dcterms:W3CDTF">2015-10-12T09:45:00Z</dcterms:created>
  <dcterms:modified xsi:type="dcterms:W3CDTF">2015-10-12T09:45:00Z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1513322R</vt:lpwstr>
  </property>
  <property fmtid="{D5CDD505-2E9C-101B-9397-08002B2CF9AE}" pid="3" name="ODSRefJobNo">
    <vt:lpwstr>1517418R</vt:lpwstr>
  </property>
  <property fmtid="{D5CDD505-2E9C-101B-9397-08002B2CF9AE}" pid="4" name="Symbol1">
    <vt:lpwstr>ECE/TRANS/WP.29/GRE/2015/35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25 August 2015</vt:lpwstr>
  </property>
  <property fmtid="{D5CDD505-2E9C-101B-9397-08002B2CF9AE}" pid="12" name="Original">
    <vt:lpwstr>English</vt:lpwstr>
  </property>
  <property fmtid="{D5CDD505-2E9C-101B-9397-08002B2CF9AE}" pid="13" name="Release Date">
    <vt:lpwstr>250815</vt:lpwstr>
  </property>
</Properties>
</file>