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FB1897" w:rsidRPr="00245892" w:rsidTr="00243284">
        <w:trPr>
          <w:trHeight w:hRule="exact" w:val="851"/>
        </w:trPr>
        <w:tc>
          <w:tcPr>
            <w:tcW w:w="4900" w:type="dxa"/>
            <w:gridSpan w:val="2"/>
            <w:tcBorders>
              <w:bottom w:val="single" w:sz="4" w:space="0" w:color="auto"/>
            </w:tcBorders>
            <w:shd w:val="clear" w:color="auto" w:fill="auto"/>
            <w:vAlign w:val="bottom"/>
          </w:tcPr>
          <w:p w:rsidR="00FB1897" w:rsidRPr="00243284" w:rsidRDefault="00FB1897" w:rsidP="00243284">
            <w:pPr>
              <w:spacing w:after="80" w:line="300" w:lineRule="exact"/>
              <w:rPr>
                <w:sz w:val="28"/>
              </w:rPr>
            </w:pPr>
            <w:bookmarkStart w:id="0" w:name="_GoBack"/>
            <w:bookmarkEnd w:id="0"/>
            <w:r w:rsidRPr="00243284">
              <w:rPr>
                <w:sz w:val="28"/>
              </w:rPr>
              <w:t>Организация Объединенных Наций</w:t>
            </w:r>
          </w:p>
        </w:tc>
        <w:tc>
          <w:tcPr>
            <w:tcW w:w="195" w:type="dxa"/>
            <w:tcBorders>
              <w:bottom w:val="single" w:sz="4" w:space="0" w:color="auto"/>
            </w:tcBorders>
            <w:shd w:val="clear" w:color="auto" w:fill="auto"/>
            <w:vAlign w:val="bottom"/>
          </w:tcPr>
          <w:p w:rsidR="00FB1897" w:rsidRPr="00245892" w:rsidRDefault="00FB1897" w:rsidP="00243284">
            <w:pPr>
              <w:jc w:val="right"/>
            </w:pPr>
          </w:p>
        </w:tc>
        <w:tc>
          <w:tcPr>
            <w:tcW w:w="4544" w:type="dxa"/>
            <w:gridSpan w:val="2"/>
            <w:tcBorders>
              <w:left w:val="nil"/>
              <w:bottom w:val="single" w:sz="4" w:space="0" w:color="auto"/>
            </w:tcBorders>
            <w:shd w:val="clear" w:color="auto" w:fill="auto"/>
            <w:vAlign w:val="bottom"/>
          </w:tcPr>
          <w:p w:rsidR="00FB1897" w:rsidRPr="00245892" w:rsidRDefault="008E7D1B" w:rsidP="00243284">
            <w:pPr>
              <w:jc w:val="right"/>
            </w:pPr>
            <w:r w:rsidRPr="00243284">
              <w:rPr>
                <w:sz w:val="40"/>
                <w:szCs w:val="40"/>
                <w:lang w:val="en-US"/>
              </w:rPr>
              <w:t>ECE</w:t>
            </w:r>
            <w:r w:rsidR="00FB1897" w:rsidRPr="00245892">
              <w:t>/</w:t>
            </w:r>
            <w:fldSimple w:instr=" FILLIN  &quot;Введите символ после ЕCE/&quot;  \* MERGEFORMAT ">
              <w:r w:rsidR="003E6DE6">
                <w:t>TRANS/WP.29/GRE/2015/6</w:t>
              </w:r>
            </w:fldSimple>
            <w:r w:rsidR="00FB1897" w:rsidRPr="00245892">
              <w:t xml:space="preserve">                  </w:t>
            </w:r>
          </w:p>
        </w:tc>
      </w:tr>
      <w:tr w:rsidR="00FB1897" w:rsidRPr="00245892" w:rsidTr="00243284">
        <w:trPr>
          <w:trHeight w:hRule="exact" w:val="2835"/>
        </w:trPr>
        <w:tc>
          <w:tcPr>
            <w:tcW w:w="1280" w:type="dxa"/>
            <w:tcBorders>
              <w:top w:val="single" w:sz="4" w:space="0" w:color="auto"/>
              <w:bottom w:val="single" w:sz="12" w:space="0" w:color="auto"/>
            </w:tcBorders>
            <w:shd w:val="clear" w:color="auto" w:fill="auto"/>
          </w:tcPr>
          <w:p w:rsidR="00FB1897" w:rsidRPr="00245892" w:rsidRDefault="00223526" w:rsidP="00243284">
            <w:pPr>
              <w:spacing w:before="120"/>
              <w:jc w:val="center"/>
            </w:pPr>
            <w:r>
              <w:rPr>
                <w:noProof/>
                <w:lang w:val="en-GB" w:eastAsia="en-GB"/>
              </w:rPr>
              <w:drawing>
                <wp:inline distT="0" distB="0" distL="0" distR="0">
                  <wp:extent cx="711200" cy="592455"/>
                  <wp:effectExtent l="0" t="0" r="0"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shd w:val="clear" w:color="auto" w:fill="auto"/>
          </w:tcPr>
          <w:p w:rsidR="00FB1897" w:rsidRPr="00243284" w:rsidRDefault="00FB1897" w:rsidP="00243284">
            <w:pPr>
              <w:suppressAutoHyphens/>
              <w:spacing w:before="120" w:line="460" w:lineRule="exact"/>
              <w:rPr>
                <w:b/>
                <w:spacing w:val="-4"/>
                <w:w w:val="100"/>
                <w:sz w:val="40"/>
                <w:szCs w:val="40"/>
              </w:rPr>
            </w:pPr>
            <w:r w:rsidRPr="00243284">
              <w:rPr>
                <w:b/>
                <w:spacing w:val="-4"/>
                <w:w w:val="100"/>
                <w:sz w:val="40"/>
                <w:szCs w:val="40"/>
              </w:rPr>
              <w:t xml:space="preserve">Экономический </w:t>
            </w:r>
            <w:r w:rsidRPr="00243284">
              <w:rPr>
                <w:b/>
                <w:spacing w:val="-4"/>
                <w:w w:val="100"/>
                <w:sz w:val="40"/>
                <w:szCs w:val="40"/>
              </w:rPr>
              <w:br/>
              <w:t>и Социальный Совет</w:t>
            </w:r>
          </w:p>
        </w:tc>
        <w:tc>
          <w:tcPr>
            <w:tcW w:w="2819" w:type="dxa"/>
            <w:tcBorders>
              <w:top w:val="single" w:sz="4" w:space="0" w:color="auto"/>
              <w:bottom w:val="single" w:sz="12" w:space="0" w:color="auto"/>
            </w:tcBorders>
            <w:shd w:val="clear" w:color="auto" w:fill="auto"/>
          </w:tcPr>
          <w:p w:rsidR="00FB1897" w:rsidRPr="00245892" w:rsidRDefault="00FB1897" w:rsidP="00243284">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C87FA0">
              <w:fldChar w:fldCharType="separate"/>
            </w:r>
            <w:r w:rsidRPr="00245892">
              <w:fldChar w:fldCharType="end"/>
            </w:r>
            <w:bookmarkEnd w:id="1"/>
          </w:p>
          <w:p w:rsidR="00FB1897" w:rsidRPr="00245892" w:rsidRDefault="00FB1897" w:rsidP="00243284">
            <w:fldSimple w:instr=" FILLIN  &quot;Введите дату документа&quot; \* MERGEFORMAT ">
              <w:r w:rsidR="003E6DE6">
                <w:t>23 February 2015</w:t>
              </w:r>
            </w:fldSimple>
          </w:p>
          <w:p w:rsidR="00FB1897" w:rsidRPr="00245892" w:rsidRDefault="00FB1897" w:rsidP="00243284">
            <w:r w:rsidRPr="00245892">
              <w:t>Russian</w:t>
            </w:r>
          </w:p>
          <w:p w:rsidR="00FB1897" w:rsidRPr="00245892" w:rsidRDefault="00FB1897" w:rsidP="00243284">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C87FA0">
              <w:fldChar w:fldCharType="separate"/>
            </w:r>
            <w:r w:rsidRPr="00245892">
              <w:fldChar w:fldCharType="end"/>
            </w:r>
            <w:bookmarkEnd w:id="2"/>
          </w:p>
          <w:p w:rsidR="00FB1897" w:rsidRPr="00245892" w:rsidRDefault="00FB1897" w:rsidP="00243284"/>
        </w:tc>
      </w:tr>
    </w:tbl>
    <w:p w:rsidR="0089164B" w:rsidRPr="004B35E4" w:rsidRDefault="0089164B" w:rsidP="0089164B">
      <w:pPr>
        <w:spacing w:before="120" w:line="240" w:lineRule="auto"/>
        <w:rPr>
          <w:b/>
          <w:sz w:val="28"/>
          <w:szCs w:val="28"/>
        </w:rPr>
      </w:pPr>
      <w:r w:rsidRPr="004B35E4">
        <w:rPr>
          <w:b/>
          <w:sz w:val="28"/>
          <w:szCs w:val="28"/>
        </w:rPr>
        <w:t>Европейская экономическая комиссия</w:t>
      </w:r>
    </w:p>
    <w:p w:rsidR="0089164B" w:rsidRPr="004B35E4" w:rsidRDefault="0089164B" w:rsidP="0089164B">
      <w:pPr>
        <w:spacing w:before="120" w:line="240" w:lineRule="auto"/>
        <w:rPr>
          <w:sz w:val="28"/>
          <w:szCs w:val="28"/>
        </w:rPr>
      </w:pPr>
      <w:r w:rsidRPr="004B35E4">
        <w:rPr>
          <w:sz w:val="28"/>
          <w:szCs w:val="28"/>
        </w:rPr>
        <w:t>Комитет по внутреннему транспорту</w:t>
      </w:r>
    </w:p>
    <w:p w:rsidR="0089164B" w:rsidRPr="004B35E4" w:rsidRDefault="0089164B" w:rsidP="0089164B">
      <w:pPr>
        <w:spacing w:before="120"/>
        <w:rPr>
          <w:b/>
          <w:sz w:val="24"/>
          <w:szCs w:val="24"/>
        </w:rPr>
      </w:pPr>
      <w:r w:rsidRPr="004B35E4">
        <w:rPr>
          <w:b/>
          <w:sz w:val="24"/>
          <w:szCs w:val="24"/>
        </w:rPr>
        <w:t xml:space="preserve">Всемирный форум для согласования </w:t>
      </w:r>
      <w:r>
        <w:rPr>
          <w:b/>
          <w:sz w:val="24"/>
          <w:szCs w:val="24"/>
        </w:rPr>
        <w:t>правил</w:t>
      </w:r>
      <w:r w:rsidRPr="00103426">
        <w:rPr>
          <w:b/>
          <w:sz w:val="24"/>
          <w:szCs w:val="24"/>
        </w:rPr>
        <w:br/>
      </w:r>
      <w:r w:rsidRPr="004B35E4">
        <w:rPr>
          <w:b/>
          <w:sz w:val="24"/>
          <w:szCs w:val="24"/>
        </w:rPr>
        <w:t>в области транспортных средств</w:t>
      </w:r>
    </w:p>
    <w:p w:rsidR="0089164B" w:rsidRPr="004B35E4" w:rsidRDefault="0089164B" w:rsidP="0089164B">
      <w:pPr>
        <w:spacing w:before="120"/>
        <w:rPr>
          <w:b/>
          <w:bCs/>
        </w:rPr>
      </w:pPr>
      <w:r w:rsidRPr="004B35E4">
        <w:rPr>
          <w:b/>
          <w:bCs/>
        </w:rPr>
        <w:t xml:space="preserve">Рабочая группа по вопросам освещения </w:t>
      </w:r>
      <w:r w:rsidRPr="00103426">
        <w:rPr>
          <w:b/>
          <w:bCs/>
        </w:rPr>
        <w:br/>
      </w:r>
      <w:r w:rsidRPr="004B35E4">
        <w:rPr>
          <w:b/>
          <w:bCs/>
        </w:rPr>
        <w:t>и световой сигнализации</w:t>
      </w:r>
    </w:p>
    <w:p w:rsidR="0089164B" w:rsidRPr="004B35E4" w:rsidRDefault="0089164B" w:rsidP="0089164B">
      <w:pPr>
        <w:spacing w:before="120"/>
        <w:rPr>
          <w:b/>
        </w:rPr>
      </w:pPr>
      <w:r w:rsidRPr="004B35E4">
        <w:rPr>
          <w:b/>
        </w:rPr>
        <w:t>Семьдесят третья сессия</w:t>
      </w:r>
    </w:p>
    <w:p w:rsidR="0089164B" w:rsidRPr="004B35E4" w:rsidRDefault="0089164B" w:rsidP="0089164B">
      <w:pPr>
        <w:rPr>
          <w:bCs/>
        </w:rPr>
      </w:pPr>
      <w:r w:rsidRPr="004B35E4">
        <w:t>Женева, 14–17 апреля 2015 года</w:t>
      </w:r>
    </w:p>
    <w:p w:rsidR="0089164B" w:rsidRPr="004B35E4" w:rsidRDefault="0089164B" w:rsidP="0089164B">
      <w:pPr>
        <w:ind w:right="1134"/>
        <w:rPr>
          <w:bCs/>
        </w:rPr>
      </w:pPr>
      <w:r w:rsidRPr="004B35E4">
        <w:rPr>
          <w:bCs/>
        </w:rPr>
        <w:t xml:space="preserve">Пункт 6 </w:t>
      </w:r>
      <w:r w:rsidRPr="004B35E4">
        <w:rPr>
          <w:bCs/>
          <w:lang w:val="en-US"/>
        </w:rPr>
        <w:t>b</w:t>
      </w:r>
      <w:r w:rsidRPr="004B35E4">
        <w:rPr>
          <w:bCs/>
        </w:rPr>
        <w:t>) предварительной повестки дня</w:t>
      </w:r>
      <w:r w:rsidRPr="004B35E4">
        <w:rPr>
          <w:bCs/>
        </w:rPr>
        <w:br/>
      </w:r>
      <w:r w:rsidRPr="004B35E4">
        <w:rPr>
          <w:b/>
          <w:bCs/>
        </w:rPr>
        <w:t xml:space="preserve">Правила № 48 (установка устройств освещения и световой сигнализации) – </w:t>
      </w:r>
      <w:r w:rsidRPr="00103426">
        <w:rPr>
          <w:b/>
          <w:bCs/>
        </w:rPr>
        <w:br/>
      </w:r>
      <w:r w:rsidRPr="004B35E4">
        <w:rPr>
          <w:b/>
          <w:bCs/>
        </w:rPr>
        <w:t>Прочие предложения по поправкам к Правилам № 48</w:t>
      </w:r>
    </w:p>
    <w:p w:rsidR="0089164B" w:rsidRPr="004B35E4" w:rsidRDefault="0089164B" w:rsidP="00330A34">
      <w:pPr>
        <w:pStyle w:val="HChGR"/>
        <w:rPr>
          <w:rFonts w:eastAsia="Calibri"/>
        </w:rPr>
      </w:pPr>
      <w:r w:rsidRPr="004B35E4">
        <w:rPr>
          <w:rFonts w:eastAsia="Calibri"/>
          <w:szCs w:val="22"/>
        </w:rPr>
        <w:tab/>
      </w:r>
      <w:r w:rsidRPr="004B35E4">
        <w:rPr>
          <w:rFonts w:eastAsia="Calibri"/>
          <w:szCs w:val="22"/>
        </w:rPr>
        <w:tab/>
        <w:t>Предложение по дополнению к Правилам №</w:t>
      </w:r>
      <w:r w:rsidRPr="004B35E4">
        <w:rPr>
          <w:rFonts w:eastAsia="Calibri"/>
        </w:rPr>
        <w:t xml:space="preserve"> 48 (</w:t>
      </w:r>
      <w:r w:rsidRPr="004B35E4">
        <w:t>установка устройств освещения и световой сигнализации</w:t>
      </w:r>
      <w:r w:rsidRPr="004B35E4">
        <w:rPr>
          <w:rFonts w:eastAsia="Calibri"/>
        </w:rPr>
        <w:t>)</w:t>
      </w:r>
    </w:p>
    <w:p w:rsidR="0089164B" w:rsidRPr="00103426" w:rsidRDefault="0089164B" w:rsidP="00330A34">
      <w:pPr>
        <w:pStyle w:val="H1GR"/>
      </w:pPr>
      <w:r w:rsidRPr="0089164B">
        <w:tab/>
      </w:r>
      <w:r w:rsidRPr="0089164B">
        <w:tab/>
      </w:r>
      <w:r w:rsidRPr="00103426">
        <w:t>Представлено экспертом от Польши</w:t>
      </w:r>
      <w:r w:rsidRPr="00103426">
        <w:rPr>
          <w:sz w:val="18"/>
          <w:szCs w:val="18"/>
        </w:rPr>
        <w:footnoteReference w:customMarkFollows="1" w:id="1"/>
        <w:t>*</w:t>
      </w:r>
    </w:p>
    <w:p w:rsidR="0089164B" w:rsidRPr="004B35E4" w:rsidRDefault="0089164B" w:rsidP="00330A34">
      <w:pPr>
        <w:pStyle w:val="SingleTxtGR"/>
        <w:rPr>
          <w:rFonts w:eastAsia="Calibri"/>
        </w:rPr>
      </w:pPr>
      <w:r w:rsidRPr="0089164B">
        <w:tab/>
      </w:r>
      <w:r w:rsidRPr="004B35E4">
        <w:t>Изменения к существующему тексту Правил выделены жирным шри</w:t>
      </w:r>
      <w:r w:rsidRPr="004B35E4">
        <w:t>ф</w:t>
      </w:r>
      <w:r w:rsidRPr="004B35E4">
        <w:t>том, а текст, подлежащий исключению, − зачеркнут</w:t>
      </w:r>
      <w:r w:rsidRPr="004B35E4">
        <w:rPr>
          <w:rFonts w:eastAsia="Calibri"/>
        </w:rPr>
        <w:t>.</w:t>
      </w:r>
    </w:p>
    <w:p w:rsidR="0089164B" w:rsidRPr="0089164B" w:rsidRDefault="0089164B" w:rsidP="00330A34">
      <w:pPr>
        <w:pStyle w:val="HChGR"/>
      </w:pPr>
      <w:r w:rsidRPr="003407BF">
        <w:rPr>
          <w:sz w:val="24"/>
        </w:rPr>
        <w:br w:type="page"/>
      </w:r>
      <w:r w:rsidRPr="003407BF">
        <w:rPr>
          <w:sz w:val="24"/>
        </w:rPr>
        <w:lastRenderedPageBreak/>
        <w:tab/>
      </w:r>
      <w:r w:rsidRPr="008413DA">
        <w:rPr>
          <w:lang w:val="en-US"/>
        </w:rPr>
        <w:t>I</w:t>
      </w:r>
      <w:r w:rsidRPr="0089164B">
        <w:t>.</w:t>
      </w:r>
      <w:r w:rsidRPr="0089164B">
        <w:tab/>
      </w:r>
      <w:r w:rsidRPr="008413DA">
        <w:t>Предложение</w:t>
      </w:r>
    </w:p>
    <w:p w:rsidR="0089164B" w:rsidRPr="008413DA" w:rsidRDefault="0089164B" w:rsidP="00330A34">
      <w:pPr>
        <w:pStyle w:val="SingleTxtGR"/>
        <w:rPr>
          <w:snapToGrid w:val="0"/>
        </w:rPr>
      </w:pPr>
      <w:r w:rsidRPr="008413DA">
        <w:rPr>
          <w:i/>
          <w:snapToGrid w:val="0"/>
        </w:rPr>
        <w:t>Пункт</w:t>
      </w:r>
      <w:r w:rsidRPr="008413DA">
        <w:rPr>
          <w:snapToGrid w:val="0"/>
        </w:rPr>
        <w:t xml:space="preserve"> </w:t>
      </w:r>
      <w:r w:rsidRPr="008413DA">
        <w:rPr>
          <w:rFonts w:hint="eastAsia"/>
          <w:snapToGrid w:val="0"/>
        </w:rPr>
        <w:t>2.7.2</w:t>
      </w:r>
      <w:r w:rsidRPr="008413DA">
        <w:rPr>
          <w:snapToGrid w:val="0"/>
        </w:rPr>
        <w:t>6, изменить</w:t>
      </w:r>
      <w:r w:rsidRPr="0089164B">
        <w:rPr>
          <w:snapToGrid w:val="0"/>
        </w:rPr>
        <w:t xml:space="preserve"> </w:t>
      </w:r>
      <w:r w:rsidRPr="008413DA">
        <w:rPr>
          <w:snapToGrid w:val="0"/>
        </w:rPr>
        <w:t>нумерацию</w:t>
      </w:r>
      <w:r w:rsidRPr="0089164B">
        <w:rPr>
          <w:snapToGrid w:val="0"/>
        </w:rPr>
        <w:t xml:space="preserve"> </w:t>
      </w:r>
      <w:r w:rsidRPr="008413DA">
        <w:rPr>
          <w:snapToGrid w:val="0"/>
        </w:rPr>
        <w:t>на</w:t>
      </w:r>
      <w:r w:rsidRPr="0089164B">
        <w:rPr>
          <w:snapToGrid w:val="0"/>
        </w:rPr>
        <w:t xml:space="preserve"> </w:t>
      </w:r>
      <w:r w:rsidRPr="008413DA">
        <w:rPr>
          <w:rFonts w:hint="eastAsia"/>
          <w:snapToGrid w:val="0"/>
        </w:rPr>
        <w:t>2.7.2</w:t>
      </w:r>
      <w:r w:rsidRPr="008413DA">
        <w:rPr>
          <w:snapToGrid w:val="0"/>
        </w:rPr>
        <w:t>6</w:t>
      </w:r>
      <w:r w:rsidRPr="008413DA">
        <w:rPr>
          <w:rFonts w:hint="eastAsia"/>
          <w:snapToGrid w:val="0"/>
        </w:rPr>
        <w:t>.</w:t>
      </w:r>
      <w:r w:rsidRPr="008413DA">
        <w:rPr>
          <w:snapToGrid w:val="0"/>
        </w:rPr>
        <w:t>1.</w:t>
      </w:r>
    </w:p>
    <w:p w:rsidR="0089164B" w:rsidRPr="008413DA" w:rsidRDefault="0089164B" w:rsidP="00330A34">
      <w:pPr>
        <w:pStyle w:val="SingleTxtGR"/>
        <w:rPr>
          <w:i/>
          <w:snapToGrid w:val="0"/>
        </w:rPr>
      </w:pPr>
      <w:r w:rsidRPr="008413DA">
        <w:rPr>
          <w:i/>
          <w:snapToGrid w:val="0"/>
        </w:rPr>
        <w:t xml:space="preserve">Включить новый пункт 2.7.26.2 </w:t>
      </w:r>
      <w:r w:rsidRPr="008413DA">
        <w:rPr>
          <w:snapToGrid w:val="0"/>
        </w:rPr>
        <w:t>следующего содержания:</w:t>
      </w:r>
      <w:r w:rsidRPr="008413DA">
        <w:rPr>
          <w:i/>
          <w:snapToGrid w:val="0"/>
        </w:rPr>
        <w:t xml:space="preserve"> </w:t>
      </w:r>
    </w:p>
    <w:p w:rsidR="0089164B" w:rsidRPr="00330A34" w:rsidRDefault="0089164B" w:rsidP="00FB0852">
      <w:pPr>
        <w:pStyle w:val="SingleTxtGR"/>
        <w:ind w:left="2268" w:hanging="1134"/>
        <w:rPr>
          <w:b/>
          <w:snapToGrid w:val="0"/>
        </w:rPr>
      </w:pPr>
      <w:r w:rsidRPr="008413DA">
        <w:rPr>
          <w:b/>
          <w:snapToGrid w:val="0"/>
        </w:rPr>
        <w:t>"</w:t>
      </w:r>
      <w:r w:rsidRPr="008413DA">
        <w:rPr>
          <w:rFonts w:hint="eastAsia"/>
          <w:b/>
          <w:snapToGrid w:val="0"/>
        </w:rPr>
        <w:t>2.7.2</w:t>
      </w:r>
      <w:r w:rsidRPr="008413DA">
        <w:rPr>
          <w:b/>
          <w:snapToGrid w:val="0"/>
        </w:rPr>
        <w:t>6</w:t>
      </w:r>
      <w:r w:rsidRPr="008413DA">
        <w:rPr>
          <w:rFonts w:hint="eastAsia"/>
          <w:b/>
          <w:snapToGrid w:val="0"/>
        </w:rPr>
        <w:t>.</w:t>
      </w:r>
      <w:r w:rsidRPr="008413DA">
        <w:rPr>
          <w:b/>
          <w:snapToGrid w:val="0"/>
        </w:rPr>
        <w:t>2</w:t>
      </w:r>
      <w:r w:rsidRPr="008413DA">
        <w:rPr>
          <w:b/>
          <w:snapToGrid w:val="0"/>
        </w:rPr>
        <w:tab/>
        <w:t>"</w:t>
      </w:r>
      <w:r w:rsidRPr="008413DA">
        <w:rPr>
          <w:b/>
          <w:i/>
        </w:rPr>
        <w:t>боковой осветительный огонь</w:t>
      </w:r>
      <w:r w:rsidRPr="008413DA">
        <w:rPr>
          <w:b/>
          <w:snapToGrid w:val="0"/>
        </w:rPr>
        <w:t>" означает огонь, и</w:t>
      </w:r>
      <w:r w:rsidRPr="008413DA">
        <w:rPr>
          <w:b/>
          <w:snapToGrid w:val="0"/>
        </w:rPr>
        <w:t>с</w:t>
      </w:r>
      <w:r w:rsidRPr="008413DA">
        <w:rPr>
          <w:b/>
          <w:snapToGrid w:val="0"/>
        </w:rPr>
        <w:t>пользуемый для обеспечения дополнительного освещения той части дороги, которая находится с левой стороны транспортного средства, для улучшения видимости дороги для водителей встречных транспортных средств в том случае, если они подвергаются ослепляющему воздействию фар"</w:t>
      </w:r>
      <w:r w:rsidR="00330A34" w:rsidRPr="00330A34">
        <w:rPr>
          <w:b/>
          <w:snapToGrid w:val="0"/>
        </w:rPr>
        <w:t>.</w:t>
      </w:r>
    </w:p>
    <w:p w:rsidR="0089164B" w:rsidRPr="008413DA" w:rsidRDefault="0089164B" w:rsidP="00330A34">
      <w:pPr>
        <w:pStyle w:val="SingleTxtGR"/>
        <w:rPr>
          <w:b/>
          <w:snapToGrid w:val="0"/>
        </w:rPr>
      </w:pPr>
      <w:r w:rsidRPr="008413DA">
        <w:rPr>
          <w:i/>
          <w:snapToGrid w:val="0"/>
        </w:rPr>
        <w:t>Включить новые пункты 6.27</w:t>
      </w:r>
      <w:r w:rsidRPr="00333794">
        <w:rPr>
          <w:i/>
          <w:snapToGrid w:val="0"/>
        </w:rPr>
        <w:t>−</w:t>
      </w:r>
      <w:r w:rsidRPr="008413DA">
        <w:rPr>
          <w:i/>
          <w:snapToGrid w:val="0"/>
        </w:rPr>
        <w:t xml:space="preserve">6.27.6 </w:t>
      </w:r>
      <w:r w:rsidRPr="008413DA">
        <w:rPr>
          <w:snapToGrid w:val="0"/>
        </w:rPr>
        <w:t>следующего содержания:</w:t>
      </w:r>
    </w:p>
    <w:p w:rsidR="0089164B" w:rsidRPr="008413DA" w:rsidRDefault="0089164B" w:rsidP="00330A34">
      <w:pPr>
        <w:pStyle w:val="SingleTxtGR"/>
        <w:rPr>
          <w:b/>
          <w:snapToGrid w:val="0"/>
        </w:rPr>
      </w:pPr>
      <w:r w:rsidRPr="008413DA">
        <w:rPr>
          <w:b/>
          <w:snapToGrid w:val="0"/>
        </w:rPr>
        <w:t>"6.27</w:t>
      </w:r>
      <w:r w:rsidRPr="008413DA">
        <w:rPr>
          <w:b/>
          <w:snapToGrid w:val="0"/>
        </w:rPr>
        <w:tab/>
      </w:r>
      <w:r w:rsidR="00330A34" w:rsidRPr="00330A34">
        <w:rPr>
          <w:b/>
          <w:snapToGrid w:val="0"/>
        </w:rPr>
        <w:tab/>
      </w:r>
      <w:r w:rsidRPr="008413DA">
        <w:rPr>
          <w:b/>
          <w:snapToGrid w:val="0"/>
        </w:rPr>
        <w:t>Боковой осветительный огонь (Правила № 119)</w:t>
      </w:r>
    </w:p>
    <w:p w:rsidR="0089164B" w:rsidRPr="008413DA" w:rsidRDefault="0089164B" w:rsidP="00330A34">
      <w:pPr>
        <w:pStyle w:val="SingleTxtGR"/>
        <w:rPr>
          <w:b/>
          <w:snapToGrid w:val="0"/>
        </w:rPr>
      </w:pPr>
      <w:r w:rsidRPr="008413DA">
        <w:rPr>
          <w:b/>
          <w:snapToGrid w:val="0"/>
        </w:rPr>
        <w:t>6.27.1</w:t>
      </w:r>
      <w:r w:rsidRPr="008413DA">
        <w:rPr>
          <w:b/>
          <w:snapToGrid w:val="0"/>
        </w:rPr>
        <w:tab/>
      </w:r>
      <w:r w:rsidR="00330A34" w:rsidRPr="00330A34">
        <w:rPr>
          <w:b/>
          <w:snapToGrid w:val="0"/>
        </w:rPr>
        <w:tab/>
      </w:r>
      <w:r w:rsidRPr="008413DA">
        <w:rPr>
          <w:b/>
          <w:snapToGrid w:val="0"/>
        </w:rPr>
        <w:t>Установка</w:t>
      </w:r>
    </w:p>
    <w:p w:rsidR="0089164B" w:rsidRPr="008413DA" w:rsidRDefault="0089164B" w:rsidP="00330A34">
      <w:pPr>
        <w:pStyle w:val="SingleTxtGR"/>
        <w:rPr>
          <w:b/>
          <w:snapToGrid w:val="0"/>
        </w:rPr>
      </w:pPr>
      <w:r w:rsidRPr="008413DA">
        <w:rPr>
          <w:b/>
          <w:snapToGrid w:val="0"/>
        </w:rPr>
        <w:tab/>
      </w:r>
      <w:r w:rsidR="00330A34">
        <w:rPr>
          <w:b/>
          <w:snapToGrid w:val="0"/>
          <w:lang w:val="en-US"/>
        </w:rPr>
        <w:tab/>
      </w:r>
      <w:r w:rsidRPr="008413DA">
        <w:rPr>
          <w:b/>
          <w:snapToGrid w:val="0"/>
        </w:rPr>
        <w:t>Факультативна для автомобилей.</w:t>
      </w:r>
    </w:p>
    <w:p w:rsidR="0089164B" w:rsidRPr="008413DA" w:rsidRDefault="0089164B" w:rsidP="00330A34">
      <w:pPr>
        <w:pStyle w:val="SingleTxtGR"/>
        <w:rPr>
          <w:b/>
          <w:snapToGrid w:val="0"/>
        </w:rPr>
      </w:pPr>
      <w:r w:rsidRPr="008413DA">
        <w:rPr>
          <w:b/>
          <w:snapToGrid w:val="0"/>
        </w:rPr>
        <w:t>6.27.2</w:t>
      </w:r>
      <w:r w:rsidRPr="008413DA">
        <w:rPr>
          <w:b/>
          <w:snapToGrid w:val="0"/>
        </w:rPr>
        <w:tab/>
      </w:r>
      <w:r w:rsidR="00330A34" w:rsidRPr="00330A34">
        <w:rPr>
          <w:b/>
          <w:snapToGrid w:val="0"/>
        </w:rPr>
        <w:tab/>
      </w:r>
      <w:r w:rsidRPr="008413DA">
        <w:rPr>
          <w:b/>
          <w:snapToGrid w:val="0"/>
        </w:rPr>
        <w:t>Число</w:t>
      </w:r>
    </w:p>
    <w:p w:rsidR="0089164B" w:rsidRPr="0089164B" w:rsidRDefault="0089164B" w:rsidP="00330A34">
      <w:pPr>
        <w:pStyle w:val="SingleTxtGR"/>
        <w:rPr>
          <w:b/>
          <w:snapToGrid w:val="0"/>
        </w:rPr>
      </w:pPr>
      <w:r w:rsidRPr="008413DA">
        <w:rPr>
          <w:b/>
          <w:snapToGrid w:val="0"/>
        </w:rPr>
        <w:tab/>
      </w:r>
      <w:r w:rsidR="00330A34">
        <w:rPr>
          <w:b/>
          <w:snapToGrid w:val="0"/>
          <w:lang w:val="en-US"/>
        </w:rPr>
        <w:tab/>
      </w:r>
      <w:r w:rsidRPr="008413DA">
        <w:rPr>
          <w:b/>
          <w:snapToGrid w:val="0"/>
        </w:rPr>
        <w:t>Один</w:t>
      </w:r>
      <w:r w:rsidRPr="0089164B">
        <w:rPr>
          <w:b/>
          <w:snapToGrid w:val="0"/>
        </w:rPr>
        <w:t xml:space="preserve"> </w:t>
      </w:r>
      <w:r w:rsidRPr="008413DA">
        <w:rPr>
          <w:b/>
          <w:snapToGrid w:val="0"/>
        </w:rPr>
        <w:t>или</w:t>
      </w:r>
      <w:r w:rsidRPr="0089164B">
        <w:rPr>
          <w:b/>
          <w:snapToGrid w:val="0"/>
        </w:rPr>
        <w:t xml:space="preserve"> </w:t>
      </w:r>
      <w:r w:rsidRPr="008413DA">
        <w:rPr>
          <w:b/>
          <w:snapToGrid w:val="0"/>
        </w:rPr>
        <w:t>более</w:t>
      </w:r>
      <w:r w:rsidRPr="0089164B">
        <w:rPr>
          <w:b/>
          <w:snapToGrid w:val="0"/>
        </w:rPr>
        <w:t>.</w:t>
      </w:r>
    </w:p>
    <w:p w:rsidR="0089164B" w:rsidRPr="0089164B" w:rsidRDefault="0089164B" w:rsidP="00330A34">
      <w:pPr>
        <w:pStyle w:val="SingleTxtGR"/>
        <w:rPr>
          <w:b/>
          <w:snapToGrid w:val="0"/>
        </w:rPr>
      </w:pPr>
      <w:r w:rsidRPr="0089164B">
        <w:rPr>
          <w:b/>
          <w:snapToGrid w:val="0"/>
        </w:rPr>
        <w:t>6.27.3</w:t>
      </w:r>
      <w:r w:rsidRPr="0089164B">
        <w:rPr>
          <w:snapToGrid w:val="0"/>
        </w:rPr>
        <w:tab/>
      </w:r>
      <w:r w:rsidR="00330A34" w:rsidRPr="00330A34">
        <w:rPr>
          <w:snapToGrid w:val="0"/>
        </w:rPr>
        <w:tab/>
      </w:r>
      <w:r w:rsidRPr="008413DA">
        <w:rPr>
          <w:b/>
          <w:snapToGrid w:val="0"/>
        </w:rPr>
        <w:t>Схема</w:t>
      </w:r>
      <w:r w:rsidRPr="0089164B">
        <w:rPr>
          <w:b/>
          <w:snapToGrid w:val="0"/>
        </w:rPr>
        <w:t xml:space="preserve"> </w:t>
      </w:r>
      <w:r w:rsidRPr="008413DA">
        <w:rPr>
          <w:b/>
          <w:snapToGrid w:val="0"/>
        </w:rPr>
        <w:t>монтажа</w:t>
      </w:r>
    </w:p>
    <w:p w:rsidR="0089164B" w:rsidRPr="008413DA" w:rsidRDefault="0089164B" w:rsidP="00330A34">
      <w:pPr>
        <w:pStyle w:val="SingleTxtGR"/>
        <w:ind w:left="2268"/>
        <w:rPr>
          <w:b/>
          <w:snapToGrid w:val="0"/>
        </w:rPr>
      </w:pPr>
      <w:r w:rsidRPr="008413DA">
        <w:rPr>
          <w:b/>
          <w:snapToGrid w:val="0"/>
        </w:rPr>
        <w:t>На левой стороне в случае правостороннего движения и на правой стороне в случае левостороннего движения. Допускае</w:t>
      </w:r>
      <w:r w:rsidRPr="008413DA">
        <w:rPr>
          <w:b/>
          <w:snapToGrid w:val="0"/>
        </w:rPr>
        <w:t>т</w:t>
      </w:r>
      <w:r w:rsidRPr="008413DA">
        <w:rPr>
          <w:b/>
          <w:snapToGrid w:val="0"/>
        </w:rPr>
        <w:t>ся установка более одного огня, однако расстояние между н</w:t>
      </w:r>
      <w:r w:rsidRPr="008413DA">
        <w:rPr>
          <w:b/>
          <w:snapToGrid w:val="0"/>
        </w:rPr>
        <w:t>и</w:t>
      </w:r>
      <w:r w:rsidRPr="008413DA">
        <w:rPr>
          <w:b/>
          <w:snapToGrid w:val="0"/>
        </w:rPr>
        <w:t>ми по гор</w:t>
      </w:r>
      <w:r w:rsidRPr="008413DA">
        <w:rPr>
          <w:b/>
          <w:snapToGrid w:val="0"/>
        </w:rPr>
        <w:t>и</w:t>
      </w:r>
      <w:r w:rsidRPr="008413DA">
        <w:rPr>
          <w:b/>
          <w:snapToGrid w:val="0"/>
        </w:rPr>
        <w:t>зонтали должно составлять не менее 6 м.</w:t>
      </w:r>
    </w:p>
    <w:p w:rsidR="0089164B" w:rsidRPr="0089164B" w:rsidRDefault="0089164B" w:rsidP="00330A34">
      <w:pPr>
        <w:pStyle w:val="SingleTxtGR"/>
        <w:rPr>
          <w:b/>
          <w:snapToGrid w:val="0"/>
          <w:u w:val="single"/>
        </w:rPr>
      </w:pPr>
      <w:r w:rsidRPr="0089164B">
        <w:rPr>
          <w:b/>
          <w:snapToGrid w:val="0"/>
        </w:rPr>
        <w:t>6.27.4</w:t>
      </w:r>
      <w:r w:rsidRPr="0089164B">
        <w:rPr>
          <w:b/>
          <w:snapToGrid w:val="0"/>
        </w:rPr>
        <w:tab/>
      </w:r>
      <w:r w:rsidR="00330A34">
        <w:rPr>
          <w:b/>
          <w:snapToGrid w:val="0"/>
          <w:lang w:val="en-US"/>
        </w:rPr>
        <w:tab/>
      </w:r>
      <w:r w:rsidRPr="008413DA">
        <w:rPr>
          <w:b/>
          <w:snapToGrid w:val="0"/>
        </w:rPr>
        <w:t>Размещение</w:t>
      </w:r>
    </w:p>
    <w:p w:rsidR="0089164B" w:rsidRPr="008413DA" w:rsidRDefault="0089164B" w:rsidP="00330A34">
      <w:pPr>
        <w:pStyle w:val="SingleTxtGR"/>
        <w:rPr>
          <w:b/>
          <w:snapToGrid w:val="0"/>
        </w:rPr>
      </w:pPr>
      <w:r w:rsidRPr="0089164B">
        <w:rPr>
          <w:b/>
          <w:snapToGrid w:val="0"/>
        </w:rPr>
        <w:tab/>
      </w:r>
      <w:r w:rsidR="00330A34">
        <w:rPr>
          <w:b/>
          <w:snapToGrid w:val="0"/>
          <w:lang w:val="en-US"/>
        </w:rPr>
        <w:tab/>
      </w:r>
      <w:r w:rsidRPr="008413DA">
        <w:rPr>
          <w:b/>
          <w:snapToGrid w:val="0"/>
        </w:rPr>
        <w:t>по высоте:</w:t>
      </w:r>
      <w:r w:rsidRPr="008413DA">
        <w:rPr>
          <w:rFonts w:hint="eastAsia"/>
          <w:b/>
          <w:snapToGrid w:val="0"/>
        </w:rPr>
        <w:tab/>
      </w:r>
      <w:r w:rsidRPr="008413DA">
        <w:rPr>
          <w:b/>
          <w:snapToGrid w:val="0"/>
        </w:rPr>
        <w:t>минимум:</w:t>
      </w:r>
      <w:r w:rsidRPr="008413DA">
        <w:rPr>
          <w:b/>
          <w:snapToGrid w:val="0"/>
        </w:rPr>
        <w:tab/>
        <w:t xml:space="preserve">не менее чем 400 мм над уровнем </w:t>
      </w:r>
      <w:r w:rsidR="00FB0852" w:rsidRPr="00FB0852">
        <w:rPr>
          <w:b/>
          <w:snapToGrid w:val="0"/>
        </w:rPr>
        <w:br/>
      </w:r>
      <w:r w:rsidR="00C10812" w:rsidRPr="00C10812">
        <w:rPr>
          <w:b/>
          <w:snapToGrid w:val="0"/>
        </w:rPr>
        <w:tab/>
      </w:r>
      <w:r w:rsidR="00C10812" w:rsidRPr="00C10812">
        <w:rPr>
          <w:b/>
          <w:snapToGrid w:val="0"/>
        </w:rPr>
        <w:tab/>
      </w:r>
      <w:r w:rsidR="00643DCE" w:rsidRPr="00643DCE">
        <w:rPr>
          <w:b/>
          <w:snapToGrid w:val="0"/>
        </w:rPr>
        <w:tab/>
      </w:r>
      <w:r w:rsidR="00643DCE" w:rsidRPr="00643DCE">
        <w:rPr>
          <w:b/>
          <w:snapToGrid w:val="0"/>
        </w:rPr>
        <w:tab/>
      </w:r>
      <w:r w:rsidRPr="008413DA">
        <w:rPr>
          <w:b/>
          <w:snapToGrid w:val="0"/>
        </w:rPr>
        <w:t>гру</w:t>
      </w:r>
      <w:r w:rsidRPr="008413DA">
        <w:rPr>
          <w:b/>
          <w:snapToGrid w:val="0"/>
        </w:rPr>
        <w:t>н</w:t>
      </w:r>
      <w:r w:rsidRPr="008413DA">
        <w:rPr>
          <w:b/>
          <w:snapToGrid w:val="0"/>
        </w:rPr>
        <w:t>та;</w:t>
      </w:r>
    </w:p>
    <w:p w:rsidR="0089164B" w:rsidRPr="008413DA" w:rsidRDefault="0089164B" w:rsidP="00330A34">
      <w:pPr>
        <w:pStyle w:val="SingleTxtGR"/>
        <w:rPr>
          <w:snapToGrid w:val="0"/>
        </w:rPr>
      </w:pPr>
      <w:r w:rsidRPr="008413DA">
        <w:rPr>
          <w:rFonts w:hint="eastAsia"/>
          <w:b/>
          <w:snapToGrid w:val="0"/>
        </w:rPr>
        <w:tab/>
      </w:r>
      <w:r w:rsidRPr="008413DA">
        <w:rPr>
          <w:b/>
          <w:snapToGrid w:val="0"/>
        </w:rPr>
        <w:tab/>
      </w:r>
      <w:r w:rsidR="00643DCE" w:rsidRPr="00643DCE">
        <w:rPr>
          <w:b/>
          <w:snapToGrid w:val="0"/>
        </w:rPr>
        <w:tab/>
      </w:r>
      <w:r w:rsidR="00643DCE" w:rsidRPr="00643DCE">
        <w:rPr>
          <w:b/>
          <w:snapToGrid w:val="0"/>
        </w:rPr>
        <w:tab/>
      </w:r>
      <w:r w:rsidRPr="008413DA">
        <w:rPr>
          <w:b/>
          <w:snapToGrid w:val="0"/>
        </w:rPr>
        <w:t>максимум:</w:t>
      </w:r>
      <w:r w:rsidRPr="008413DA">
        <w:rPr>
          <w:b/>
          <w:snapToGrid w:val="0"/>
        </w:rPr>
        <w:tab/>
        <w:t xml:space="preserve">не более чем </w:t>
      </w:r>
      <w:r w:rsidRPr="008413DA">
        <w:rPr>
          <w:rFonts w:hint="eastAsia"/>
          <w:b/>
          <w:bCs/>
          <w:snapToGrid w:val="0"/>
        </w:rPr>
        <w:t>900</w:t>
      </w:r>
      <w:r w:rsidRPr="008413DA">
        <w:rPr>
          <w:b/>
          <w:snapToGrid w:val="0"/>
        </w:rPr>
        <w:t xml:space="preserve"> мм над уровнем грунта.</w:t>
      </w:r>
    </w:p>
    <w:p w:rsidR="0089164B" w:rsidRPr="008413DA" w:rsidRDefault="0089164B" w:rsidP="00330A34">
      <w:pPr>
        <w:pStyle w:val="SingleTxtGR"/>
        <w:rPr>
          <w:b/>
          <w:snapToGrid w:val="0"/>
        </w:rPr>
      </w:pPr>
      <w:r w:rsidRPr="008413DA">
        <w:rPr>
          <w:b/>
          <w:snapToGrid w:val="0"/>
        </w:rPr>
        <w:t>6.27.5</w:t>
      </w:r>
      <w:r w:rsidRPr="008413DA">
        <w:rPr>
          <w:snapToGrid w:val="0"/>
        </w:rPr>
        <w:tab/>
      </w:r>
      <w:r w:rsidR="00FB0852" w:rsidRPr="00FB0852">
        <w:rPr>
          <w:snapToGrid w:val="0"/>
        </w:rPr>
        <w:tab/>
      </w:r>
      <w:r w:rsidRPr="008413DA">
        <w:rPr>
          <w:b/>
          <w:snapToGrid w:val="0"/>
        </w:rPr>
        <w:t>Геометрическая видимость</w:t>
      </w:r>
    </w:p>
    <w:p w:rsidR="0089164B" w:rsidRPr="008413DA" w:rsidRDefault="0089164B" w:rsidP="00330A34">
      <w:pPr>
        <w:pStyle w:val="SingleTxtGR"/>
        <w:rPr>
          <w:b/>
          <w:snapToGrid w:val="0"/>
        </w:rPr>
      </w:pPr>
      <w:r w:rsidRPr="008413DA">
        <w:rPr>
          <w:b/>
          <w:snapToGrid w:val="0"/>
        </w:rPr>
        <w:tab/>
      </w:r>
      <w:r w:rsidR="00FB0852">
        <w:rPr>
          <w:b/>
          <w:snapToGrid w:val="0"/>
          <w:lang w:val="en-US"/>
        </w:rPr>
        <w:tab/>
      </w:r>
      <w:r w:rsidRPr="008413DA">
        <w:rPr>
          <w:b/>
          <w:snapToGrid w:val="0"/>
        </w:rPr>
        <w:t>определяется углами</w:t>
      </w:r>
      <w:r w:rsidRPr="008413DA">
        <w:rPr>
          <w:rFonts w:hint="eastAsia"/>
          <w:b/>
          <w:snapToGrid w:val="0"/>
        </w:rPr>
        <w:t xml:space="preserve"> </w:t>
      </w:r>
      <w:r w:rsidRPr="008413DA">
        <w:rPr>
          <w:rFonts w:hint="eastAsia"/>
          <w:b/>
          <w:snapToGrid w:val="0"/>
          <w:lang w:val="fr-FR"/>
        </w:rPr>
        <w:sym w:font="Symbol" w:char="F061"/>
      </w:r>
      <w:r w:rsidRPr="008413DA">
        <w:rPr>
          <w:b/>
          <w:snapToGrid w:val="0"/>
        </w:rPr>
        <w:t xml:space="preserve"> и </w:t>
      </w:r>
      <w:r w:rsidRPr="008413DA">
        <w:rPr>
          <w:b/>
          <w:snapToGrid w:val="0"/>
          <w:lang w:val="fr-FR"/>
        </w:rPr>
        <w:sym w:font="Symbol" w:char="F062"/>
      </w:r>
      <w:r w:rsidRPr="008413DA">
        <w:rPr>
          <w:b/>
          <w:snapToGrid w:val="0"/>
        </w:rPr>
        <w:t>, как указано в пункте 2.13:</w:t>
      </w:r>
    </w:p>
    <w:p w:rsidR="0089164B" w:rsidRPr="008413DA" w:rsidRDefault="00FB0852" w:rsidP="00330A34">
      <w:pPr>
        <w:pStyle w:val="SingleTxtGR"/>
        <w:rPr>
          <w:b/>
          <w:snapToGrid w:val="0"/>
        </w:rPr>
      </w:pPr>
      <w:r>
        <w:rPr>
          <w:b/>
          <w:snapToGrid w:val="0"/>
          <w:lang w:val="en-US"/>
        </w:rPr>
        <w:tab/>
      </w:r>
      <w:r w:rsidR="0089164B" w:rsidRPr="008413DA">
        <w:rPr>
          <w:b/>
          <w:snapToGrid w:val="0"/>
        </w:rPr>
        <w:tab/>
      </w:r>
      <w:r w:rsidR="0089164B" w:rsidRPr="008413DA">
        <w:rPr>
          <w:rFonts w:hint="eastAsia"/>
          <w:b/>
          <w:snapToGrid w:val="0"/>
          <w:lang w:val="fr-FR"/>
        </w:rPr>
        <w:sym w:font="Symbol" w:char="F061"/>
      </w:r>
      <w:r w:rsidR="0089164B" w:rsidRPr="008413DA">
        <w:rPr>
          <w:rFonts w:hint="eastAsia"/>
          <w:b/>
          <w:snapToGrid w:val="0"/>
        </w:rPr>
        <w:t xml:space="preserve"> </w:t>
      </w:r>
      <w:r w:rsidR="0089164B" w:rsidRPr="008413DA">
        <w:rPr>
          <w:b/>
          <w:snapToGrid w:val="0"/>
        </w:rPr>
        <w:t>= 2°</w:t>
      </w:r>
      <w:r w:rsidR="0089164B" w:rsidRPr="008413DA">
        <w:rPr>
          <w:rFonts w:hint="eastAsia"/>
          <w:b/>
          <w:snapToGrid w:val="0"/>
        </w:rPr>
        <w:t xml:space="preserve"> </w:t>
      </w:r>
      <w:r w:rsidR="0089164B" w:rsidRPr="008413DA">
        <w:rPr>
          <w:b/>
          <w:snapToGrid w:val="0"/>
        </w:rPr>
        <w:t xml:space="preserve">вниз и 30° вниз, </w:t>
      </w:r>
    </w:p>
    <w:p w:rsidR="0089164B" w:rsidRPr="008413DA" w:rsidRDefault="0089164B" w:rsidP="00330A34">
      <w:pPr>
        <w:pStyle w:val="SingleTxtGR"/>
        <w:rPr>
          <w:snapToGrid w:val="0"/>
        </w:rPr>
      </w:pPr>
      <w:r w:rsidRPr="008413DA">
        <w:rPr>
          <w:b/>
          <w:snapToGrid w:val="0"/>
        </w:rPr>
        <w:tab/>
      </w:r>
      <w:r w:rsidR="00FB0852">
        <w:rPr>
          <w:b/>
          <w:snapToGrid w:val="0"/>
          <w:lang w:val="en-US"/>
        </w:rPr>
        <w:tab/>
      </w:r>
      <w:r w:rsidRPr="008413DA">
        <w:rPr>
          <w:b/>
          <w:snapToGrid w:val="0"/>
          <w:lang w:val="fr-FR"/>
        </w:rPr>
        <w:sym w:font="Symbol" w:char="F062"/>
      </w:r>
      <w:r w:rsidRPr="008413DA">
        <w:rPr>
          <w:b/>
          <w:snapToGrid w:val="0"/>
        </w:rPr>
        <w:t xml:space="preserve"> = от 60° вперед до 60° назад</w:t>
      </w:r>
      <w:r w:rsidRPr="008413DA">
        <w:rPr>
          <w:snapToGrid w:val="0"/>
        </w:rPr>
        <w:t xml:space="preserve">. </w:t>
      </w:r>
    </w:p>
    <w:p w:rsidR="0089164B" w:rsidRPr="0089164B" w:rsidRDefault="0089164B" w:rsidP="00330A34">
      <w:pPr>
        <w:pStyle w:val="SingleTxtGR"/>
        <w:rPr>
          <w:b/>
          <w:snapToGrid w:val="0"/>
          <w:u w:val="single"/>
        </w:rPr>
      </w:pPr>
      <w:r w:rsidRPr="0089164B">
        <w:rPr>
          <w:b/>
          <w:snapToGrid w:val="0"/>
        </w:rPr>
        <w:t>6.27.6</w:t>
      </w:r>
      <w:r w:rsidR="00FB0852">
        <w:rPr>
          <w:b/>
          <w:snapToGrid w:val="0"/>
          <w:lang w:val="en-US"/>
        </w:rPr>
        <w:tab/>
      </w:r>
      <w:r w:rsidRPr="0089164B">
        <w:rPr>
          <w:b/>
          <w:snapToGrid w:val="0"/>
        </w:rPr>
        <w:tab/>
        <w:t>Функциональная электрическая схема</w:t>
      </w:r>
    </w:p>
    <w:p w:rsidR="0089164B" w:rsidRPr="008413DA" w:rsidRDefault="0089164B" w:rsidP="00FB0852">
      <w:pPr>
        <w:pStyle w:val="SingleTxtGR"/>
        <w:ind w:left="2268"/>
        <w:rPr>
          <w:b/>
          <w:snapToGrid w:val="0"/>
        </w:rPr>
      </w:pPr>
      <w:r w:rsidRPr="008413DA">
        <w:rPr>
          <w:b/>
          <w:snapToGrid w:val="0"/>
        </w:rPr>
        <w:t>Боковые осветительные огни должны быть подключены таким образом, чтобы их можно было включить только при одновр</w:t>
      </w:r>
      <w:r w:rsidRPr="008413DA">
        <w:rPr>
          <w:b/>
          <w:snapToGrid w:val="0"/>
        </w:rPr>
        <w:t>е</w:t>
      </w:r>
      <w:r w:rsidRPr="008413DA">
        <w:rPr>
          <w:b/>
          <w:snapToGrid w:val="0"/>
        </w:rPr>
        <w:t>менно включенных огнях ближнего света. Этот огонь можно выключать вручную или автоматически, когда транспортное средство находится в населенном пункте или в дневное время".</w:t>
      </w:r>
    </w:p>
    <w:p w:rsidR="0089164B" w:rsidRPr="008413DA" w:rsidRDefault="0089164B" w:rsidP="00FB0852">
      <w:pPr>
        <w:pStyle w:val="HChGR"/>
      </w:pPr>
      <w:r w:rsidRPr="008413DA">
        <w:tab/>
      </w:r>
      <w:r w:rsidRPr="008413DA">
        <w:rPr>
          <w:lang w:val="en-US"/>
        </w:rPr>
        <w:t>II</w:t>
      </w:r>
      <w:r w:rsidRPr="008413DA">
        <w:t>.</w:t>
      </w:r>
      <w:r w:rsidRPr="008413DA">
        <w:tab/>
        <w:t>Обоснование</w:t>
      </w:r>
    </w:p>
    <w:p w:rsidR="0089164B" w:rsidRPr="008413DA" w:rsidRDefault="0089164B" w:rsidP="00FB0852">
      <w:pPr>
        <w:pStyle w:val="SingleTxtGR"/>
      </w:pPr>
      <w:r w:rsidRPr="008413DA">
        <w:tab/>
        <w:t>Когда транспортные средства идут в противоположном направлении, в</w:t>
      </w:r>
      <w:r w:rsidRPr="008413DA">
        <w:t>о</w:t>
      </w:r>
      <w:r w:rsidRPr="008413DA">
        <w:t>дители подвергаются ослепляющему воздействию фар. В этом случае вид</w:t>
      </w:r>
      <w:r w:rsidRPr="008413DA">
        <w:t>и</w:t>
      </w:r>
      <w:r w:rsidRPr="008413DA">
        <w:t>мость ухудшается. Кроме того, практическое расстояние освещения дороги о</w:t>
      </w:r>
      <w:r w:rsidRPr="008413DA">
        <w:t>г</w:t>
      </w:r>
      <w:r w:rsidRPr="008413DA">
        <w:t>нями ближнего света без ослепляющего воздействия можно бы</w:t>
      </w:r>
      <w:r>
        <w:t>ло бы огран</w:t>
      </w:r>
      <w:r>
        <w:t>и</w:t>
      </w:r>
      <w:r>
        <w:lastRenderedPageBreak/>
        <w:t>чить расстоянием 20</w:t>
      </w:r>
      <w:r w:rsidRPr="00333794">
        <w:t>−</w:t>
      </w:r>
      <w:r w:rsidRPr="008413DA">
        <w:t>50 м. Видимость можно было бы улучшить за счет и</w:t>
      </w:r>
      <w:r w:rsidRPr="008413DA">
        <w:t>с</w:t>
      </w:r>
      <w:r w:rsidRPr="008413DA">
        <w:t>пользования дополнительного освещения/дополнительного огня для той части дороги, которая расположена с левой стороны приближающихся транспортных средств, в том случае, когда ослепленный фарами водитель "не видит" пешех</w:t>
      </w:r>
      <w:r w:rsidRPr="008413DA">
        <w:t>о</w:t>
      </w:r>
      <w:r w:rsidRPr="008413DA">
        <w:t>дов, животных и т.п., на небольшом расстоянии в свете включенных фар своего транспортного средства.</w:t>
      </w:r>
      <w:r>
        <w:t xml:space="preserve"> </w:t>
      </w:r>
      <w:r w:rsidRPr="008413DA">
        <w:t xml:space="preserve">Во многих случаях следующие за ним транспортные средства, оснащенные такими огнями, могут обеспечивать дополнительное освещение для водителей встречных транспортных средств на гораздо большем расстоянии. Поскольку эти огни направлены вниз, они не мешают другим участникам дорожного движения. Они аналогичны огням подсветки поворота, но гораздо менее видимы для других участников дорожного движения. </w:t>
      </w:r>
    </w:p>
    <w:p w:rsidR="009D6B18" w:rsidRPr="00FB0852" w:rsidRDefault="00FB0852" w:rsidP="00FB0852">
      <w:pPr>
        <w:spacing w:before="240"/>
        <w:jc w:val="center"/>
        <w:rPr>
          <w:u w:val="single"/>
        </w:rPr>
      </w:pPr>
      <w:r>
        <w:rPr>
          <w:u w:val="single"/>
        </w:rPr>
        <w:tab/>
      </w:r>
      <w:r>
        <w:rPr>
          <w:u w:val="single"/>
        </w:rPr>
        <w:tab/>
      </w:r>
      <w:r>
        <w:rPr>
          <w:u w:val="single"/>
        </w:rPr>
        <w:tab/>
      </w:r>
    </w:p>
    <w:sectPr w:rsidR="009D6B18" w:rsidRPr="00FB0852" w:rsidSect="00FB1897">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A0" w:rsidRDefault="00C87FA0">
      <w:r>
        <w:rPr>
          <w:lang w:val="en-US"/>
        </w:rPr>
        <w:tab/>
      </w:r>
      <w:r>
        <w:separator/>
      </w:r>
    </w:p>
  </w:endnote>
  <w:endnote w:type="continuationSeparator" w:id="0">
    <w:p w:rsidR="00C87FA0" w:rsidRDefault="00C8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4B" w:rsidRPr="009A6F4A" w:rsidRDefault="00A1484B">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223526">
      <w:rPr>
        <w:rStyle w:val="PageNumber"/>
        <w:noProof/>
      </w:rPr>
      <w:t>2</w:t>
    </w:r>
    <w:r>
      <w:rPr>
        <w:rStyle w:val="PageNumber"/>
      </w:rPr>
      <w:fldChar w:fldCharType="end"/>
    </w:r>
    <w:r>
      <w:rPr>
        <w:lang w:val="en-US"/>
      </w:rPr>
      <w:tab/>
      <w:t>GE.1</w:t>
    </w:r>
    <w:r w:rsidR="009D6B18">
      <w:rPr>
        <w:lang w:val="en-US"/>
      </w:rPr>
      <w:t>5</w:t>
    </w:r>
    <w:r>
      <w:rPr>
        <w:lang w:val="en-US"/>
      </w:rPr>
      <w:t>-</w:t>
    </w:r>
    <w:r w:rsidR="00330A34">
      <w:rPr>
        <w:lang w:val="en-US"/>
      </w:rPr>
      <w:t>00942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4B" w:rsidRPr="009A6F4A" w:rsidRDefault="00A1484B">
    <w:pPr>
      <w:pStyle w:val="Footer"/>
      <w:rPr>
        <w:lang w:val="en-US"/>
      </w:rPr>
    </w:pPr>
    <w:r>
      <w:rPr>
        <w:lang w:val="en-US"/>
      </w:rPr>
      <w:t>GE.1</w:t>
    </w:r>
    <w:r w:rsidR="009D6B18">
      <w:rPr>
        <w:lang w:val="en-US"/>
      </w:rPr>
      <w:t>5</w:t>
    </w:r>
    <w:r>
      <w:rPr>
        <w:lang w:val="en-US"/>
      </w:rPr>
      <w:t>-</w:t>
    </w:r>
    <w:r w:rsidR="00330A34">
      <w:rPr>
        <w:lang w:val="en-US"/>
      </w:rPr>
      <w:t>00942</w:t>
    </w:r>
    <w:r>
      <w:rPr>
        <w:lang w:val="en-US"/>
      </w:rPr>
      <w:tab/>
    </w:r>
    <w:r>
      <w:rPr>
        <w:rStyle w:val="PageNumber"/>
      </w:rPr>
      <w:fldChar w:fldCharType="begin"/>
    </w:r>
    <w:r>
      <w:rPr>
        <w:rStyle w:val="PageNumber"/>
      </w:rPr>
      <w:instrText xml:space="preserve"> PAGE </w:instrText>
    </w:r>
    <w:r>
      <w:rPr>
        <w:rStyle w:val="PageNumber"/>
      </w:rPr>
      <w:fldChar w:fldCharType="separate"/>
    </w:r>
    <w:r w:rsidR="0022352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891"/>
      <w:gridCol w:w="4638"/>
      <w:gridCol w:w="1326"/>
    </w:tblGrid>
    <w:tr w:rsidR="00A1484B" w:rsidTr="00243284">
      <w:trPr>
        <w:trHeight w:val="438"/>
      </w:trPr>
      <w:tc>
        <w:tcPr>
          <w:tcW w:w="4068" w:type="dxa"/>
          <w:shd w:val="clear" w:color="auto" w:fill="auto"/>
          <w:vAlign w:val="bottom"/>
        </w:tcPr>
        <w:p w:rsidR="00A1484B" w:rsidRDefault="00485980" w:rsidP="004A4FF8">
          <w:r w:rsidRPr="00243284">
            <w:rPr>
              <w:lang w:val="en-US"/>
            </w:rPr>
            <w:t>GE.</w:t>
          </w:r>
          <w:r w:rsidR="00A1484B" w:rsidRPr="00243284">
            <w:rPr>
              <w:lang w:val="en-US"/>
            </w:rPr>
            <w:t>1</w:t>
          </w:r>
          <w:r w:rsidR="009D6B18" w:rsidRPr="00243284">
            <w:rPr>
              <w:lang w:val="en-US"/>
            </w:rPr>
            <w:t>5</w:t>
          </w:r>
          <w:r w:rsidR="00A1484B" w:rsidRPr="00243284">
            <w:rPr>
              <w:lang w:val="en-US"/>
            </w:rPr>
            <w:t>-</w:t>
          </w:r>
          <w:r w:rsidR="004A4FF8" w:rsidRPr="00243284">
            <w:rPr>
              <w:lang w:val="en-US"/>
            </w:rPr>
            <w:t>00942</w:t>
          </w:r>
          <w:r w:rsidR="00A1484B" w:rsidRPr="00243284">
            <w:rPr>
              <w:lang w:val="en-US"/>
            </w:rPr>
            <w:t xml:space="preserve">  (R)</w:t>
          </w:r>
          <w:r w:rsidR="004A4FF8" w:rsidRPr="00243284">
            <w:rPr>
              <w:lang w:val="en-US"/>
            </w:rPr>
            <w:t xml:space="preserve">  260215   260215</w:t>
          </w:r>
        </w:p>
      </w:tc>
      <w:tc>
        <w:tcPr>
          <w:tcW w:w="4663" w:type="dxa"/>
          <w:vMerge w:val="restart"/>
          <w:shd w:val="clear" w:color="auto" w:fill="auto"/>
          <w:vAlign w:val="bottom"/>
        </w:tcPr>
        <w:p w:rsidR="00A1484B" w:rsidRDefault="00223526" w:rsidP="00243284">
          <w:pPr>
            <w:spacing w:after="120"/>
            <w:jc w:val="right"/>
          </w:pPr>
          <w:r>
            <w:rPr>
              <w:b/>
              <w:noProof/>
              <w:lang w:val="en-GB" w:eastAsia="en-GB"/>
            </w:rPr>
            <w:drawing>
              <wp:inline distT="0" distB="0" distL="0" distR="0">
                <wp:extent cx="2705100" cy="228600"/>
                <wp:effectExtent l="0" t="0" r="0"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inline>
            </w:drawing>
          </w:r>
        </w:p>
      </w:tc>
      <w:tc>
        <w:tcPr>
          <w:tcW w:w="1124" w:type="dxa"/>
          <w:vMerge w:val="restart"/>
          <w:shd w:val="clear" w:color="auto" w:fill="auto"/>
          <w:vAlign w:val="bottom"/>
        </w:tcPr>
        <w:p w:rsidR="00A1484B" w:rsidRDefault="00223526" w:rsidP="00243284">
          <w:pPr>
            <w:jc w:val="right"/>
          </w:pPr>
          <w:r>
            <w:rPr>
              <w:noProof/>
              <w:lang w:val="en-GB" w:eastAsia="en-GB"/>
            </w:rPr>
            <w:drawing>
              <wp:inline distT="0" distB="0" distL="0" distR="0">
                <wp:extent cx="702945" cy="702945"/>
                <wp:effectExtent l="0" t="0" r="1905" b="1905"/>
                <wp:docPr id="3" name="Рисунок 3" descr="http://undocs.org/m2/QRCode2.ashx?DS=ECE/TRANS/WP.29/GRE/2015/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ndocs.org/m2/QRCode2.ashx?DS=ECE/TRANS/WP.29/GRE/2015/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c>
    </w:tr>
    <w:tr w:rsidR="00A1484B" w:rsidRPr="00797A78" w:rsidTr="00243284">
      <w:tc>
        <w:tcPr>
          <w:tcW w:w="4068" w:type="dxa"/>
          <w:shd w:val="clear" w:color="auto" w:fill="auto"/>
          <w:vAlign w:val="bottom"/>
        </w:tcPr>
        <w:p w:rsidR="00A1484B" w:rsidRPr="00243284" w:rsidRDefault="004A4FF8" w:rsidP="00243284">
          <w:pPr>
            <w:spacing w:after="40"/>
            <w:rPr>
              <w:rFonts w:ascii="C39T30Lfz" w:hAnsi="C39T30Lfz"/>
              <w:spacing w:val="0"/>
              <w:w w:val="100"/>
              <w:kern w:val="0"/>
              <w:sz w:val="56"/>
              <w:szCs w:val="56"/>
              <w:lang w:val="en-US" w:eastAsia="ru-RU"/>
            </w:rPr>
          </w:pPr>
          <w:r w:rsidRPr="00243284">
            <w:rPr>
              <w:rFonts w:ascii="C39T30Lfz" w:hAnsi="C39T30Lfz"/>
              <w:spacing w:val="0"/>
              <w:w w:val="100"/>
              <w:kern w:val="0"/>
              <w:sz w:val="56"/>
              <w:szCs w:val="56"/>
              <w:lang w:val="en-US" w:eastAsia="ru-RU"/>
            </w:rPr>
            <w:t></w:t>
          </w:r>
          <w:r w:rsidRPr="00243284">
            <w:rPr>
              <w:rFonts w:ascii="C39T30Lfz" w:hAnsi="C39T30Lfz"/>
              <w:spacing w:val="0"/>
              <w:w w:val="100"/>
              <w:kern w:val="0"/>
              <w:sz w:val="56"/>
              <w:szCs w:val="56"/>
              <w:lang w:val="en-US" w:eastAsia="ru-RU"/>
            </w:rPr>
            <w:t></w:t>
          </w:r>
          <w:r w:rsidRPr="00243284">
            <w:rPr>
              <w:rFonts w:ascii="C39T30Lfz" w:hAnsi="C39T30Lfz"/>
              <w:spacing w:val="0"/>
              <w:w w:val="100"/>
              <w:kern w:val="0"/>
              <w:sz w:val="56"/>
              <w:szCs w:val="56"/>
              <w:lang w:val="en-US" w:eastAsia="ru-RU"/>
            </w:rPr>
            <w:t></w:t>
          </w:r>
          <w:r w:rsidRPr="00243284">
            <w:rPr>
              <w:rFonts w:ascii="C39T30Lfz" w:hAnsi="C39T30Lfz"/>
              <w:spacing w:val="0"/>
              <w:w w:val="100"/>
              <w:kern w:val="0"/>
              <w:sz w:val="56"/>
              <w:szCs w:val="56"/>
              <w:lang w:val="en-US" w:eastAsia="ru-RU"/>
            </w:rPr>
            <w:t></w:t>
          </w:r>
          <w:r w:rsidRPr="00243284">
            <w:rPr>
              <w:rFonts w:ascii="C39T30Lfz" w:hAnsi="C39T30Lfz"/>
              <w:spacing w:val="0"/>
              <w:w w:val="100"/>
              <w:kern w:val="0"/>
              <w:sz w:val="56"/>
              <w:szCs w:val="56"/>
              <w:lang w:val="en-US" w:eastAsia="ru-RU"/>
            </w:rPr>
            <w:t></w:t>
          </w:r>
          <w:r w:rsidRPr="00243284">
            <w:rPr>
              <w:rFonts w:ascii="C39T30Lfz" w:hAnsi="C39T30Lfz"/>
              <w:spacing w:val="0"/>
              <w:w w:val="100"/>
              <w:kern w:val="0"/>
              <w:sz w:val="56"/>
              <w:szCs w:val="56"/>
              <w:lang w:val="en-US" w:eastAsia="ru-RU"/>
            </w:rPr>
            <w:t></w:t>
          </w:r>
          <w:r w:rsidRPr="00243284">
            <w:rPr>
              <w:rFonts w:ascii="C39T30Lfz" w:hAnsi="C39T30Lfz"/>
              <w:spacing w:val="0"/>
              <w:w w:val="100"/>
              <w:kern w:val="0"/>
              <w:sz w:val="56"/>
              <w:szCs w:val="56"/>
              <w:lang w:val="en-US" w:eastAsia="ru-RU"/>
            </w:rPr>
            <w:t></w:t>
          </w:r>
          <w:r w:rsidRPr="00243284">
            <w:rPr>
              <w:rFonts w:ascii="C39T30Lfz" w:hAnsi="C39T30Lfz"/>
              <w:spacing w:val="0"/>
              <w:w w:val="100"/>
              <w:kern w:val="0"/>
              <w:sz w:val="56"/>
              <w:szCs w:val="56"/>
              <w:lang w:val="en-US" w:eastAsia="ru-RU"/>
            </w:rPr>
            <w:t></w:t>
          </w:r>
          <w:r w:rsidRPr="00243284">
            <w:rPr>
              <w:rFonts w:ascii="C39T30Lfz" w:hAnsi="C39T30Lfz"/>
              <w:spacing w:val="0"/>
              <w:w w:val="100"/>
              <w:kern w:val="0"/>
              <w:sz w:val="56"/>
              <w:szCs w:val="56"/>
              <w:lang w:val="en-US" w:eastAsia="ru-RU"/>
            </w:rPr>
            <w:t></w:t>
          </w:r>
        </w:p>
      </w:tc>
      <w:tc>
        <w:tcPr>
          <w:tcW w:w="4663" w:type="dxa"/>
          <w:vMerge/>
          <w:shd w:val="clear" w:color="auto" w:fill="auto"/>
        </w:tcPr>
        <w:p w:rsidR="00A1484B" w:rsidRDefault="00A1484B" w:rsidP="00296D2C"/>
      </w:tc>
      <w:tc>
        <w:tcPr>
          <w:tcW w:w="1124" w:type="dxa"/>
          <w:vMerge/>
          <w:shd w:val="clear" w:color="auto" w:fill="auto"/>
        </w:tcPr>
        <w:p w:rsidR="00A1484B" w:rsidRDefault="00A1484B" w:rsidP="00296D2C"/>
      </w:tc>
    </w:tr>
  </w:tbl>
  <w:p w:rsidR="00A1484B" w:rsidRDefault="00A1484B" w:rsidP="00D6059C">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A0" w:rsidRPr="00F71F63" w:rsidRDefault="00C87FA0"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87FA0" w:rsidRPr="00F71F63" w:rsidRDefault="00C87FA0" w:rsidP="00635E86">
      <w:pPr>
        <w:tabs>
          <w:tab w:val="right" w:pos="2155"/>
        </w:tabs>
        <w:spacing w:after="80" w:line="240" w:lineRule="auto"/>
        <w:rPr>
          <w:u w:val="single"/>
          <w:lang w:val="en-US"/>
        </w:rPr>
      </w:pPr>
      <w:r w:rsidRPr="00F71F63">
        <w:rPr>
          <w:u w:val="single"/>
          <w:lang w:val="en-US"/>
        </w:rPr>
        <w:tab/>
      </w:r>
    </w:p>
    <w:p w:rsidR="00C87FA0" w:rsidRPr="00635E86" w:rsidRDefault="00C87FA0" w:rsidP="00635E86">
      <w:pPr>
        <w:pStyle w:val="Footer"/>
      </w:pPr>
    </w:p>
  </w:footnote>
  <w:footnote w:id="1">
    <w:p w:rsidR="0089164B" w:rsidRPr="00F63486" w:rsidRDefault="0089164B" w:rsidP="0089164B">
      <w:pPr>
        <w:pStyle w:val="FootnoteText"/>
        <w:spacing w:line="240" w:lineRule="auto"/>
        <w:rPr>
          <w:spacing w:val="4"/>
          <w:w w:val="103"/>
          <w:lang w:val="ru-RU"/>
        </w:rPr>
      </w:pPr>
      <w:r w:rsidRPr="005759B8">
        <w:tab/>
      </w:r>
      <w:r w:rsidRPr="00F63486">
        <w:rPr>
          <w:rStyle w:val="FootnoteReference"/>
          <w:szCs w:val="18"/>
          <w:lang w:val="ru-RU"/>
        </w:rPr>
        <w:t>*</w:t>
      </w:r>
      <w:r w:rsidRPr="00F63486">
        <w:rPr>
          <w:sz w:val="20"/>
          <w:lang w:val="ru-RU"/>
        </w:rPr>
        <w:tab/>
      </w:r>
      <w:r w:rsidRPr="00103426">
        <w:rPr>
          <w:spacing w:val="4"/>
          <w:w w:val="103"/>
          <w:szCs w:val="18"/>
          <w:lang w:val="ru-RU"/>
        </w:rPr>
        <w:t>В</w:t>
      </w:r>
      <w:r w:rsidRPr="00F63486">
        <w:rPr>
          <w:spacing w:val="4"/>
          <w:w w:val="103"/>
          <w:szCs w:val="18"/>
          <w:lang w:val="ru-RU"/>
        </w:rPr>
        <w:t xml:space="preserve"> </w:t>
      </w:r>
      <w:r w:rsidRPr="00103426">
        <w:rPr>
          <w:spacing w:val="4"/>
          <w:w w:val="103"/>
          <w:szCs w:val="18"/>
          <w:lang w:val="ru-RU"/>
        </w:rPr>
        <w:t>соответствии</w:t>
      </w:r>
      <w:r w:rsidRPr="00F63486">
        <w:rPr>
          <w:spacing w:val="4"/>
          <w:w w:val="103"/>
          <w:szCs w:val="18"/>
          <w:lang w:val="ru-RU"/>
        </w:rPr>
        <w:t xml:space="preserve"> </w:t>
      </w:r>
      <w:r w:rsidRPr="00103426">
        <w:rPr>
          <w:spacing w:val="4"/>
          <w:w w:val="103"/>
          <w:szCs w:val="18"/>
          <w:lang w:val="ru-RU"/>
        </w:rPr>
        <w:t>с</w:t>
      </w:r>
      <w:r w:rsidRPr="00F63486">
        <w:rPr>
          <w:spacing w:val="4"/>
          <w:w w:val="103"/>
          <w:szCs w:val="18"/>
          <w:lang w:val="ru-RU"/>
        </w:rPr>
        <w:t xml:space="preserve"> </w:t>
      </w:r>
      <w:r w:rsidRPr="00103426">
        <w:rPr>
          <w:spacing w:val="4"/>
          <w:w w:val="103"/>
          <w:szCs w:val="18"/>
          <w:lang w:val="ru-RU"/>
        </w:rPr>
        <w:t>программой</w:t>
      </w:r>
      <w:r w:rsidRPr="00F63486">
        <w:rPr>
          <w:spacing w:val="4"/>
          <w:w w:val="103"/>
          <w:szCs w:val="18"/>
          <w:lang w:val="ru-RU"/>
        </w:rPr>
        <w:t xml:space="preserve"> </w:t>
      </w:r>
      <w:r w:rsidRPr="00103426">
        <w:rPr>
          <w:spacing w:val="4"/>
          <w:w w:val="103"/>
          <w:szCs w:val="18"/>
          <w:lang w:val="ru-RU"/>
        </w:rPr>
        <w:t>работы</w:t>
      </w:r>
      <w:r w:rsidRPr="00F63486">
        <w:rPr>
          <w:spacing w:val="4"/>
          <w:w w:val="103"/>
          <w:szCs w:val="18"/>
          <w:lang w:val="ru-RU"/>
        </w:rPr>
        <w:t xml:space="preserve"> </w:t>
      </w:r>
      <w:r w:rsidRPr="00103426">
        <w:rPr>
          <w:spacing w:val="4"/>
          <w:w w:val="103"/>
          <w:szCs w:val="18"/>
          <w:lang w:val="ru-RU"/>
        </w:rPr>
        <w:t>Комитета</w:t>
      </w:r>
      <w:r w:rsidRPr="00F63486">
        <w:rPr>
          <w:spacing w:val="4"/>
          <w:w w:val="103"/>
          <w:szCs w:val="18"/>
          <w:lang w:val="ru-RU"/>
        </w:rPr>
        <w:t xml:space="preserve"> </w:t>
      </w:r>
      <w:r w:rsidRPr="00103426">
        <w:rPr>
          <w:spacing w:val="4"/>
          <w:w w:val="103"/>
          <w:szCs w:val="18"/>
          <w:lang w:val="ru-RU"/>
        </w:rPr>
        <w:t>по</w:t>
      </w:r>
      <w:r w:rsidRPr="00F63486">
        <w:rPr>
          <w:spacing w:val="4"/>
          <w:w w:val="103"/>
          <w:szCs w:val="18"/>
          <w:lang w:val="ru-RU"/>
        </w:rPr>
        <w:t xml:space="preserve"> </w:t>
      </w:r>
      <w:r w:rsidRPr="00103426">
        <w:rPr>
          <w:spacing w:val="4"/>
          <w:w w:val="103"/>
          <w:szCs w:val="18"/>
          <w:lang w:val="ru-RU"/>
        </w:rPr>
        <w:t>внутреннему</w:t>
      </w:r>
      <w:r w:rsidRPr="00F63486">
        <w:rPr>
          <w:spacing w:val="4"/>
          <w:w w:val="103"/>
          <w:szCs w:val="18"/>
          <w:lang w:val="ru-RU"/>
        </w:rPr>
        <w:t xml:space="preserve"> </w:t>
      </w:r>
      <w:r w:rsidRPr="00103426">
        <w:rPr>
          <w:spacing w:val="4"/>
          <w:w w:val="103"/>
          <w:szCs w:val="18"/>
          <w:lang w:val="ru-RU"/>
        </w:rPr>
        <w:t>транспорту</w:t>
      </w:r>
      <w:r w:rsidRPr="00F63486">
        <w:rPr>
          <w:spacing w:val="4"/>
          <w:w w:val="103"/>
          <w:szCs w:val="18"/>
          <w:lang w:val="ru-RU"/>
        </w:rPr>
        <w:t xml:space="preserve"> </w:t>
      </w:r>
      <w:r w:rsidRPr="00103426">
        <w:rPr>
          <w:spacing w:val="4"/>
          <w:w w:val="103"/>
          <w:szCs w:val="18"/>
          <w:lang w:val="ru-RU"/>
        </w:rPr>
        <w:t>на</w:t>
      </w:r>
      <w:r w:rsidRPr="00F63486">
        <w:rPr>
          <w:spacing w:val="4"/>
          <w:w w:val="103"/>
          <w:szCs w:val="18"/>
          <w:lang w:val="ru-RU"/>
        </w:rPr>
        <w:t xml:space="preserve"> 2012−2016 </w:t>
      </w:r>
      <w:r w:rsidRPr="00103426">
        <w:rPr>
          <w:spacing w:val="4"/>
          <w:w w:val="103"/>
          <w:szCs w:val="18"/>
          <w:lang w:val="ru-RU"/>
        </w:rPr>
        <w:t>годы</w:t>
      </w:r>
      <w:r w:rsidRPr="00F63486">
        <w:rPr>
          <w:spacing w:val="4"/>
          <w:w w:val="103"/>
          <w:szCs w:val="18"/>
          <w:lang w:val="ru-RU"/>
        </w:rPr>
        <w:t xml:space="preserve"> (</w:t>
      </w:r>
      <w:r w:rsidRPr="00103426">
        <w:rPr>
          <w:spacing w:val="4"/>
          <w:w w:val="103"/>
          <w:szCs w:val="18"/>
        </w:rPr>
        <w:t>ECE</w:t>
      </w:r>
      <w:r w:rsidRPr="00F63486">
        <w:rPr>
          <w:spacing w:val="4"/>
          <w:w w:val="103"/>
          <w:szCs w:val="18"/>
          <w:lang w:val="ru-RU"/>
        </w:rPr>
        <w:t>/</w:t>
      </w:r>
      <w:r w:rsidRPr="00103426">
        <w:rPr>
          <w:spacing w:val="4"/>
          <w:w w:val="103"/>
          <w:szCs w:val="18"/>
        </w:rPr>
        <w:t>TRANS</w:t>
      </w:r>
      <w:r w:rsidRPr="00F63486">
        <w:rPr>
          <w:spacing w:val="4"/>
          <w:w w:val="103"/>
          <w:szCs w:val="18"/>
          <w:lang w:val="ru-RU"/>
        </w:rPr>
        <w:t xml:space="preserve">/224, </w:t>
      </w:r>
      <w:r w:rsidRPr="00103426">
        <w:rPr>
          <w:spacing w:val="4"/>
          <w:w w:val="103"/>
          <w:szCs w:val="18"/>
          <w:lang w:val="ru-RU"/>
        </w:rPr>
        <w:t>пункт</w:t>
      </w:r>
      <w:r w:rsidRPr="00F63486">
        <w:rPr>
          <w:spacing w:val="4"/>
          <w:w w:val="103"/>
          <w:szCs w:val="18"/>
          <w:lang w:val="ru-RU"/>
        </w:rPr>
        <w:t xml:space="preserve"> 94, </w:t>
      </w:r>
      <w:r w:rsidRPr="00103426">
        <w:rPr>
          <w:spacing w:val="4"/>
          <w:w w:val="103"/>
          <w:szCs w:val="18"/>
          <w:lang w:val="ru-RU"/>
        </w:rPr>
        <w:t>и</w:t>
      </w:r>
      <w:r w:rsidRPr="00F63486">
        <w:rPr>
          <w:spacing w:val="4"/>
          <w:w w:val="103"/>
          <w:szCs w:val="18"/>
          <w:lang w:val="ru-RU"/>
        </w:rPr>
        <w:t xml:space="preserve"> </w:t>
      </w:r>
      <w:r w:rsidRPr="00103426">
        <w:rPr>
          <w:spacing w:val="4"/>
          <w:w w:val="103"/>
          <w:szCs w:val="18"/>
        </w:rPr>
        <w:t>ECE</w:t>
      </w:r>
      <w:r w:rsidRPr="00F63486">
        <w:rPr>
          <w:spacing w:val="4"/>
          <w:w w:val="103"/>
          <w:szCs w:val="18"/>
          <w:lang w:val="ru-RU"/>
        </w:rPr>
        <w:t>/</w:t>
      </w:r>
      <w:r w:rsidRPr="00103426">
        <w:rPr>
          <w:spacing w:val="4"/>
          <w:w w:val="103"/>
          <w:szCs w:val="18"/>
        </w:rPr>
        <w:t>TRANS</w:t>
      </w:r>
      <w:r w:rsidRPr="00F63486">
        <w:rPr>
          <w:spacing w:val="4"/>
          <w:w w:val="103"/>
          <w:szCs w:val="18"/>
          <w:lang w:val="ru-RU"/>
        </w:rPr>
        <w:t xml:space="preserve">/2012/12, </w:t>
      </w:r>
      <w:r w:rsidRPr="00103426">
        <w:rPr>
          <w:spacing w:val="4"/>
          <w:w w:val="103"/>
          <w:szCs w:val="18"/>
          <w:lang w:val="ru-RU"/>
        </w:rPr>
        <w:t>подпрограмма</w:t>
      </w:r>
      <w:r w:rsidR="00A96ECD">
        <w:rPr>
          <w:spacing w:val="4"/>
          <w:w w:val="103"/>
          <w:szCs w:val="18"/>
          <w:lang w:val="en-US"/>
        </w:rPr>
        <w:t> </w:t>
      </w:r>
      <w:r w:rsidRPr="00103426">
        <w:rPr>
          <w:spacing w:val="4"/>
          <w:w w:val="103"/>
          <w:szCs w:val="18"/>
          <w:lang w:val="ru-RU"/>
        </w:rPr>
        <w:t>02.4) Всемирный форум будет разрабатывать, согласовывать и</w:t>
      </w:r>
      <w:r w:rsidRPr="00F63486">
        <w:rPr>
          <w:spacing w:val="4"/>
          <w:w w:val="103"/>
          <w:szCs w:val="18"/>
          <w:lang w:val="ru-RU"/>
        </w:rPr>
        <w:t xml:space="preserve"> </w:t>
      </w:r>
      <w:r w:rsidRPr="00103426">
        <w:rPr>
          <w:spacing w:val="4"/>
          <w:w w:val="103"/>
          <w:szCs w:val="18"/>
          <w:lang w:val="ru-RU"/>
        </w:rPr>
        <w:t>обновлять</w:t>
      </w:r>
      <w:r w:rsidRPr="00F63486">
        <w:rPr>
          <w:spacing w:val="4"/>
          <w:w w:val="103"/>
          <w:szCs w:val="18"/>
          <w:lang w:val="ru-RU"/>
        </w:rPr>
        <w:t xml:space="preserve"> </w:t>
      </w:r>
      <w:r w:rsidRPr="00103426">
        <w:rPr>
          <w:spacing w:val="4"/>
          <w:w w:val="103"/>
          <w:szCs w:val="18"/>
          <w:lang w:val="ru-RU"/>
        </w:rPr>
        <w:t>правила</w:t>
      </w:r>
      <w:r w:rsidRPr="00F63486">
        <w:rPr>
          <w:spacing w:val="4"/>
          <w:w w:val="103"/>
          <w:szCs w:val="18"/>
          <w:lang w:val="ru-RU"/>
        </w:rPr>
        <w:t xml:space="preserve"> </w:t>
      </w:r>
      <w:r w:rsidRPr="00103426">
        <w:rPr>
          <w:spacing w:val="4"/>
          <w:w w:val="103"/>
          <w:szCs w:val="18"/>
          <w:lang w:val="ru-RU"/>
        </w:rPr>
        <w:t>в</w:t>
      </w:r>
      <w:r w:rsidRPr="00F63486">
        <w:rPr>
          <w:spacing w:val="4"/>
          <w:w w:val="103"/>
          <w:szCs w:val="18"/>
          <w:lang w:val="ru-RU"/>
        </w:rPr>
        <w:t xml:space="preserve"> </w:t>
      </w:r>
      <w:r w:rsidRPr="00103426">
        <w:rPr>
          <w:spacing w:val="4"/>
          <w:w w:val="103"/>
          <w:szCs w:val="18"/>
          <w:lang w:val="ru-RU"/>
        </w:rPr>
        <w:t>целях</w:t>
      </w:r>
      <w:r w:rsidRPr="00F63486">
        <w:rPr>
          <w:spacing w:val="4"/>
          <w:w w:val="103"/>
          <w:szCs w:val="18"/>
          <w:lang w:val="ru-RU"/>
        </w:rPr>
        <w:t xml:space="preserve"> </w:t>
      </w:r>
      <w:r w:rsidRPr="00103426">
        <w:rPr>
          <w:spacing w:val="4"/>
          <w:w w:val="103"/>
          <w:szCs w:val="18"/>
          <w:lang w:val="ru-RU"/>
        </w:rPr>
        <w:t>улучшения</w:t>
      </w:r>
      <w:r w:rsidRPr="00F63486">
        <w:rPr>
          <w:spacing w:val="4"/>
          <w:w w:val="103"/>
          <w:szCs w:val="18"/>
          <w:lang w:val="ru-RU"/>
        </w:rPr>
        <w:t xml:space="preserve"> </w:t>
      </w:r>
      <w:r w:rsidRPr="00103426">
        <w:rPr>
          <w:spacing w:val="4"/>
          <w:w w:val="103"/>
          <w:szCs w:val="18"/>
          <w:lang w:val="ru-RU"/>
        </w:rPr>
        <w:t>характеристик</w:t>
      </w:r>
      <w:r w:rsidRPr="00F63486">
        <w:rPr>
          <w:spacing w:val="4"/>
          <w:w w:val="103"/>
          <w:szCs w:val="18"/>
          <w:lang w:val="ru-RU"/>
        </w:rPr>
        <w:t xml:space="preserve"> </w:t>
      </w:r>
      <w:r w:rsidRPr="00103426">
        <w:rPr>
          <w:spacing w:val="4"/>
          <w:w w:val="103"/>
          <w:szCs w:val="18"/>
          <w:lang w:val="ru-RU"/>
        </w:rPr>
        <w:t>транспортных</w:t>
      </w:r>
      <w:r w:rsidRPr="00F63486">
        <w:rPr>
          <w:spacing w:val="4"/>
          <w:w w:val="103"/>
          <w:szCs w:val="18"/>
          <w:lang w:val="ru-RU"/>
        </w:rPr>
        <w:t xml:space="preserve"> </w:t>
      </w:r>
      <w:r w:rsidRPr="00103426">
        <w:rPr>
          <w:spacing w:val="4"/>
          <w:w w:val="103"/>
          <w:szCs w:val="18"/>
          <w:lang w:val="ru-RU"/>
        </w:rPr>
        <w:t>средств</w:t>
      </w:r>
      <w:r w:rsidRPr="00F63486">
        <w:rPr>
          <w:spacing w:val="4"/>
          <w:w w:val="103"/>
          <w:szCs w:val="18"/>
          <w:lang w:val="ru-RU"/>
        </w:rPr>
        <w:t>. Настоящий документ представлен в 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4B" w:rsidRPr="00E71A0F" w:rsidRDefault="00A1484B">
    <w:pPr>
      <w:pStyle w:val="Header"/>
      <w:rPr>
        <w:lang w:val="en-US"/>
      </w:rPr>
    </w:pPr>
    <w:r>
      <w:rPr>
        <w:lang w:val="en-US"/>
      </w:rPr>
      <w:t>ECE/</w:t>
    </w:r>
    <w:r w:rsidR="004A4FF8">
      <w:rPr>
        <w:lang w:val="en-US"/>
      </w:rPr>
      <w:t>TRANS/WP.29/GRE/2015/6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4B" w:rsidRPr="009A6F4A" w:rsidRDefault="00A1484B">
    <w:pPr>
      <w:pStyle w:val="Header"/>
      <w:rPr>
        <w:lang w:val="en-US"/>
      </w:rPr>
    </w:pPr>
    <w:r>
      <w:rPr>
        <w:lang w:val="en-US"/>
      </w:rPr>
      <w:tab/>
      <w:t>E</w:t>
    </w:r>
    <w:r>
      <w:rPr>
        <w:lang w:val="ru-RU"/>
      </w:rPr>
      <w:t>СЕ</w:t>
    </w:r>
    <w:r>
      <w:rPr>
        <w:lang w:val="en-US"/>
      </w:rPr>
      <w:t>/</w:t>
    </w:r>
    <w:r w:rsidR="004A4FF8">
      <w:rPr>
        <w:lang w:val="en-US"/>
      </w:rPr>
      <w:t>TRANS/WP.29/GRE/2015/6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6"/>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117AEE"/>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23526"/>
    <w:rsid w:val="0023160A"/>
    <w:rsid w:val="00232D42"/>
    <w:rsid w:val="00237334"/>
    <w:rsid w:val="00243284"/>
    <w:rsid w:val="002444F4"/>
    <w:rsid w:val="002629A0"/>
    <w:rsid w:val="0028492B"/>
    <w:rsid w:val="00291C8F"/>
    <w:rsid w:val="00296D2C"/>
    <w:rsid w:val="002C5036"/>
    <w:rsid w:val="002C6A71"/>
    <w:rsid w:val="002C6D5F"/>
    <w:rsid w:val="002D15EA"/>
    <w:rsid w:val="002D6C07"/>
    <w:rsid w:val="002E0CE6"/>
    <w:rsid w:val="002E1163"/>
    <w:rsid w:val="002E43F3"/>
    <w:rsid w:val="003215F5"/>
    <w:rsid w:val="00330A34"/>
    <w:rsid w:val="00332891"/>
    <w:rsid w:val="00356BB2"/>
    <w:rsid w:val="00360477"/>
    <w:rsid w:val="00367FC9"/>
    <w:rsid w:val="003711A1"/>
    <w:rsid w:val="00372123"/>
    <w:rsid w:val="00386581"/>
    <w:rsid w:val="00387100"/>
    <w:rsid w:val="003951D3"/>
    <w:rsid w:val="003978C6"/>
    <w:rsid w:val="003B40A9"/>
    <w:rsid w:val="003C016E"/>
    <w:rsid w:val="003C5DFC"/>
    <w:rsid w:val="003D5EBD"/>
    <w:rsid w:val="003E2768"/>
    <w:rsid w:val="003E6DE6"/>
    <w:rsid w:val="00401CE0"/>
    <w:rsid w:val="00403234"/>
    <w:rsid w:val="00407AC3"/>
    <w:rsid w:val="00414586"/>
    <w:rsid w:val="00415059"/>
    <w:rsid w:val="00421CE3"/>
    <w:rsid w:val="00424FDD"/>
    <w:rsid w:val="0043033D"/>
    <w:rsid w:val="00435FE4"/>
    <w:rsid w:val="00457634"/>
    <w:rsid w:val="00474F42"/>
    <w:rsid w:val="0048244D"/>
    <w:rsid w:val="00485980"/>
    <w:rsid w:val="004A0DE8"/>
    <w:rsid w:val="004A4CB7"/>
    <w:rsid w:val="004A4FF8"/>
    <w:rsid w:val="004A57B5"/>
    <w:rsid w:val="004B19DA"/>
    <w:rsid w:val="004C2A53"/>
    <w:rsid w:val="004C3B35"/>
    <w:rsid w:val="004C43EC"/>
    <w:rsid w:val="004E65B4"/>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58F0"/>
    <w:rsid w:val="005A6D5A"/>
    <w:rsid w:val="005B1B28"/>
    <w:rsid w:val="005B7D51"/>
    <w:rsid w:val="005B7F35"/>
    <w:rsid w:val="005C2081"/>
    <w:rsid w:val="005C678A"/>
    <w:rsid w:val="005D346D"/>
    <w:rsid w:val="005E74AB"/>
    <w:rsid w:val="00606A3E"/>
    <w:rsid w:val="006115AA"/>
    <w:rsid w:val="006120AE"/>
    <w:rsid w:val="00635E86"/>
    <w:rsid w:val="00636A37"/>
    <w:rsid w:val="00643DCE"/>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2446"/>
    <w:rsid w:val="00781ACB"/>
    <w:rsid w:val="00787EE8"/>
    <w:rsid w:val="007A79EB"/>
    <w:rsid w:val="007D4CA0"/>
    <w:rsid w:val="007D7A23"/>
    <w:rsid w:val="007E38C3"/>
    <w:rsid w:val="007E549E"/>
    <w:rsid w:val="007E71C9"/>
    <w:rsid w:val="007F7553"/>
    <w:rsid w:val="0080755E"/>
    <w:rsid w:val="00811ECD"/>
    <w:rsid w:val="008120D4"/>
    <w:rsid w:val="008139A5"/>
    <w:rsid w:val="00817F73"/>
    <w:rsid w:val="0082228E"/>
    <w:rsid w:val="00830402"/>
    <w:rsid w:val="008305D7"/>
    <w:rsid w:val="00834887"/>
    <w:rsid w:val="00842FED"/>
    <w:rsid w:val="008455CF"/>
    <w:rsid w:val="00847689"/>
    <w:rsid w:val="00861C52"/>
    <w:rsid w:val="008727A1"/>
    <w:rsid w:val="00886B0F"/>
    <w:rsid w:val="0089164B"/>
    <w:rsid w:val="00891C08"/>
    <w:rsid w:val="008A3879"/>
    <w:rsid w:val="008A5FA8"/>
    <w:rsid w:val="008A7575"/>
    <w:rsid w:val="008B5F47"/>
    <w:rsid w:val="008C7B87"/>
    <w:rsid w:val="008D6A7A"/>
    <w:rsid w:val="008E3E87"/>
    <w:rsid w:val="008E7D1B"/>
    <w:rsid w:val="008E7F13"/>
    <w:rsid w:val="008F3185"/>
    <w:rsid w:val="00915B0A"/>
    <w:rsid w:val="00926904"/>
    <w:rsid w:val="009372F0"/>
    <w:rsid w:val="00955022"/>
    <w:rsid w:val="00957B4D"/>
    <w:rsid w:val="00964EEA"/>
    <w:rsid w:val="00980C86"/>
    <w:rsid w:val="009B1D9B"/>
    <w:rsid w:val="009B4074"/>
    <w:rsid w:val="009C30BB"/>
    <w:rsid w:val="009C60BE"/>
    <w:rsid w:val="009D6B18"/>
    <w:rsid w:val="009E6279"/>
    <w:rsid w:val="009F00A6"/>
    <w:rsid w:val="009F56A7"/>
    <w:rsid w:val="009F5B05"/>
    <w:rsid w:val="00A026CA"/>
    <w:rsid w:val="00A07232"/>
    <w:rsid w:val="00A14800"/>
    <w:rsid w:val="00A1484B"/>
    <w:rsid w:val="00A156DE"/>
    <w:rsid w:val="00A157ED"/>
    <w:rsid w:val="00A2446A"/>
    <w:rsid w:val="00A4025D"/>
    <w:rsid w:val="00A800D1"/>
    <w:rsid w:val="00A92699"/>
    <w:rsid w:val="00A96ECD"/>
    <w:rsid w:val="00AB5BF0"/>
    <w:rsid w:val="00AC1C95"/>
    <w:rsid w:val="00AC2CCB"/>
    <w:rsid w:val="00AC443A"/>
    <w:rsid w:val="00AE60E2"/>
    <w:rsid w:val="00B0169F"/>
    <w:rsid w:val="00B05F21"/>
    <w:rsid w:val="00B14EA9"/>
    <w:rsid w:val="00B30A3C"/>
    <w:rsid w:val="00B81305"/>
    <w:rsid w:val="00B94512"/>
    <w:rsid w:val="00BB17DC"/>
    <w:rsid w:val="00BB1AF9"/>
    <w:rsid w:val="00BB4C4A"/>
    <w:rsid w:val="00BD3CAE"/>
    <w:rsid w:val="00BD5F3C"/>
    <w:rsid w:val="00C06622"/>
    <w:rsid w:val="00C07C0F"/>
    <w:rsid w:val="00C10812"/>
    <w:rsid w:val="00C145C4"/>
    <w:rsid w:val="00C20D2F"/>
    <w:rsid w:val="00C2131B"/>
    <w:rsid w:val="00C37AF8"/>
    <w:rsid w:val="00C37C79"/>
    <w:rsid w:val="00C41BBC"/>
    <w:rsid w:val="00C51419"/>
    <w:rsid w:val="00C54056"/>
    <w:rsid w:val="00C570B1"/>
    <w:rsid w:val="00C663A3"/>
    <w:rsid w:val="00C75CB2"/>
    <w:rsid w:val="00C87FA0"/>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059C"/>
    <w:rsid w:val="00D6236B"/>
    <w:rsid w:val="00D809D1"/>
    <w:rsid w:val="00D84ECF"/>
    <w:rsid w:val="00DA2851"/>
    <w:rsid w:val="00DA2B7C"/>
    <w:rsid w:val="00DA5686"/>
    <w:rsid w:val="00DB2FC0"/>
    <w:rsid w:val="00DB74B5"/>
    <w:rsid w:val="00DF18FA"/>
    <w:rsid w:val="00DF49CA"/>
    <w:rsid w:val="00DF775B"/>
    <w:rsid w:val="00E007F3"/>
    <w:rsid w:val="00E00DEA"/>
    <w:rsid w:val="00E06EF0"/>
    <w:rsid w:val="00E11679"/>
    <w:rsid w:val="00E307D1"/>
    <w:rsid w:val="00E33B4F"/>
    <w:rsid w:val="00E46A04"/>
    <w:rsid w:val="00E717F3"/>
    <w:rsid w:val="00E72C5E"/>
    <w:rsid w:val="00E73451"/>
    <w:rsid w:val="00E7489F"/>
    <w:rsid w:val="00E75147"/>
    <w:rsid w:val="00E8167D"/>
    <w:rsid w:val="00E907E9"/>
    <w:rsid w:val="00E96BE7"/>
    <w:rsid w:val="00EA2CD0"/>
    <w:rsid w:val="00EA654E"/>
    <w:rsid w:val="00EC0044"/>
    <w:rsid w:val="00EC6B9F"/>
    <w:rsid w:val="00EE516D"/>
    <w:rsid w:val="00EF4D1B"/>
    <w:rsid w:val="00EF7295"/>
    <w:rsid w:val="00F069D1"/>
    <w:rsid w:val="00F1503D"/>
    <w:rsid w:val="00F22712"/>
    <w:rsid w:val="00F275F5"/>
    <w:rsid w:val="00F33188"/>
    <w:rsid w:val="00F35BDE"/>
    <w:rsid w:val="00F52A0E"/>
    <w:rsid w:val="00F71F63"/>
    <w:rsid w:val="00F77538"/>
    <w:rsid w:val="00F87506"/>
    <w:rsid w:val="00F92C41"/>
    <w:rsid w:val="00FA5522"/>
    <w:rsid w:val="00FA6E4A"/>
    <w:rsid w:val="00FB0852"/>
    <w:rsid w:val="00FB1897"/>
    <w:rsid w:val="00FB2B35"/>
    <w:rsid w:val="00FC4AE1"/>
    <w:rsid w:val="00FC6E9E"/>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link w:val="FootnoteTextChar"/>
    <w:uiPriority w:val="99"/>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uiPriority w:val="99"/>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C06622"/>
    <w:pPr>
      <w:spacing w:line="240" w:lineRule="auto"/>
    </w:pPr>
    <w:rPr>
      <w:rFonts w:ascii="Tahoma" w:hAnsi="Tahoma" w:cs="Tahoma"/>
      <w:sz w:val="16"/>
      <w:szCs w:val="16"/>
    </w:rPr>
  </w:style>
  <w:style w:type="character" w:customStyle="1" w:styleId="BalloonTextChar">
    <w:name w:val="Balloon Text Char"/>
    <w:link w:val="BalloonText"/>
    <w:rsid w:val="00C06622"/>
    <w:rPr>
      <w:rFonts w:ascii="Tahoma" w:hAnsi="Tahoma" w:cs="Tahoma"/>
      <w:spacing w:val="4"/>
      <w:w w:val="103"/>
      <w:kern w:val="14"/>
      <w:sz w:val="16"/>
      <w:szCs w:val="16"/>
      <w:lang w:eastAsia="en-US"/>
    </w:rPr>
  </w:style>
  <w:style w:type="paragraph" w:customStyle="1" w:styleId="HChG">
    <w:name w:val="_ H _Ch_G"/>
    <w:basedOn w:val="Normal"/>
    <w:next w:val="Normal"/>
    <w:link w:val="HChGChar"/>
    <w:qFormat/>
    <w:rsid w:val="0089164B"/>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SingleTxtGChar">
    <w:name w:val="_ Single Txt_G Char"/>
    <w:link w:val="SingleTxtG"/>
    <w:rsid w:val="0089164B"/>
    <w:rPr>
      <w:lang w:val="en-GB" w:eastAsia="en-US"/>
    </w:rPr>
  </w:style>
  <w:style w:type="paragraph" w:customStyle="1" w:styleId="SingleTxtG">
    <w:name w:val="_ Single Txt_G"/>
    <w:basedOn w:val="Normal"/>
    <w:link w:val="SingleTxtGChar"/>
    <w:rsid w:val="0089164B"/>
    <w:pPr>
      <w:suppressAutoHyphens/>
      <w:spacing w:after="120"/>
      <w:ind w:left="1134" w:right="1134"/>
      <w:jc w:val="both"/>
    </w:pPr>
    <w:rPr>
      <w:spacing w:val="0"/>
      <w:w w:val="100"/>
      <w:kern w:val="0"/>
      <w:lang w:val="en-GB"/>
    </w:rPr>
  </w:style>
  <w:style w:type="paragraph" w:customStyle="1" w:styleId="H1G">
    <w:name w:val="_ H_1_G"/>
    <w:basedOn w:val="Normal"/>
    <w:next w:val="Normal"/>
    <w:uiPriority w:val="99"/>
    <w:rsid w:val="0089164B"/>
    <w:pPr>
      <w:keepNext/>
      <w:keepLines/>
      <w:tabs>
        <w:tab w:val="right" w:pos="851"/>
      </w:tabs>
      <w:suppressAutoHyphens/>
      <w:spacing w:before="360" w:after="240" w:line="270" w:lineRule="exact"/>
      <w:ind w:left="1134" w:right="1134" w:hanging="1134"/>
    </w:pPr>
    <w:rPr>
      <w:b/>
      <w:spacing w:val="0"/>
      <w:w w:val="100"/>
      <w:kern w:val="0"/>
      <w:sz w:val="24"/>
      <w:lang w:val="en-GB"/>
    </w:rPr>
  </w:style>
  <w:style w:type="character" w:customStyle="1" w:styleId="FootnoteTextChar">
    <w:name w:val="Footnote Text Char"/>
    <w:aliases w:val="5_GR Char,5_G Char"/>
    <w:link w:val="FootnoteText"/>
    <w:uiPriority w:val="99"/>
    <w:rsid w:val="0089164B"/>
    <w:rPr>
      <w:spacing w:val="5"/>
      <w:w w:val="104"/>
      <w:kern w:val="14"/>
      <w:sz w:val="18"/>
      <w:lang w:val="en-GB"/>
    </w:rPr>
  </w:style>
  <w:style w:type="character" w:customStyle="1" w:styleId="HChGChar">
    <w:name w:val="_ H _Ch_G Char"/>
    <w:link w:val="HChG"/>
    <w:rsid w:val="0089164B"/>
    <w:rPr>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link w:val="FootnoteTextChar"/>
    <w:uiPriority w:val="99"/>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uiPriority w:val="99"/>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C06622"/>
    <w:pPr>
      <w:spacing w:line="240" w:lineRule="auto"/>
    </w:pPr>
    <w:rPr>
      <w:rFonts w:ascii="Tahoma" w:hAnsi="Tahoma" w:cs="Tahoma"/>
      <w:sz w:val="16"/>
      <w:szCs w:val="16"/>
    </w:rPr>
  </w:style>
  <w:style w:type="character" w:customStyle="1" w:styleId="BalloonTextChar">
    <w:name w:val="Balloon Text Char"/>
    <w:link w:val="BalloonText"/>
    <w:rsid w:val="00C06622"/>
    <w:rPr>
      <w:rFonts w:ascii="Tahoma" w:hAnsi="Tahoma" w:cs="Tahoma"/>
      <w:spacing w:val="4"/>
      <w:w w:val="103"/>
      <w:kern w:val="14"/>
      <w:sz w:val="16"/>
      <w:szCs w:val="16"/>
      <w:lang w:eastAsia="en-US"/>
    </w:rPr>
  </w:style>
  <w:style w:type="paragraph" w:customStyle="1" w:styleId="HChG">
    <w:name w:val="_ H _Ch_G"/>
    <w:basedOn w:val="Normal"/>
    <w:next w:val="Normal"/>
    <w:link w:val="HChGChar"/>
    <w:qFormat/>
    <w:rsid w:val="0089164B"/>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SingleTxtGChar">
    <w:name w:val="_ Single Txt_G Char"/>
    <w:link w:val="SingleTxtG"/>
    <w:rsid w:val="0089164B"/>
    <w:rPr>
      <w:lang w:val="en-GB" w:eastAsia="en-US"/>
    </w:rPr>
  </w:style>
  <w:style w:type="paragraph" w:customStyle="1" w:styleId="SingleTxtG">
    <w:name w:val="_ Single Txt_G"/>
    <w:basedOn w:val="Normal"/>
    <w:link w:val="SingleTxtGChar"/>
    <w:rsid w:val="0089164B"/>
    <w:pPr>
      <w:suppressAutoHyphens/>
      <w:spacing w:after="120"/>
      <w:ind w:left="1134" w:right="1134"/>
      <w:jc w:val="both"/>
    </w:pPr>
    <w:rPr>
      <w:spacing w:val="0"/>
      <w:w w:val="100"/>
      <w:kern w:val="0"/>
      <w:lang w:val="en-GB"/>
    </w:rPr>
  </w:style>
  <w:style w:type="paragraph" w:customStyle="1" w:styleId="H1G">
    <w:name w:val="_ H_1_G"/>
    <w:basedOn w:val="Normal"/>
    <w:next w:val="Normal"/>
    <w:uiPriority w:val="99"/>
    <w:rsid w:val="0089164B"/>
    <w:pPr>
      <w:keepNext/>
      <w:keepLines/>
      <w:tabs>
        <w:tab w:val="right" w:pos="851"/>
      </w:tabs>
      <w:suppressAutoHyphens/>
      <w:spacing w:before="360" w:after="240" w:line="270" w:lineRule="exact"/>
      <w:ind w:left="1134" w:right="1134" w:hanging="1134"/>
    </w:pPr>
    <w:rPr>
      <w:b/>
      <w:spacing w:val="0"/>
      <w:w w:val="100"/>
      <w:kern w:val="0"/>
      <w:sz w:val="24"/>
      <w:lang w:val="en-GB"/>
    </w:rPr>
  </w:style>
  <w:style w:type="character" w:customStyle="1" w:styleId="FootnoteTextChar">
    <w:name w:val="Footnote Text Char"/>
    <w:aliases w:val="5_GR Char,5_G Char"/>
    <w:link w:val="FootnoteText"/>
    <w:uiPriority w:val="99"/>
    <w:rsid w:val="0089164B"/>
    <w:rPr>
      <w:spacing w:val="5"/>
      <w:w w:val="104"/>
      <w:kern w:val="14"/>
      <w:sz w:val="18"/>
      <w:lang w:val="en-GB"/>
    </w:rPr>
  </w:style>
  <w:style w:type="character" w:customStyle="1" w:styleId="HChGChar">
    <w:name w:val="_ H _Ch_G Char"/>
    <w:link w:val="HChG"/>
    <w:rsid w:val="0089164B"/>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3</Pages>
  <Words>530</Words>
  <Characters>3026</Characters>
  <Application>Microsoft Office Word</Application>
  <DocSecurity>4</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Sharkina</dc:creator>
  <cp:lastModifiedBy>07 series second set of changes</cp:lastModifiedBy>
  <cp:revision>2</cp:revision>
  <cp:lastPrinted>2015-02-26T14:05:00Z</cp:lastPrinted>
  <dcterms:created xsi:type="dcterms:W3CDTF">2015-02-26T15:02:00Z</dcterms:created>
  <dcterms:modified xsi:type="dcterms:W3CDTF">2015-02-26T15:02:00Z</dcterms:modified>
</cp:coreProperties>
</file>