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A0" w:rsidRPr="005737EA" w:rsidRDefault="00DB18A0" w:rsidP="00DB18A0">
      <w:pPr>
        <w:spacing w:line="240" w:lineRule="auto"/>
        <w:rPr>
          <w:sz w:val="2"/>
          <w:lang w:val="fr-CH"/>
        </w:rPr>
        <w:sectPr w:rsidR="00DB18A0" w:rsidRPr="005737EA" w:rsidSect="00DB18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DB18A0" w:rsidRPr="005737EA" w:rsidRDefault="00DB18A0" w:rsidP="005737E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5737EA">
        <w:rPr>
          <w:lang w:val="fr-CH"/>
        </w:rPr>
        <w:lastRenderedPageBreak/>
        <w:t>Commission économique pour l</w:t>
      </w:r>
      <w:r w:rsidR="005737EA">
        <w:rPr>
          <w:lang w:val="fr-CH"/>
        </w:rPr>
        <w:t>’</w:t>
      </w:r>
      <w:r w:rsidRPr="005737EA">
        <w:rPr>
          <w:lang w:val="fr-CH"/>
        </w:rPr>
        <w:t>Europe</w:t>
      </w:r>
    </w:p>
    <w:p w:rsidR="005737EA" w:rsidRPr="005737EA" w:rsidRDefault="005737EA" w:rsidP="005737E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bCs/>
          <w:sz w:val="10"/>
          <w:lang w:val="fr-CH"/>
        </w:rPr>
      </w:pPr>
    </w:p>
    <w:p w:rsidR="00DB18A0" w:rsidRPr="005737EA" w:rsidRDefault="00DB18A0" w:rsidP="005737E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5737EA">
        <w:rPr>
          <w:b w:val="0"/>
          <w:bCs/>
          <w:lang w:val="fr-CH"/>
        </w:rPr>
        <w:t>Comité des transports intérieurs</w:t>
      </w:r>
    </w:p>
    <w:p w:rsidR="00DB18A0" w:rsidRPr="005737EA" w:rsidRDefault="00DB18A0" w:rsidP="005737EA">
      <w:pPr>
        <w:pStyle w:val="H1"/>
        <w:spacing w:line="120" w:lineRule="exact"/>
        <w:rPr>
          <w:b w:val="0"/>
          <w:sz w:val="10"/>
          <w:lang w:val="fr-CH"/>
        </w:rPr>
      </w:pPr>
    </w:p>
    <w:p w:rsidR="005737EA" w:rsidRPr="005737EA" w:rsidRDefault="005737EA" w:rsidP="005737E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5737EA">
        <w:rPr>
          <w:lang w:val="fr-CH"/>
        </w:rPr>
        <w:t>Forum mondial de l</w:t>
      </w:r>
      <w:r>
        <w:rPr>
          <w:lang w:val="fr-CH"/>
        </w:rPr>
        <w:t>’</w:t>
      </w:r>
      <w:r w:rsidRPr="005737EA">
        <w:rPr>
          <w:lang w:val="fr-CH"/>
        </w:rPr>
        <w:t xml:space="preserve">harmonisation </w:t>
      </w:r>
      <w:r w:rsidRPr="005737EA">
        <w:rPr>
          <w:lang w:val="fr-CH"/>
        </w:rPr>
        <w:br/>
        <w:t>d</w:t>
      </w:r>
      <w:bookmarkStart w:id="1" w:name="insstart"/>
      <w:bookmarkEnd w:id="1"/>
      <w:r w:rsidRPr="005737EA">
        <w:rPr>
          <w:lang w:val="fr-CH"/>
        </w:rPr>
        <w:t>es Règlements concernant les véhicules</w:t>
      </w:r>
    </w:p>
    <w:p w:rsidR="005737EA" w:rsidRPr="005737EA" w:rsidRDefault="005737EA" w:rsidP="005737EA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5737EA" w:rsidRPr="005737EA" w:rsidRDefault="005737EA" w:rsidP="005737E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5737EA">
        <w:rPr>
          <w:lang w:val="fr-CH"/>
        </w:rPr>
        <w:t>167</w:t>
      </w:r>
      <w:r w:rsidRPr="005737EA">
        <w:rPr>
          <w:vertAlign w:val="superscript"/>
          <w:lang w:val="fr-CH"/>
        </w:rPr>
        <w:t>e</w:t>
      </w:r>
      <w:r w:rsidRPr="005737EA">
        <w:rPr>
          <w:lang w:val="fr-CH"/>
        </w:rPr>
        <w:t> session</w:t>
      </w:r>
    </w:p>
    <w:p w:rsidR="005737EA" w:rsidRPr="005737EA" w:rsidRDefault="005737EA" w:rsidP="005737EA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5737EA">
        <w:rPr>
          <w:lang w:val="fr-CH"/>
        </w:rPr>
        <w:t>Genève, 10-13 novembre 2015</w:t>
      </w:r>
    </w:p>
    <w:p w:rsidR="005737EA" w:rsidRPr="005737EA" w:rsidRDefault="005737EA" w:rsidP="005737EA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5737EA">
        <w:rPr>
          <w:lang w:val="fr-CH"/>
        </w:rPr>
        <w:t>Point 4.8.2 de l</w:t>
      </w:r>
      <w:r>
        <w:rPr>
          <w:lang w:val="fr-CH"/>
        </w:rPr>
        <w:t>’</w:t>
      </w:r>
      <w:r w:rsidRPr="005737EA">
        <w:rPr>
          <w:lang w:val="fr-CH"/>
        </w:rPr>
        <w:t>ordre du jour provisoire</w:t>
      </w:r>
    </w:p>
    <w:p w:rsidR="005737EA" w:rsidRPr="005737EA" w:rsidRDefault="005737EA" w:rsidP="005737E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5737EA">
        <w:rPr>
          <w:lang w:val="fr-CH"/>
        </w:rPr>
        <w:t>Accord de 1958 – Examen de projets d</w:t>
      </w:r>
      <w:r>
        <w:rPr>
          <w:lang w:val="fr-CH"/>
        </w:rPr>
        <w:t>’</w:t>
      </w:r>
      <w:r w:rsidRPr="005737EA">
        <w:rPr>
          <w:lang w:val="fr-CH"/>
        </w:rPr>
        <w:t xml:space="preserve">amendements </w:t>
      </w:r>
      <w:r w:rsidRPr="005737EA">
        <w:rPr>
          <w:lang w:val="fr-CH"/>
        </w:rPr>
        <w:br/>
        <w:t>à des Règlements existants, proposés par le GRSP</w:t>
      </w:r>
    </w:p>
    <w:p w:rsidR="005737EA" w:rsidRPr="005737EA" w:rsidRDefault="005737EA" w:rsidP="005737EA">
      <w:pPr>
        <w:pStyle w:val="SingleTxt"/>
        <w:spacing w:after="0" w:line="120" w:lineRule="exact"/>
        <w:rPr>
          <w:b/>
          <w:sz w:val="10"/>
          <w:lang w:val="fr-CH"/>
        </w:rPr>
      </w:pPr>
    </w:p>
    <w:p w:rsidR="005737EA" w:rsidRPr="005737EA" w:rsidRDefault="005737EA" w:rsidP="005737EA">
      <w:pPr>
        <w:pStyle w:val="SingleTxt"/>
        <w:spacing w:after="0" w:line="120" w:lineRule="exact"/>
        <w:rPr>
          <w:b/>
          <w:sz w:val="10"/>
          <w:lang w:val="fr-CH"/>
        </w:rPr>
      </w:pPr>
    </w:p>
    <w:p w:rsidR="005737EA" w:rsidRPr="005737EA" w:rsidRDefault="005737EA" w:rsidP="005737EA">
      <w:pPr>
        <w:pStyle w:val="SingleTxt"/>
        <w:spacing w:after="0" w:line="120" w:lineRule="exact"/>
        <w:rPr>
          <w:b/>
          <w:sz w:val="10"/>
          <w:lang w:val="fr-CH"/>
        </w:rPr>
      </w:pPr>
    </w:p>
    <w:p w:rsidR="005737EA" w:rsidRPr="005737EA" w:rsidRDefault="005737EA" w:rsidP="005737E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5737EA">
        <w:rPr>
          <w:lang w:val="fr-CH"/>
        </w:rPr>
        <w:tab/>
      </w:r>
      <w:r w:rsidRPr="005737EA">
        <w:rPr>
          <w:lang w:val="fr-CH"/>
        </w:rPr>
        <w:tab/>
        <w:t xml:space="preserve">Proposition de complément 6 à la série 06 </w:t>
      </w:r>
      <w:r w:rsidRPr="005737EA">
        <w:rPr>
          <w:lang w:val="fr-CH"/>
        </w:rPr>
        <w:br/>
        <w:t>d</w:t>
      </w:r>
      <w:r>
        <w:rPr>
          <w:lang w:val="fr-CH"/>
        </w:rPr>
        <w:t>’</w:t>
      </w:r>
      <w:r w:rsidRPr="005737EA">
        <w:rPr>
          <w:lang w:val="fr-CH"/>
        </w:rPr>
        <w:t>amendements au Règlement n</w:t>
      </w:r>
      <w:r w:rsidRPr="005737EA">
        <w:rPr>
          <w:vertAlign w:val="superscript"/>
          <w:lang w:val="fr-CH"/>
        </w:rPr>
        <w:t>o</w:t>
      </w:r>
      <w:r w:rsidRPr="005737EA">
        <w:rPr>
          <w:lang w:val="fr-CH"/>
        </w:rPr>
        <w:t xml:space="preserve"> 16 </w:t>
      </w:r>
      <w:r w:rsidRPr="005737EA">
        <w:rPr>
          <w:lang w:val="fr-CH"/>
        </w:rPr>
        <w:br/>
        <w:t>(Ceintures de sécurité)</w:t>
      </w:r>
    </w:p>
    <w:p w:rsidR="005737EA" w:rsidRPr="005737EA" w:rsidRDefault="005737EA" w:rsidP="005737EA">
      <w:pPr>
        <w:pStyle w:val="SingleTxt"/>
        <w:spacing w:after="0" w:line="120" w:lineRule="exact"/>
        <w:rPr>
          <w:b/>
          <w:sz w:val="10"/>
          <w:lang w:val="fr-CH"/>
        </w:rPr>
      </w:pPr>
    </w:p>
    <w:p w:rsidR="005737EA" w:rsidRPr="005737EA" w:rsidRDefault="005737EA" w:rsidP="005737EA">
      <w:pPr>
        <w:pStyle w:val="SingleTxt"/>
        <w:spacing w:after="0" w:line="120" w:lineRule="exact"/>
        <w:rPr>
          <w:b/>
          <w:sz w:val="10"/>
          <w:lang w:val="fr-CH"/>
        </w:rPr>
      </w:pPr>
    </w:p>
    <w:p w:rsidR="005737EA" w:rsidRPr="005737EA" w:rsidRDefault="005737EA" w:rsidP="005737E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5737EA">
        <w:rPr>
          <w:lang w:val="fr-CH"/>
        </w:rPr>
        <w:tab/>
      </w:r>
      <w:r w:rsidRPr="005737EA">
        <w:rPr>
          <w:lang w:val="fr-CH"/>
        </w:rPr>
        <w:tab/>
        <w:t>Communication du Groupe de travail de la sécurité passive</w:t>
      </w:r>
      <w:r w:rsidRPr="005737EA">
        <w:rPr>
          <w:rStyle w:val="FootnoteReference"/>
          <w:b w:val="0"/>
          <w:bCs/>
          <w:sz w:val="20"/>
          <w:szCs w:val="20"/>
          <w:vertAlign w:val="baseline"/>
          <w:lang w:val="fr-CH"/>
        </w:rPr>
        <w:footnoteReference w:customMarkFollows="1" w:id="1"/>
        <w:t>*</w:t>
      </w:r>
    </w:p>
    <w:p w:rsidR="005737EA" w:rsidRPr="005737EA" w:rsidRDefault="005737EA" w:rsidP="005737EA">
      <w:pPr>
        <w:pStyle w:val="SingleTxt"/>
        <w:spacing w:after="0" w:line="120" w:lineRule="exact"/>
        <w:rPr>
          <w:sz w:val="10"/>
          <w:lang w:val="fr-CH"/>
        </w:rPr>
      </w:pPr>
    </w:p>
    <w:p w:rsidR="005737EA" w:rsidRPr="005737EA" w:rsidRDefault="005737EA" w:rsidP="005737EA">
      <w:pPr>
        <w:pStyle w:val="SingleTxt"/>
        <w:spacing w:after="0" w:line="120" w:lineRule="exact"/>
        <w:rPr>
          <w:sz w:val="10"/>
          <w:lang w:val="fr-CH"/>
        </w:rPr>
      </w:pPr>
    </w:p>
    <w:p w:rsidR="005737EA" w:rsidRPr="005737EA" w:rsidRDefault="005737EA" w:rsidP="005737EA">
      <w:pPr>
        <w:pStyle w:val="SingleTxt"/>
        <w:rPr>
          <w:lang w:val="fr-CH"/>
        </w:rPr>
      </w:pPr>
      <w:r w:rsidRPr="005737EA">
        <w:rPr>
          <w:lang w:val="fr-CH"/>
        </w:rPr>
        <w:tab/>
        <w:t>Le texte reproduit ci-après a été adopté par le Groupe de travail de la sécurité passive (GRSP) à sa cinquante-septième session (ECE/TRANS/WP.29/GRSP/57, par. 14). Il a été établi sur la base des documents ECE/TRANS/WP.29/GRSP/2015/13 et ECE/TRANS/WP.29/GRSP/2015/15 tels que modifiés par l</w:t>
      </w:r>
      <w:r>
        <w:rPr>
          <w:lang w:val="fr-CH"/>
        </w:rPr>
        <w:t>’</w:t>
      </w:r>
      <w:r w:rsidRPr="005737EA">
        <w:rPr>
          <w:lang w:val="fr-CH"/>
        </w:rPr>
        <w:t>annexe II au rapport. Il est soumis au Forum mondial de l</w:t>
      </w:r>
      <w:r>
        <w:rPr>
          <w:lang w:val="fr-CH"/>
        </w:rPr>
        <w:t>’</w:t>
      </w:r>
      <w:r w:rsidRPr="005737EA">
        <w:rPr>
          <w:lang w:val="fr-CH"/>
        </w:rPr>
        <w:t>harmonisation des Règlements concernant les véhicules (WP.29) et au Comité d</w:t>
      </w:r>
      <w:r>
        <w:rPr>
          <w:lang w:val="fr-CH"/>
        </w:rPr>
        <w:t>’</w:t>
      </w:r>
      <w:r w:rsidRPr="005737EA">
        <w:rPr>
          <w:lang w:val="fr-CH"/>
        </w:rPr>
        <w:t xml:space="preserve">administration (AC.1) pour examen. </w:t>
      </w:r>
    </w:p>
    <w:p w:rsidR="005737EA" w:rsidRPr="005737EA" w:rsidRDefault="005737EA">
      <w:pPr>
        <w:spacing w:line="240" w:lineRule="auto"/>
        <w:rPr>
          <w:lang w:val="fr-CH"/>
        </w:rPr>
      </w:pPr>
      <w:r w:rsidRPr="005737EA">
        <w:rPr>
          <w:lang w:val="fr-CH"/>
        </w:rPr>
        <w:br w:type="page"/>
      </w:r>
    </w:p>
    <w:p w:rsidR="005737EA" w:rsidRPr="005737EA" w:rsidRDefault="005737EA" w:rsidP="005737EA">
      <w:pPr>
        <w:pStyle w:val="SingleTxt"/>
        <w:rPr>
          <w:i/>
          <w:lang w:val="fr-CH"/>
        </w:rPr>
      </w:pPr>
      <w:r w:rsidRPr="005737EA">
        <w:rPr>
          <w:i/>
          <w:lang w:val="fr-CH"/>
        </w:rPr>
        <w:lastRenderedPageBreak/>
        <w:t>Paragraphe 6.2.2.2</w:t>
      </w:r>
      <w:r w:rsidRPr="005737EA">
        <w:rPr>
          <w:lang w:val="fr-CH"/>
        </w:rPr>
        <w:t xml:space="preserve">, </w:t>
      </w:r>
      <w:proofErr w:type="gramStart"/>
      <w:r w:rsidRPr="005737EA">
        <w:rPr>
          <w:lang w:val="fr-CH"/>
        </w:rPr>
        <w:t>modifier</w:t>
      </w:r>
      <w:proofErr w:type="gramEnd"/>
      <w:r w:rsidRPr="005737EA">
        <w:rPr>
          <w:lang w:val="fr-CH"/>
        </w:rPr>
        <w:t xml:space="preserve"> comme suit :</w:t>
      </w:r>
    </w:p>
    <w:p w:rsidR="005737EA" w:rsidRPr="005737EA" w:rsidRDefault="005737EA" w:rsidP="005737EA">
      <w:pPr>
        <w:pStyle w:val="SingleTxt"/>
        <w:ind w:left="2218" w:hanging="951"/>
        <w:rPr>
          <w:lang w:val="fr-CH"/>
        </w:rPr>
      </w:pPr>
      <w:r w:rsidRPr="005737EA">
        <w:rPr>
          <w:lang w:val="fr-CH"/>
        </w:rPr>
        <w:t>« 6.2.2.2</w:t>
      </w:r>
      <w:r w:rsidRPr="005737EA">
        <w:rPr>
          <w:lang w:val="fr-CH"/>
        </w:rPr>
        <w:tab/>
        <w:t>La boucle, même quand… La surface de commande d</w:t>
      </w:r>
      <w:r>
        <w:rPr>
          <w:lang w:val="fr-CH"/>
        </w:rPr>
        <w:t>’</w:t>
      </w:r>
      <w:r w:rsidRPr="005737EA">
        <w:rPr>
          <w:lang w:val="fr-CH"/>
        </w:rPr>
        <w:t>ouverture de la boucle doit être de couleur rouge. Aucune autre partie de la boucle ne doit être de cette couleur. Lorsque le siège est occupé, un voyant d</w:t>
      </w:r>
      <w:r>
        <w:rPr>
          <w:lang w:val="fr-CH"/>
        </w:rPr>
        <w:t>’</w:t>
      </w:r>
      <w:r w:rsidRPr="005737EA">
        <w:rPr>
          <w:lang w:val="fr-CH"/>
        </w:rPr>
        <w:t>avertissement rouge situé en un point quelconque de la boucle peut s</w:t>
      </w:r>
      <w:r>
        <w:rPr>
          <w:lang w:val="fr-CH"/>
        </w:rPr>
        <w:t>’</w:t>
      </w:r>
      <w:r w:rsidRPr="005737EA">
        <w:rPr>
          <w:lang w:val="fr-CH"/>
        </w:rPr>
        <w:t>allumer à condition qu</w:t>
      </w:r>
      <w:r>
        <w:rPr>
          <w:lang w:val="fr-CH"/>
        </w:rPr>
        <w:t>’</w:t>
      </w:r>
      <w:r w:rsidRPr="005737EA">
        <w:rPr>
          <w:lang w:val="fr-CH"/>
        </w:rPr>
        <w:t>il s</w:t>
      </w:r>
      <w:r>
        <w:rPr>
          <w:lang w:val="fr-CH"/>
        </w:rPr>
        <w:t>’</w:t>
      </w:r>
      <w:r w:rsidRPr="005737EA">
        <w:rPr>
          <w:lang w:val="fr-CH"/>
        </w:rPr>
        <w:t>éteigne une fois que l</w:t>
      </w:r>
      <w:r>
        <w:rPr>
          <w:lang w:val="fr-CH"/>
        </w:rPr>
        <w:t>’</w:t>
      </w:r>
      <w:r w:rsidRPr="005737EA">
        <w:rPr>
          <w:lang w:val="fr-CH"/>
        </w:rPr>
        <w:t>occupant a bouclé sa ceinture. Si le voyant est d</w:t>
      </w:r>
      <w:r>
        <w:rPr>
          <w:lang w:val="fr-CH"/>
        </w:rPr>
        <w:t>’</w:t>
      </w:r>
      <w:r w:rsidRPr="005737EA">
        <w:rPr>
          <w:lang w:val="fr-CH"/>
        </w:rPr>
        <w:t>une autre couleur, il n</w:t>
      </w:r>
      <w:r>
        <w:rPr>
          <w:lang w:val="fr-CH"/>
        </w:rPr>
        <w:t>’</w:t>
      </w:r>
      <w:r w:rsidRPr="005737EA">
        <w:rPr>
          <w:lang w:val="fr-CH"/>
        </w:rPr>
        <w:t>est pas nécessaire qu</w:t>
      </w:r>
      <w:r>
        <w:rPr>
          <w:lang w:val="fr-CH"/>
        </w:rPr>
        <w:t>’</w:t>
      </w:r>
      <w:r w:rsidRPr="005737EA">
        <w:rPr>
          <w:lang w:val="fr-CH"/>
        </w:rPr>
        <w:t>il s</w:t>
      </w:r>
      <w:r>
        <w:rPr>
          <w:lang w:val="fr-CH"/>
        </w:rPr>
        <w:t>’</w:t>
      </w:r>
      <w:r w:rsidRPr="005737EA">
        <w:rPr>
          <w:lang w:val="fr-CH"/>
        </w:rPr>
        <w:t>éteigne après que l</w:t>
      </w:r>
      <w:r>
        <w:rPr>
          <w:lang w:val="fr-CH"/>
        </w:rPr>
        <w:t>’</w:t>
      </w:r>
      <w:r w:rsidRPr="005737EA">
        <w:rPr>
          <w:lang w:val="fr-CH"/>
        </w:rPr>
        <w:t>occupant ait bouclé sa ceinture. Les témoins d</w:t>
      </w:r>
      <w:r>
        <w:rPr>
          <w:lang w:val="fr-CH"/>
        </w:rPr>
        <w:t>’</w:t>
      </w:r>
      <w:r w:rsidRPr="005737EA">
        <w:rPr>
          <w:lang w:val="fr-CH"/>
        </w:rPr>
        <w:t>éclairage de la boucle d</w:t>
      </w:r>
      <w:r>
        <w:rPr>
          <w:lang w:val="fr-CH"/>
        </w:rPr>
        <w:t>’</w:t>
      </w:r>
      <w:r w:rsidRPr="005737EA">
        <w:rPr>
          <w:lang w:val="fr-CH"/>
        </w:rPr>
        <w:t>une couleur autre que le rouge ne doivent pas nécessairement être éteints par l</w:t>
      </w:r>
      <w:r>
        <w:rPr>
          <w:lang w:val="fr-CH"/>
        </w:rPr>
        <w:t>’</w:t>
      </w:r>
      <w:r w:rsidRPr="005737EA">
        <w:rPr>
          <w:lang w:val="fr-CH"/>
        </w:rPr>
        <w:t>action de boucler la ceinture de sécurité. Ces témoins lumineux ne doivent pas éclairer la boucle de manière à empêcher la perception correcte de la couleur rouge du bouton d</w:t>
      </w:r>
      <w:r>
        <w:rPr>
          <w:lang w:val="fr-CH"/>
        </w:rPr>
        <w:t>’</w:t>
      </w:r>
      <w:r w:rsidRPr="005737EA">
        <w:rPr>
          <w:lang w:val="fr-CH"/>
        </w:rPr>
        <w:t>ouverture de la boucle ou du rouge du voyant d</w:t>
      </w:r>
      <w:r>
        <w:rPr>
          <w:lang w:val="fr-CH"/>
        </w:rPr>
        <w:t>’</w:t>
      </w:r>
      <w:r w:rsidRPr="005737EA">
        <w:rPr>
          <w:lang w:val="fr-CH"/>
        </w:rPr>
        <w:t>avertissement. ».</w:t>
      </w:r>
    </w:p>
    <w:p w:rsidR="005737EA" w:rsidRPr="005737EA" w:rsidRDefault="005737EA" w:rsidP="005737EA">
      <w:pPr>
        <w:pStyle w:val="SingleTxt"/>
        <w:rPr>
          <w:lang w:val="fr-CH"/>
        </w:rPr>
      </w:pPr>
      <w:r w:rsidRPr="005737EA">
        <w:rPr>
          <w:i/>
          <w:lang w:val="fr-CH"/>
        </w:rPr>
        <w:t>Paragraphe 7.7.1</w:t>
      </w:r>
      <w:r w:rsidRPr="005737EA">
        <w:rPr>
          <w:lang w:val="fr-CH"/>
        </w:rPr>
        <w:t xml:space="preserve">, </w:t>
      </w:r>
      <w:proofErr w:type="gramStart"/>
      <w:r w:rsidRPr="005737EA">
        <w:rPr>
          <w:lang w:val="fr-CH"/>
        </w:rPr>
        <w:t>modifier</w:t>
      </w:r>
      <w:proofErr w:type="gramEnd"/>
      <w:r w:rsidRPr="005737EA">
        <w:rPr>
          <w:lang w:val="fr-CH"/>
        </w:rPr>
        <w:t xml:space="preserve"> comme suit :</w:t>
      </w:r>
    </w:p>
    <w:p w:rsidR="005737EA" w:rsidRPr="005737EA" w:rsidRDefault="005737EA" w:rsidP="005737EA">
      <w:pPr>
        <w:pStyle w:val="SingleTxt"/>
        <w:ind w:left="2218" w:hanging="951"/>
        <w:rPr>
          <w:lang w:val="fr-CH"/>
        </w:rPr>
      </w:pPr>
      <w:r w:rsidRPr="005737EA">
        <w:rPr>
          <w:lang w:val="fr-CH"/>
        </w:rPr>
        <w:t>« 7.7.1</w:t>
      </w:r>
      <w:r w:rsidRPr="005737EA">
        <w:rPr>
          <w:lang w:val="fr-CH"/>
        </w:rPr>
        <w:tab/>
        <w:t>La ceinture est installée sur un chariot équipé du siège et des ancrages généraux définis à la figure 1 de</w:t>
      </w:r>
      <w:r w:rsidRPr="005737EA">
        <w:rPr>
          <w:b/>
          <w:lang w:val="fr-CH"/>
        </w:rPr>
        <w:t xml:space="preserve"> </w:t>
      </w:r>
      <w:r w:rsidRPr="005737EA">
        <w:rPr>
          <w:lang w:val="fr-CH"/>
        </w:rPr>
        <w:t>l</w:t>
      </w:r>
      <w:r>
        <w:rPr>
          <w:lang w:val="fr-CH"/>
        </w:rPr>
        <w:t>’</w:t>
      </w:r>
      <w:r w:rsidRPr="005737EA">
        <w:rPr>
          <w:lang w:val="fr-CH"/>
        </w:rPr>
        <w:t>annexe 6 du présent Règlement. Si toutefois la ceinture est destinée à … le nombre maximum de points d</w:t>
      </w:r>
      <w:r>
        <w:rPr>
          <w:lang w:val="fr-CH"/>
        </w:rPr>
        <w:t>’</w:t>
      </w:r>
      <w:r w:rsidRPr="005737EA">
        <w:rPr>
          <w:lang w:val="fr-CH"/>
        </w:rPr>
        <w:t>ancrage réels. ».</w:t>
      </w:r>
    </w:p>
    <w:p w:rsidR="005737EA" w:rsidRPr="005737EA" w:rsidRDefault="005737EA" w:rsidP="005737EA">
      <w:pPr>
        <w:pStyle w:val="SingleTxt"/>
        <w:rPr>
          <w:lang w:val="fr-CH"/>
        </w:rPr>
      </w:pPr>
      <w:r w:rsidRPr="005737EA">
        <w:rPr>
          <w:i/>
          <w:lang w:val="fr-CH"/>
        </w:rPr>
        <w:t>Annexe 1B, point 12</w:t>
      </w:r>
      <w:r w:rsidRPr="005737EA">
        <w:rPr>
          <w:lang w:val="fr-CH"/>
        </w:rPr>
        <w:t xml:space="preserve">, </w:t>
      </w:r>
      <w:proofErr w:type="gramStart"/>
      <w:r w:rsidRPr="005737EA">
        <w:rPr>
          <w:lang w:val="fr-CH"/>
        </w:rPr>
        <w:t>modifier</w:t>
      </w:r>
      <w:proofErr w:type="gramEnd"/>
      <w:r w:rsidRPr="005737EA">
        <w:rPr>
          <w:lang w:val="fr-CH"/>
        </w:rPr>
        <w:t xml:space="preserve"> comme suit :</w:t>
      </w:r>
    </w:p>
    <w:p w:rsidR="005737EA" w:rsidRPr="005737EA" w:rsidRDefault="005737EA" w:rsidP="005737EA">
      <w:pPr>
        <w:pStyle w:val="SingleTxt"/>
        <w:ind w:left="2218" w:hanging="951"/>
        <w:rPr>
          <w:lang w:val="fr-CH"/>
        </w:rPr>
      </w:pPr>
      <w:r w:rsidRPr="005737EA">
        <w:rPr>
          <w:lang w:val="fr-CH"/>
        </w:rPr>
        <w:t>« 12</w:t>
      </w:r>
      <w:r w:rsidRPr="005737EA">
        <w:rPr>
          <w:lang w:val="fr-CH"/>
        </w:rPr>
        <w:tab/>
      </w:r>
      <w:r w:rsidRPr="005737EA">
        <w:rPr>
          <w:lang w:val="fr-CH"/>
        </w:rPr>
        <w:tab/>
        <w:t>L</w:t>
      </w:r>
      <w:r>
        <w:rPr>
          <w:lang w:val="fr-CH"/>
        </w:rPr>
        <w:t>’</w:t>
      </w:r>
      <w:r w:rsidRPr="005737EA">
        <w:rPr>
          <w:lang w:val="fr-CH"/>
        </w:rPr>
        <w:t>homologation est accordée/refusée/étendue/retirée</w:t>
      </w:r>
      <w:r w:rsidRPr="005737EA">
        <w:rPr>
          <w:vertAlign w:val="superscript"/>
          <w:lang w:val="fr-CH"/>
        </w:rPr>
        <w:t>2</w:t>
      </w:r>
      <w:r w:rsidRPr="005737EA">
        <w:rPr>
          <w:lang w:val="fr-CH"/>
        </w:rPr>
        <w:t xml:space="preserve"> pour la fixation aux emplacements des ancrages généraux tels qu</w:t>
      </w:r>
      <w:r>
        <w:rPr>
          <w:lang w:val="fr-CH"/>
        </w:rPr>
        <w:t>’</w:t>
      </w:r>
      <w:r w:rsidRPr="005737EA">
        <w:rPr>
          <w:lang w:val="fr-CH"/>
        </w:rPr>
        <w:t>ils sont définis à la figure 1</w:t>
      </w:r>
      <w:r w:rsidRPr="005737EA">
        <w:rPr>
          <w:b/>
          <w:lang w:val="fr-CH"/>
        </w:rPr>
        <w:t xml:space="preserve"> </w:t>
      </w:r>
      <w:r w:rsidRPr="005737EA">
        <w:rPr>
          <w:lang w:val="fr-CH"/>
        </w:rPr>
        <w:t>de l</w:t>
      </w:r>
      <w:r>
        <w:rPr>
          <w:lang w:val="fr-CH"/>
        </w:rPr>
        <w:t>’</w:t>
      </w:r>
      <w:r w:rsidRPr="005737EA">
        <w:rPr>
          <w:lang w:val="fr-CH"/>
        </w:rPr>
        <w:t>annexe 6 du présent Règlement/pour utilisation sur un véhicule particulier ou sur des types de véhicules particuliers</w:t>
      </w:r>
      <w:r w:rsidRPr="005737EA">
        <w:rPr>
          <w:vertAlign w:val="superscript"/>
          <w:lang w:val="fr-CH"/>
        </w:rPr>
        <w:t>2, 4</w:t>
      </w:r>
      <w:r w:rsidRPr="005737EA">
        <w:rPr>
          <w:lang w:val="fr-CH"/>
        </w:rPr>
        <w:t>. ».</w:t>
      </w:r>
    </w:p>
    <w:p w:rsidR="005737EA" w:rsidRPr="005737EA" w:rsidRDefault="005737EA" w:rsidP="005737EA">
      <w:pPr>
        <w:pStyle w:val="SingleTxt"/>
        <w:rPr>
          <w:lang w:val="fr-CH"/>
        </w:rPr>
      </w:pPr>
      <w:r>
        <w:rPr>
          <w:i/>
          <w:lang w:val="fr-CH"/>
        </w:rPr>
        <w:t xml:space="preserve">Annexe 6, paragraphe </w:t>
      </w:r>
      <w:r w:rsidRPr="005737EA">
        <w:rPr>
          <w:i/>
          <w:lang w:val="fr-CH"/>
        </w:rPr>
        <w:t>3.2</w:t>
      </w:r>
      <w:r w:rsidRPr="005737EA">
        <w:rPr>
          <w:lang w:val="fr-CH"/>
        </w:rPr>
        <w:t xml:space="preserve">, </w:t>
      </w:r>
      <w:proofErr w:type="gramStart"/>
      <w:r w:rsidRPr="005737EA">
        <w:rPr>
          <w:lang w:val="fr-CH"/>
        </w:rPr>
        <w:t>modifier</w:t>
      </w:r>
      <w:proofErr w:type="gramEnd"/>
      <w:r w:rsidRPr="005737EA">
        <w:rPr>
          <w:lang w:val="fr-CH"/>
        </w:rPr>
        <w:t xml:space="preserve"> comme suit :</w:t>
      </w:r>
    </w:p>
    <w:p w:rsidR="005737EA" w:rsidRPr="005737EA" w:rsidRDefault="005737EA" w:rsidP="005737EA">
      <w:pPr>
        <w:pStyle w:val="SingleTxt"/>
        <w:rPr>
          <w:lang w:val="fr-CH"/>
        </w:rPr>
      </w:pPr>
      <w:r w:rsidRPr="005737EA">
        <w:rPr>
          <w:lang w:val="fr-CH"/>
        </w:rPr>
        <w:t>« 3.2</w:t>
      </w:r>
      <w:r w:rsidRPr="005737EA">
        <w:rPr>
          <w:lang w:val="fr-CH"/>
        </w:rPr>
        <w:tab/>
      </w:r>
      <w:r w:rsidRPr="005737EA">
        <w:rPr>
          <w:lang w:val="fr-CH"/>
        </w:rPr>
        <w:tab/>
        <w:t>Les ancrages généraux</w:t>
      </w:r>
      <w:r w:rsidRPr="005737EA">
        <w:rPr>
          <w:b/>
          <w:lang w:val="fr-CH"/>
        </w:rPr>
        <w:t xml:space="preserve"> </w:t>
      </w:r>
      <w:r w:rsidRPr="005737EA">
        <w:rPr>
          <w:lang w:val="fr-CH"/>
        </w:rPr>
        <w:t>sont disposés… ».</w:t>
      </w:r>
    </w:p>
    <w:p w:rsidR="00DB18A0" w:rsidRPr="005737EA" w:rsidRDefault="005737EA" w:rsidP="005737EA">
      <w:pPr>
        <w:pStyle w:val="SingleTxt"/>
        <w:spacing w:after="0" w:line="240" w:lineRule="auto"/>
        <w:rPr>
          <w:lang w:val="fr-CH"/>
        </w:rPr>
      </w:pPr>
      <w:r w:rsidRPr="005737EA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AB4B4" wp14:editId="31F33894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DB18A0" w:rsidRPr="005737EA" w:rsidSect="00DB18A0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20" w:rsidRDefault="00CC3F20" w:rsidP="00F3330B">
      <w:pPr>
        <w:spacing w:line="240" w:lineRule="auto"/>
      </w:pPr>
      <w:r>
        <w:separator/>
      </w:r>
    </w:p>
  </w:endnote>
  <w:endnote w:type="continuationSeparator" w:id="0">
    <w:p w:rsidR="00CC3F20" w:rsidRDefault="00CC3F20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DB18A0" w:rsidTr="00DB18A0">
      <w:trPr>
        <w:jc w:val="center"/>
      </w:trPr>
      <w:tc>
        <w:tcPr>
          <w:tcW w:w="5088" w:type="dxa"/>
          <w:shd w:val="clear" w:color="auto" w:fill="auto"/>
        </w:tcPr>
        <w:p w:rsidR="00DB18A0" w:rsidRPr="00DB18A0" w:rsidRDefault="00DB18A0" w:rsidP="00DB18A0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A6797">
            <w:rPr>
              <w:b w:val="0"/>
              <w:w w:val="103"/>
              <w:sz w:val="14"/>
            </w:rPr>
            <w:t>GE.15-14291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DB18A0" w:rsidRPr="00DB18A0" w:rsidRDefault="00DB18A0" w:rsidP="00DB18A0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BA679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BA679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DB18A0" w:rsidRPr="00DB18A0" w:rsidRDefault="00DB18A0" w:rsidP="00DB1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DB18A0" w:rsidTr="00DB18A0">
      <w:trPr>
        <w:jc w:val="center"/>
      </w:trPr>
      <w:tc>
        <w:tcPr>
          <w:tcW w:w="5088" w:type="dxa"/>
          <w:shd w:val="clear" w:color="auto" w:fill="auto"/>
        </w:tcPr>
        <w:p w:rsidR="00DB18A0" w:rsidRPr="00DB18A0" w:rsidRDefault="00DB18A0" w:rsidP="00DB18A0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1674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BA679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DB18A0" w:rsidRPr="00DB18A0" w:rsidRDefault="00DB18A0" w:rsidP="00DB18A0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A6797">
            <w:rPr>
              <w:b w:val="0"/>
              <w:w w:val="103"/>
              <w:sz w:val="14"/>
            </w:rPr>
            <w:t>GE.15-14291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DB18A0" w:rsidRPr="00DB18A0" w:rsidRDefault="00DB18A0" w:rsidP="00DB18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A0" w:rsidRDefault="00DB18A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C2AE5C7" wp14:editId="04BDD20C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5/93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5/93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DB18A0" w:rsidTr="00DB18A0">
      <w:tc>
        <w:tcPr>
          <w:tcW w:w="3859" w:type="dxa"/>
        </w:tcPr>
        <w:p w:rsidR="00DB18A0" w:rsidRDefault="00DB18A0" w:rsidP="00DB18A0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BA6797">
            <w:rPr>
              <w:b w:val="0"/>
              <w:sz w:val="20"/>
            </w:rPr>
            <w:t>GE.15-14291 (F)</w:t>
          </w:r>
          <w:r>
            <w:rPr>
              <w:b w:val="0"/>
              <w:sz w:val="20"/>
            </w:rPr>
            <w:fldChar w:fldCharType="end"/>
          </w:r>
          <w:r w:rsidR="005737EA">
            <w:rPr>
              <w:b w:val="0"/>
              <w:sz w:val="20"/>
            </w:rPr>
            <w:t xml:space="preserve">    220915    29</w:t>
          </w:r>
          <w:r>
            <w:rPr>
              <w:b w:val="0"/>
              <w:sz w:val="20"/>
            </w:rPr>
            <w:t>0915</w:t>
          </w:r>
        </w:p>
        <w:p w:rsidR="00DB18A0" w:rsidRPr="00DB18A0" w:rsidRDefault="00DB18A0" w:rsidP="00DB18A0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BA6797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*1514291*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DB18A0" w:rsidRDefault="00DB18A0" w:rsidP="00DB18A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12FC62B" wp14:editId="20D20EC1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18A0" w:rsidRPr="00DB18A0" w:rsidRDefault="00DB18A0" w:rsidP="00DB18A0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20" w:rsidRPr="003E47D8" w:rsidRDefault="00CC3F20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type="continuationSeparator" w:id="0">
    <w:p w:rsidR="00CC3F20" w:rsidRPr="003E47D8" w:rsidRDefault="00CC3F20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id="1">
    <w:p w:rsidR="005737EA" w:rsidRDefault="005737EA" w:rsidP="005737E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 w:rsidRPr="005737EA">
        <w:rPr>
          <w:rStyle w:val="FootnoteReference"/>
          <w:vertAlign w:val="baseline"/>
        </w:rPr>
        <w:tab/>
        <w:t>*</w:t>
      </w:r>
      <w:r w:rsidRPr="005737EA">
        <w:rPr>
          <w:rStyle w:val="FootnoteReference"/>
          <w:vertAlign w:val="baseline"/>
        </w:rPr>
        <w:tab/>
      </w:r>
      <w:r>
        <w:rPr>
          <w:szCs w:val="18"/>
        </w:rPr>
        <w:t xml:space="preserve">Conformément au programme de travail du Comité des transports intérieurs pour la période 2012-2016 (ECE/TRANS/224, par. 94, et ECE/TRANS/2012/12, activité 02.4), le Forum mondial a pour mission d’élaborer, d’harmoniser et de mettre à jour les Règlements en vue d’améliorer les caractéristiques fonctionnelles des véhicules. Le présent document est soumis en vertu de ce mandat.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DB18A0" w:rsidTr="00DB18A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B18A0" w:rsidRPr="00DB18A0" w:rsidRDefault="00DB18A0" w:rsidP="00DB18A0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BA6797">
            <w:rPr>
              <w:b/>
              <w:color w:val="000000"/>
            </w:rPr>
            <w:t>ECE/TRANS/WP.29/2015/93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DB18A0" w:rsidRDefault="00DB18A0" w:rsidP="00DB18A0">
          <w:pPr>
            <w:pStyle w:val="Header"/>
          </w:pPr>
        </w:p>
      </w:tc>
    </w:tr>
  </w:tbl>
  <w:p w:rsidR="00DB18A0" w:rsidRPr="00DB18A0" w:rsidRDefault="00DB18A0" w:rsidP="00DB18A0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DB18A0" w:rsidTr="00DB18A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B18A0" w:rsidRDefault="00DB18A0" w:rsidP="00DB18A0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DB18A0" w:rsidRPr="00DB18A0" w:rsidRDefault="00DB18A0" w:rsidP="00DB18A0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BA6797">
            <w:rPr>
              <w:b/>
              <w:color w:val="000000"/>
            </w:rPr>
            <w:t>ECE/TRANS/WP.29/2015/93</w:t>
          </w:r>
          <w:r>
            <w:rPr>
              <w:b/>
              <w:color w:val="000000"/>
            </w:rPr>
            <w:fldChar w:fldCharType="end"/>
          </w:r>
        </w:p>
      </w:tc>
    </w:tr>
  </w:tbl>
  <w:p w:rsidR="00DB18A0" w:rsidRPr="00DB18A0" w:rsidRDefault="00DB18A0" w:rsidP="00DB18A0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DB18A0" w:rsidRPr="005737EA" w:rsidTr="00DB18A0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B18A0" w:rsidRPr="005737EA" w:rsidRDefault="00DB18A0" w:rsidP="00DB18A0">
          <w:pPr>
            <w:pStyle w:val="Header"/>
            <w:spacing w:after="120"/>
            <w:rPr>
              <w:lang w:val="fr-CH"/>
            </w:rPr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B18A0" w:rsidRPr="005737EA" w:rsidRDefault="00DB18A0" w:rsidP="00DB18A0">
          <w:pPr>
            <w:pStyle w:val="HCH"/>
            <w:spacing w:after="80"/>
            <w:rPr>
              <w:b w:val="0"/>
              <w:color w:val="010000"/>
              <w:spacing w:val="2"/>
              <w:w w:val="96"/>
              <w:lang w:val="fr-CH"/>
            </w:rPr>
          </w:pPr>
          <w:r w:rsidRPr="005737EA">
            <w:rPr>
              <w:b w:val="0"/>
              <w:color w:val="010000"/>
              <w:spacing w:val="2"/>
              <w:w w:val="96"/>
              <w:lang w:val="fr-CH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B18A0" w:rsidRPr="005737EA" w:rsidRDefault="00DB18A0" w:rsidP="00DB18A0">
          <w:pPr>
            <w:pStyle w:val="Header"/>
            <w:spacing w:after="120"/>
            <w:rPr>
              <w:lang w:val="fr-CH"/>
            </w:rPr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DB18A0" w:rsidRPr="005737EA" w:rsidRDefault="00DB18A0" w:rsidP="00DB18A0">
          <w:pPr>
            <w:spacing w:after="80" w:line="240" w:lineRule="auto"/>
            <w:jc w:val="right"/>
            <w:rPr>
              <w:position w:val="-4"/>
              <w:lang w:val="fr-CH"/>
            </w:rPr>
          </w:pPr>
          <w:r w:rsidRPr="005737EA">
            <w:rPr>
              <w:position w:val="-4"/>
              <w:sz w:val="40"/>
              <w:lang w:val="fr-CH"/>
            </w:rPr>
            <w:t>ECE</w:t>
          </w:r>
          <w:r w:rsidRPr="005737EA">
            <w:rPr>
              <w:position w:val="-4"/>
              <w:lang w:val="fr-CH"/>
            </w:rPr>
            <w:t>/TRANS/WP.29/2015/93</w:t>
          </w:r>
        </w:p>
      </w:tc>
    </w:tr>
    <w:tr w:rsidR="00DB18A0" w:rsidRPr="005737EA" w:rsidTr="00DB18A0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18A0" w:rsidRPr="005737EA" w:rsidRDefault="00DB18A0" w:rsidP="00DB18A0">
          <w:pPr>
            <w:pStyle w:val="Header"/>
            <w:spacing w:before="120" w:line="240" w:lineRule="auto"/>
            <w:ind w:left="-72"/>
            <w:jc w:val="center"/>
            <w:rPr>
              <w:lang w:val="fr-CH"/>
            </w:rPr>
          </w:pPr>
          <w:r w:rsidRPr="005737EA">
            <w:rPr>
              <w:lang w:val="fr-CH"/>
            </w:rPr>
            <w:t xml:space="preserve">  </w:t>
          </w:r>
          <w:r w:rsidRPr="005737EA">
            <w:rPr>
              <w:noProof/>
              <w:lang w:val="en-GB" w:eastAsia="en-GB"/>
            </w:rPr>
            <w:drawing>
              <wp:inline distT="0" distB="0" distL="0" distR="0" wp14:anchorId="2BF3D76B" wp14:editId="449BE848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18A0" w:rsidRPr="005737EA" w:rsidRDefault="00DB18A0" w:rsidP="00DB18A0">
          <w:pPr>
            <w:pStyle w:val="XLarge"/>
            <w:spacing w:before="109"/>
            <w:rPr>
              <w:lang w:val="fr-CH"/>
            </w:rPr>
          </w:pPr>
          <w:r w:rsidRPr="005737EA">
            <w:rPr>
              <w:lang w:val="fr-CH"/>
            </w:rP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18A0" w:rsidRPr="005737EA" w:rsidRDefault="00DB18A0" w:rsidP="00DB18A0">
          <w:pPr>
            <w:pStyle w:val="Header"/>
            <w:spacing w:before="109"/>
            <w:rPr>
              <w:lang w:val="fr-CH"/>
            </w:rPr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18A0" w:rsidRPr="005737EA" w:rsidRDefault="00DB18A0" w:rsidP="00DB18A0">
          <w:pPr>
            <w:pStyle w:val="Distribution"/>
            <w:rPr>
              <w:color w:val="000000"/>
              <w:lang w:val="fr-CH"/>
            </w:rPr>
          </w:pPr>
          <w:proofErr w:type="spellStart"/>
          <w:r w:rsidRPr="005737EA">
            <w:rPr>
              <w:color w:val="000000"/>
              <w:lang w:val="fr-CH"/>
            </w:rPr>
            <w:t>Distr</w:t>
          </w:r>
          <w:proofErr w:type="spellEnd"/>
          <w:r w:rsidRPr="005737EA">
            <w:rPr>
              <w:color w:val="000000"/>
              <w:lang w:val="fr-CH"/>
            </w:rPr>
            <w:t>. générale</w:t>
          </w:r>
        </w:p>
        <w:p w:rsidR="00DB18A0" w:rsidRPr="005737EA" w:rsidRDefault="00DB18A0" w:rsidP="00DB18A0">
          <w:pPr>
            <w:pStyle w:val="Publication"/>
            <w:rPr>
              <w:color w:val="000000"/>
              <w:lang w:val="fr-CH"/>
            </w:rPr>
          </w:pPr>
          <w:r w:rsidRPr="005737EA">
            <w:rPr>
              <w:color w:val="000000"/>
              <w:lang w:val="fr-CH"/>
            </w:rPr>
            <w:t>25 août 2015</w:t>
          </w:r>
        </w:p>
        <w:p w:rsidR="00DB18A0" w:rsidRPr="005737EA" w:rsidRDefault="00DB18A0" w:rsidP="00DB18A0">
          <w:pPr>
            <w:rPr>
              <w:lang w:val="fr-CH"/>
            </w:rPr>
          </w:pPr>
          <w:r w:rsidRPr="005737EA">
            <w:rPr>
              <w:lang w:val="fr-CH"/>
            </w:rPr>
            <w:t>Français</w:t>
          </w:r>
        </w:p>
        <w:p w:rsidR="00DB18A0" w:rsidRPr="005737EA" w:rsidRDefault="00DB18A0" w:rsidP="00DB18A0">
          <w:pPr>
            <w:pStyle w:val="Original"/>
            <w:rPr>
              <w:color w:val="000000"/>
              <w:lang w:val="fr-CH"/>
            </w:rPr>
          </w:pPr>
          <w:r w:rsidRPr="005737EA">
            <w:rPr>
              <w:color w:val="000000"/>
              <w:lang w:val="fr-CH"/>
            </w:rPr>
            <w:t>Original : anglais</w:t>
          </w:r>
        </w:p>
      </w:tc>
    </w:tr>
  </w:tbl>
  <w:p w:rsidR="00DB18A0" w:rsidRPr="005737EA" w:rsidRDefault="00DB18A0" w:rsidP="00DB18A0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4291*"/>
    <w:docVar w:name="CreationDt" w:val="9/22/2015 11:16 AM"/>
    <w:docVar w:name="DocCategory" w:val="Doc"/>
    <w:docVar w:name="DocType" w:val="Final"/>
    <w:docVar w:name="DutyStation" w:val="Geneva"/>
    <w:docVar w:name="FooterJN" w:val="GE.15-14291"/>
    <w:docVar w:name="jobn" w:val="GE.15-14291 (F)"/>
    <w:docVar w:name="jobnDT" w:val="GE.15-14291 (F)   220915"/>
    <w:docVar w:name="jobnDTDT" w:val="GE.15-14291 (F)   220915   220915"/>
    <w:docVar w:name="JobNo" w:val="GE.1514291F"/>
    <w:docVar w:name="JobNo2" w:val="GE.1518980F"/>
    <w:docVar w:name="LocalDrive" w:val="0"/>
    <w:docVar w:name="OandT" w:val="N.Morin"/>
    <w:docVar w:name="PaperSize" w:val="A4"/>
    <w:docVar w:name="sss1" w:val="ECE/TRANS/WP.29/2015/93"/>
    <w:docVar w:name="sss2" w:val="-"/>
    <w:docVar w:name="Symbol1" w:val="ECE/TRANS/WP.29/2015/93"/>
    <w:docVar w:name="Symbol2" w:val="-"/>
  </w:docVars>
  <w:rsids>
    <w:rsidRoot w:val="00CC3F20"/>
    <w:rsid w:val="000015B8"/>
    <w:rsid w:val="000046A5"/>
    <w:rsid w:val="000055FB"/>
    <w:rsid w:val="00010C97"/>
    <w:rsid w:val="00016483"/>
    <w:rsid w:val="00022173"/>
    <w:rsid w:val="0002226F"/>
    <w:rsid w:val="00022B4A"/>
    <w:rsid w:val="000230B1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B2B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749"/>
    <w:rsid w:val="00316B58"/>
    <w:rsid w:val="00317AC2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399D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37E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08E9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259E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0A5C"/>
    <w:rsid w:val="00970FA0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248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1B72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A6797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C3F20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18A0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DB1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8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8A0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8A0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DB1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8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8A0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8A0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6372-4A71-42B2-A78D-877EE67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Caillot</cp:lastModifiedBy>
  <cp:revision>3</cp:revision>
  <cp:lastPrinted>2015-10-02T08:58:00Z</cp:lastPrinted>
  <dcterms:created xsi:type="dcterms:W3CDTF">2015-10-02T08:58:00Z</dcterms:created>
  <dcterms:modified xsi:type="dcterms:W3CDTF">2015-10-02T08:58:00Z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1514291F</vt:lpwstr>
  </property>
  <property fmtid="{D5CDD505-2E9C-101B-9397-08002B2CF9AE}" pid="3" name="ODSRefJobNo">
    <vt:lpwstr>1518980F</vt:lpwstr>
  </property>
  <property fmtid="{D5CDD505-2E9C-101B-9397-08002B2CF9AE}" pid="4" name="Symbol1">
    <vt:lpwstr>ECE/TRANS/WP.29/2015/93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25 août 2015</vt:lpwstr>
  </property>
  <property fmtid="{D5CDD505-2E9C-101B-9397-08002B2CF9AE}" pid="12" name="Original">
    <vt:lpwstr>anglais</vt:lpwstr>
  </property>
  <property fmtid="{D5CDD505-2E9C-101B-9397-08002B2CF9AE}" pid="13" name="Release Date">
    <vt:lpwstr>220915</vt:lpwstr>
  </property>
</Properties>
</file>