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344926" w:rsidTr="007F20FA">
        <w:trPr>
          <w:trHeight w:hRule="exact" w:val="851"/>
        </w:trPr>
        <w:tc>
          <w:tcPr>
            <w:tcW w:w="1276" w:type="dxa"/>
            <w:tcBorders>
              <w:bottom w:val="single" w:sz="4" w:space="0" w:color="auto"/>
            </w:tcBorders>
          </w:tcPr>
          <w:p w:rsidR="00F35BAF" w:rsidRPr="00344926" w:rsidRDefault="00F35BAF" w:rsidP="00207A96">
            <w:bookmarkStart w:id="0" w:name="_GoBack"/>
            <w:bookmarkEnd w:id="0"/>
          </w:p>
        </w:tc>
        <w:tc>
          <w:tcPr>
            <w:tcW w:w="2268" w:type="dxa"/>
            <w:tcBorders>
              <w:bottom w:val="single" w:sz="4" w:space="0" w:color="auto"/>
            </w:tcBorders>
            <w:vAlign w:val="bottom"/>
          </w:tcPr>
          <w:p w:rsidR="00F35BAF" w:rsidRPr="00344926" w:rsidRDefault="00F35BAF" w:rsidP="00892A2F">
            <w:pPr>
              <w:spacing w:after="80" w:line="300" w:lineRule="exact"/>
              <w:rPr>
                <w:sz w:val="28"/>
              </w:rPr>
            </w:pPr>
            <w:r w:rsidRPr="00344926">
              <w:rPr>
                <w:sz w:val="28"/>
              </w:rPr>
              <w:t>Nations Unies</w:t>
            </w:r>
          </w:p>
        </w:tc>
        <w:tc>
          <w:tcPr>
            <w:tcW w:w="6095" w:type="dxa"/>
            <w:gridSpan w:val="2"/>
            <w:tcBorders>
              <w:bottom w:val="single" w:sz="4" w:space="0" w:color="auto"/>
            </w:tcBorders>
            <w:vAlign w:val="bottom"/>
          </w:tcPr>
          <w:p w:rsidR="00F35BAF" w:rsidRPr="00344926" w:rsidRDefault="00207A96" w:rsidP="00207A96">
            <w:pPr>
              <w:jc w:val="right"/>
            </w:pPr>
            <w:r w:rsidRPr="00344926">
              <w:rPr>
                <w:sz w:val="40"/>
              </w:rPr>
              <w:t>ECE</w:t>
            </w:r>
            <w:r w:rsidRPr="00344926">
              <w:t>/TRANS/WP.29/2015/63</w:t>
            </w:r>
          </w:p>
        </w:tc>
      </w:tr>
      <w:tr w:rsidR="00F35BAF" w:rsidRPr="00344926" w:rsidTr="00892A2F">
        <w:trPr>
          <w:trHeight w:hRule="exact" w:val="2835"/>
        </w:trPr>
        <w:tc>
          <w:tcPr>
            <w:tcW w:w="1276" w:type="dxa"/>
            <w:tcBorders>
              <w:top w:val="single" w:sz="4" w:space="0" w:color="auto"/>
              <w:bottom w:val="single" w:sz="12" w:space="0" w:color="auto"/>
            </w:tcBorders>
          </w:tcPr>
          <w:p w:rsidR="00F35BAF" w:rsidRPr="00344926" w:rsidRDefault="00F35BAF" w:rsidP="00892A2F">
            <w:pPr>
              <w:spacing w:before="120"/>
              <w:jc w:val="center"/>
            </w:pPr>
            <w:r w:rsidRPr="00344926">
              <w:rPr>
                <w:noProof/>
                <w:lang w:val="en-GB" w:eastAsia="en-GB"/>
              </w:rPr>
              <w:drawing>
                <wp:inline distT="0" distB="0" distL="0" distR="0" wp14:anchorId="2AE0C4FC" wp14:editId="0BF1B39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344926" w:rsidRDefault="00F35BAF" w:rsidP="00892A2F">
            <w:pPr>
              <w:spacing w:before="120" w:line="420" w:lineRule="exact"/>
              <w:rPr>
                <w:b/>
                <w:sz w:val="40"/>
                <w:szCs w:val="40"/>
              </w:rPr>
            </w:pPr>
            <w:r w:rsidRPr="00344926">
              <w:rPr>
                <w:b/>
                <w:sz w:val="40"/>
                <w:szCs w:val="40"/>
              </w:rPr>
              <w:t>Conseil économique et social</w:t>
            </w:r>
          </w:p>
        </w:tc>
        <w:tc>
          <w:tcPr>
            <w:tcW w:w="2835" w:type="dxa"/>
            <w:tcBorders>
              <w:top w:val="single" w:sz="4" w:space="0" w:color="auto"/>
              <w:bottom w:val="single" w:sz="12" w:space="0" w:color="auto"/>
            </w:tcBorders>
          </w:tcPr>
          <w:p w:rsidR="00F35BAF" w:rsidRPr="00344926" w:rsidRDefault="00207A96" w:rsidP="00892A2F">
            <w:pPr>
              <w:spacing w:before="240"/>
            </w:pPr>
            <w:r w:rsidRPr="00344926">
              <w:t>Distr. générale</w:t>
            </w:r>
          </w:p>
          <w:p w:rsidR="00207A96" w:rsidRPr="00344926" w:rsidRDefault="00207A96" w:rsidP="00207A96">
            <w:pPr>
              <w:spacing w:line="240" w:lineRule="exact"/>
            </w:pPr>
            <w:r w:rsidRPr="00344926">
              <w:t>10 avril 2015</w:t>
            </w:r>
          </w:p>
          <w:p w:rsidR="00207A96" w:rsidRPr="00344926" w:rsidRDefault="00207A96" w:rsidP="00207A96">
            <w:pPr>
              <w:spacing w:line="240" w:lineRule="exact"/>
            </w:pPr>
            <w:r w:rsidRPr="00344926">
              <w:t>Français</w:t>
            </w:r>
          </w:p>
          <w:p w:rsidR="00207A96" w:rsidRPr="00344926" w:rsidRDefault="00207A96" w:rsidP="00207A96">
            <w:pPr>
              <w:spacing w:line="240" w:lineRule="exact"/>
            </w:pPr>
            <w:r w:rsidRPr="00344926">
              <w:t>Original: anglais</w:t>
            </w:r>
          </w:p>
        </w:tc>
      </w:tr>
    </w:tbl>
    <w:p w:rsidR="007F20FA" w:rsidRPr="00344926" w:rsidRDefault="007F20FA" w:rsidP="007F20FA">
      <w:pPr>
        <w:spacing w:before="120"/>
        <w:rPr>
          <w:b/>
          <w:sz w:val="28"/>
          <w:szCs w:val="28"/>
        </w:rPr>
      </w:pPr>
      <w:r w:rsidRPr="00344926">
        <w:rPr>
          <w:b/>
          <w:sz w:val="28"/>
          <w:szCs w:val="28"/>
        </w:rPr>
        <w:t>Commission économique pour l’Europe</w:t>
      </w:r>
    </w:p>
    <w:p w:rsidR="007F20FA" w:rsidRPr="00344926" w:rsidRDefault="007F20FA" w:rsidP="007F20FA">
      <w:pPr>
        <w:spacing w:before="120"/>
        <w:rPr>
          <w:sz w:val="28"/>
          <w:szCs w:val="28"/>
        </w:rPr>
      </w:pPr>
      <w:r w:rsidRPr="00344926">
        <w:rPr>
          <w:sz w:val="28"/>
          <w:szCs w:val="28"/>
        </w:rPr>
        <w:t>Comité des transports intérieurs</w:t>
      </w:r>
    </w:p>
    <w:p w:rsidR="00207A96" w:rsidRPr="00344926" w:rsidRDefault="00207A96" w:rsidP="00AF0CB5">
      <w:pPr>
        <w:spacing w:before="120"/>
        <w:rPr>
          <w:b/>
          <w:sz w:val="24"/>
          <w:szCs w:val="24"/>
        </w:rPr>
      </w:pPr>
      <w:r w:rsidRPr="00344926">
        <w:rPr>
          <w:b/>
          <w:sz w:val="24"/>
          <w:szCs w:val="24"/>
        </w:rPr>
        <w:t>Forum mondial de l’harmonisation</w:t>
      </w:r>
      <w:r w:rsidRPr="00344926">
        <w:rPr>
          <w:b/>
          <w:sz w:val="24"/>
          <w:szCs w:val="24"/>
        </w:rPr>
        <w:br/>
        <w:t>des Règlements concernant les véhicules</w:t>
      </w:r>
    </w:p>
    <w:p w:rsidR="00207A96" w:rsidRPr="00344926" w:rsidRDefault="00207A96" w:rsidP="00207A96">
      <w:pPr>
        <w:tabs>
          <w:tab w:val="center" w:pos="4819"/>
        </w:tabs>
        <w:kinsoku/>
        <w:overflowPunct/>
        <w:autoSpaceDE/>
        <w:autoSpaceDN/>
        <w:adjustRightInd/>
        <w:snapToGrid/>
        <w:spacing w:before="120"/>
        <w:rPr>
          <w:b/>
          <w:szCs w:val="24"/>
        </w:rPr>
      </w:pPr>
      <w:r w:rsidRPr="00344926">
        <w:rPr>
          <w:b/>
          <w:szCs w:val="24"/>
        </w:rPr>
        <w:t>166</w:t>
      </w:r>
      <w:r w:rsidRPr="00344926">
        <w:rPr>
          <w:b/>
          <w:szCs w:val="24"/>
          <w:vertAlign w:val="superscript"/>
        </w:rPr>
        <w:t>e</w:t>
      </w:r>
      <w:r w:rsidRPr="00344926">
        <w:rPr>
          <w:b/>
          <w:szCs w:val="24"/>
        </w:rPr>
        <w:t xml:space="preserve"> session</w:t>
      </w:r>
    </w:p>
    <w:p w:rsidR="00207A96" w:rsidRPr="00344926" w:rsidRDefault="00207A96" w:rsidP="00207A96">
      <w:pPr>
        <w:kinsoku/>
        <w:overflowPunct/>
        <w:autoSpaceDE/>
        <w:autoSpaceDN/>
        <w:adjustRightInd/>
        <w:snapToGrid/>
        <w:rPr>
          <w:szCs w:val="24"/>
        </w:rPr>
      </w:pPr>
      <w:r w:rsidRPr="00344926">
        <w:rPr>
          <w:szCs w:val="24"/>
        </w:rPr>
        <w:t>Genève, 23-26 juin 2015</w:t>
      </w:r>
    </w:p>
    <w:p w:rsidR="00207A96" w:rsidRPr="00344926" w:rsidRDefault="00207A96" w:rsidP="00207A96">
      <w:pPr>
        <w:kinsoku/>
        <w:overflowPunct/>
        <w:autoSpaceDE/>
        <w:autoSpaceDN/>
        <w:adjustRightInd/>
        <w:snapToGrid/>
        <w:rPr>
          <w:szCs w:val="24"/>
        </w:rPr>
      </w:pPr>
      <w:r w:rsidRPr="00344926">
        <w:rPr>
          <w:szCs w:val="24"/>
        </w:rPr>
        <w:t>Point 4.8.5 de l’ordre du jour provisoire</w:t>
      </w:r>
    </w:p>
    <w:p w:rsidR="00207A96" w:rsidRPr="00344926" w:rsidRDefault="00207A96" w:rsidP="00344926">
      <w:pPr>
        <w:kinsoku/>
        <w:overflowPunct/>
        <w:autoSpaceDE/>
        <w:autoSpaceDN/>
        <w:adjustRightInd/>
        <w:snapToGrid/>
        <w:ind w:right="708"/>
        <w:rPr>
          <w:b/>
          <w:szCs w:val="24"/>
        </w:rPr>
      </w:pPr>
      <w:r w:rsidRPr="00344926">
        <w:rPr>
          <w:b/>
          <w:szCs w:val="24"/>
        </w:rPr>
        <w:t xml:space="preserve">Accord de 1958 </w:t>
      </w:r>
      <w:r w:rsidR="00344926" w:rsidRPr="00344926">
        <w:rPr>
          <w:b/>
          <w:szCs w:val="24"/>
        </w:rPr>
        <w:t>−</w:t>
      </w:r>
      <w:r w:rsidRPr="00344926">
        <w:rPr>
          <w:b/>
          <w:szCs w:val="24"/>
        </w:rPr>
        <w:t xml:space="preserve"> Examen de projets d’amendements </w:t>
      </w:r>
      <w:r w:rsidRPr="00344926">
        <w:rPr>
          <w:b/>
          <w:szCs w:val="24"/>
        </w:rPr>
        <w:br/>
        <w:t xml:space="preserve">à des Règlements </w:t>
      </w:r>
      <w:r w:rsidR="00344926" w:rsidRPr="00344926">
        <w:rPr>
          <w:b/>
          <w:szCs w:val="24"/>
        </w:rPr>
        <w:t>existants, proposés par le GRB</w:t>
      </w:r>
    </w:p>
    <w:p w:rsidR="00207A96" w:rsidRPr="00344926" w:rsidRDefault="00207A96" w:rsidP="00344926">
      <w:pPr>
        <w:pStyle w:val="HChG"/>
      </w:pPr>
      <w:r w:rsidRPr="00344926">
        <w:tab/>
      </w:r>
      <w:r w:rsidRPr="00344926">
        <w:tab/>
        <w:t>Proposition de complément 1 à la série 02 d’</w:t>
      </w:r>
      <w:r w:rsidR="00344926" w:rsidRPr="00344926">
        <w:t>amendements au </w:t>
      </w:r>
      <w:r w:rsidRPr="00344926">
        <w:t xml:space="preserve">Règlement </w:t>
      </w:r>
      <w:r w:rsidR="00344926" w:rsidRPr="00344926">
        <w:rPr>
          <w:rFonts w:eastAsia="MS Mincho"/>
        </w:rPr>
        <w:t>n</w:t>
      </w:r>
      <w:r w:rsidR="00344926" w:rsidRPr="00344926">
        <w:rPr>
          <w:rFonts w:eastAsia="MS Mincho"/>
          <w:vertAlign w:val="superscript"/>
        </w:rPr>
        <w:t>o</w:t>
      </w:r>
      <w:r w:rsidR="00344926" w:rsidRPr="00344926">
        <w:t> </w:t>
      </w:r>
      <w:r w:rsidRPr="00344926">
        <w:t>59 (</w:t>
      </w:r>
      <w:r w:rsidR="00344926" w:rsidRPr="00344926">
        <w:t xml:space="preserve">Dispositifs </w:t>
      </w:r>
      <w:r w:rsidRPr="00344926">
        <w:t>silencieux d’</w:t>
      </w:r>
      <w:r w:rsidR="00344926" w:rsidRPr="00344926">
        <w:t>échappement de </w:t>
      </w:r>
      <w:r w:rsidRPr="00344926">
        <w:t>remplacement)</w:t>
      </w:r>
    </w:p>
    <w:p w:rsidR="00207A96" w:rsidRPr="00344926" w:rsidRDefault="00207A96" w:rsidP="00207A96">
      <w:pPr>
        <w:pStyle w:val="H1G"/>
      </w:pPr>
      <w:r w:rsidRPr="00344926">
        <w:tab/>
      </w:r>
      <w:r w:rsidRPr="00344926">
        <w:tab/>
        <w:t>Communication du Groupe de travail du bruit</w:t>
      </w:r>
      <w:r w:rsidRPr="00344926">
        <w:rPr>
          <w:b w:val="0"/>
          <w:bCs/>
          <w:sz w:val="20"/>
        </w:rPr>
        <w:footnoteReference w:customMarkFollows="1" w:id="2"/>
        <w:t>*</w:t>
      </w:r>
    </w:p>
    <w:p w:rsidR="00207A96" w:rsidRPr="00344926" w:rsidRDefault="00207A96" w:rsidP="00344926">
      <w:pPr>
        <w:pStyle w:val="SingleTxtG"/>
        <w:ind w:firstLine="567"/>
        <w:rPr>
          <w:rFonts w:eastAsiaTheme="minorHAnsi"/>
        </w:rPr>
      </w:pPr>
      <w:r w:rsidRPr="00344926">
        <w:t>Le texte reproduit ci-après, adopté par le Groupe de travail du bruit (GRB) à sa soixante et unième sessio</w:t>
      </w:r>
      <w:r w:rsidR="00344926" w:rsidRPr="00344926">
        <w:t>n (ECE/TRANS/WP.29/GRB/59, par. </w:t>
      </w:r>
      <w:r w:rsidRPr="00344926">
        <w:t>12) est fondé sur le document ECE/TRANS/WP.29/GRB/2015/4 tel que modifié par l’annexe IV du document ECE/TRANS/WP.29/GRB/59. Il est soumis au Forum mondial de l’</w:t>
      </w:r>
      <w:r w:rsidR="00344926" w:rsidRPr="00344926">
        <w:t>harmonisation des </w:t>
      </w:r>
      <w:r w:rsidRPr="00344926">
        <w:t>Règlements concernant les véhicules (WP.29) et au Comité d’administration (AC.1) pour examen.</w:t>
      </w:r>
    </w:p>
    <w:p w:rsidR="00207A96" w:rsidRPr="00344926" w:rsidRDefault="00207A96" w:rsidP="00207A96">
      <w:pPr>
        <w:kinsoku/>
        <w:overflowPunct/>
        <w:autoSpaceDE/>
        <w:autoSpaceDN/>
        <w:adjustRightInd/>
        <w:snapToGrid/>
        <w:spacing w:after="120"/>
        <w:ind w:left="1134" w:right="1134"/>
        <w:jc w:val="both"/>
        <w:rPr>
          <w:szCs w:val="24"/>
          <w:lang w:eastAsia="en-GB"/>
        </w:rPr>
      </w:pPr>
      <w:r w:rsidRPr="00344926">
        <w:br w:type="page"/>
      </w:r>
      <w:r w:rsidRPr="00344926">
        <w:rPr>
          <w:i/>
          <w:iCs/>
          <w:szCs w:val="24"/>
        </w:rPr>
        <w:lastRenderedPageBreak/>
        <w:t>Paragraphe 2.1</w:t>
      </w:r>
      <w:r w:rsidRPr="00344926">
        <w:rPr>
          <w:szCs w:val="24"/>
        </w:rPr>
        <w:t xml:space="preserve">, </w:t>
      </w:r>
      <w:proofErr w:type="gramStart"/>
      <w:r w:rsidRPr="00344926">
        <w:rPr>
          <w:iCs/>
          <w:szCs w:val="24"/>
        </w:rPr>
        <w:t>modifier</w:t>
      </w:r>
      <w:proofErr w:type="gramEnd"/>
      <w:r w:rsidRPr="00344926">
        <w:rPr>
          <w:iCs/>
          <w:szCs w:val="24"/>
        </w:rPr>
        <w:t xml:space="preserve"> comme suit</w:t>
      </w:r>
      <w:r w:rsidRPr="00344926">
        <w:rPr>
          <w:szCs w:val="24"/>
        </w:rPr>
        <w:t xml:space="preserve">: </w:t>
      </w:r>
    </w:p>
    <w:p w:rsidR="00207A96" w:rsidRPr="00344926" w:rsidRDefault="00344926" w:rsidP="00344926">
      <w:pPr>
        <w:kinsoku/>
        <w:overflowPunct/>
        <w:autoSpaceDE/>
        <w:autoSpaceDN/>
        <w:adjustRightInd/>
        <w:snapToGrid/>
        <w:spacing w:after="120"/>
        <w:ind w:left="2268" w:right="1134" w:hanging="1134"/>
        <w:jc w:val="both"/>
        <w:rPr>
          <w:bCs/>
          <w:strike/>
          <w:szCs w:val="24"/>
          <w:lang w:eastAsia="en-GB"/>
        </w:rPr>
      </w:pPr>
      <w:r>
        <w:rPr>
          <w:bCs/>
          <w:szCs w:val="24"/>
          <w:lang w:eastAsia="en-GB"/>
        </w:rPr>
        <w:t>«</w:t>
      </w:r>
      <w:r w:rsidR="00207A96" w:rsidRPr="00344926">
        <w:rPr>
          <w:bCs/>
          <w:szCs w:val="24"/>
          <w:lang w:eastAsia="en-GB"/>
        </w:rPr>
        <w:t>2.1.</w:t>
      </w:r>
      <w:r w:rsidR="00207A96" w:rsidRPr="00344926">
        <w:rPr>
          <w:bCs/>
          <w:szCs w:val="24"/>
          <w:lang w:eastAsia="en-GB"/>
        </w:rPr>
        <w:tab/>
        <w:t xml:space="preserve">Par </w:t>
      </w:r>
      <w:r>
        <w:rPr>
          <w:bCs/>
          <w:szCs w:val="24"/>
          <w:lang w:eastAsia="en-GB"/>
        </w:rPr>
        <w:t>“</w:t>
      </w:r>
      <w:r w:rsidR="00207A96" w:rsidRPr="00344926">
        <w:rPr>
          <w:bCs/>
          <w:i/>
          <w:iCs/>
          <w:szCs w:val="24"/>
          <w:lang w:eastAsia="en-GB"/>
        </w:rPr>
        <w:t>dispositif silencieux</w:t>
      </w:r>
      <w:r>
        <w:rPr>
          <w:bCs/>
          <w:szCs w:val="24"/>
          <w:lang w:eastAsia="en-GB"/>
        </w:rPr>
        <w:t>”</w:t>
      </w:r>
      <w:r w:rsidR="00207A96" w:rsidRPr="00344926">
        <w:rPr>
          <w:bCs/>
          <w:szCs w:val="24"/>
          <w:lang w:eastAsia="en-GB"/>
        </w:rPr>
        <w:t>, un jeu complet d’éléments nécessaires pour limiter les émissions sonores d’un moteur, de son admission et de son échappement.</w:t>
      </w:r>
      <w:r>
        <w:rPr>
          <w:bCs/>
          <w:szCs w:val="24"/>
          <w:lang w:eastAsia="en-GB"/>
        </w:rPr>
        <w:t>»</w:t>
      </w:r>
      <w:r w:rsidR="00207A96" w:rsidRPr="00344926">
        <w:rPr>
          <w:bCs/>
          <w:szCs w:val="24"/>
          <w:lang w:eastAsia="en-GB"/>
        </w:rPr>
        <w:t>.</w:t>
      </w:r>
    </w:p>
    <w:p w:rsidR="00207A96" w:rsidRPr="00344926" w:rsidRDefault="00207A96" w:rsidP="00207A96">
      <w:pPr>
        <w:kinsoku/>
        <w:overflowPunct/>
        <w:autoSpaceDE/>
        <w:autoSpaceDN/>
        <w:adjustRightInd/>
        <w:snapToGrid/>
        <w:spacing w:after="120"/>
        <w:ind w:left="2268" w:right="1134" w:hanging="1134"/>
        <w:jc w:val="both"/>
        <w:rPr>
          <w:szCs w:val="24"/>
        </w:rPr>
      </w:pPr>
      <w:r w:rsidRPr="00344926">
        <w:rPr>
          <w:i/>
          <w:szCs w:val="24"/>
        </w:rPr>
        <w:t>Annexe 6, paragraphes 1 à 3</w:t>
      </w:r>
      <w:r w:rsidRPr="00344926">
        <w:rPr>
          <w:szCs w:val="24"/>
        </w:rPr>
        <w:t xml:space="preserve">, </w:t>
      </w:r>
      <w:proofErr w:type="gramStart"/>
      <w:r w:rsidRPr="00344926">
        <w:rPr>
          <w:szCs w:val="24"/>
        </w:rPr>
        <w:t>modifier</w:t>
      </w:r>
      <w:proofErr w:type="gramEnd"/>
      <w:r w:rsidRPr="00344926">
        <w:rPr>
          <w:szCs w:val="24"/>
        </w:rPr>
        <w:t xml:space="preserve"> comme suit:</w:t>
      </w:r>
    </w:p>
    <w:p w:rsidR="00207A96" w:rsidRPr="00344926" w:rsidRDefault="00344926" w:rsidP="00344926">
      <w:pPr>
        <w:kinsoku/>
        <w:overflowPunct/>
        <w:autoSpaceDE/>
        <w:autoSpaceDN/>
        <w:adjustRightInd/>
        <w:snapToGrid/>
        <w:spacing w:after="120"/>
        <w:ind w:left="2268" w:right="1134" w:hanging="1134"/>
        <w:jc w:val="both"/>
        <w:rPr>
          <w:bCs/>
          <w:szCs w:val="24"/>
        </w:rPr>
      </w:pPr>
      <w:r>
        <w:rPr>
          <w:bCs/>
          <w:szCs w:val="24"/>
        </w:rPr>
        <w:t>«1.</w:t>
      </w:r>
      <w:r>
        <w:rPr>
          <w:bCs/>
          <w:szCs w:val="24"/>
        </w:rPr>
        <w:tab/>
        <w:t>C</w:t>
      </w:r>
      <w:r w:rsidR="00207A96" w:rsidRPr="00344926">
        <w:rPr>
          <w:bCs/>
          <w:szCs w:val="24"/>
        </w:rPr>
        <w:t>haque dispositif silencieux d’échappement de remplacement doit être accompagné d’un document</w:t>
      </w:r>
      <w:r w:rsidRPr="00344926">
        <w:rPr>
          <w:bCs/>
          <w:szCs w:val="24"/>
        </w:rPr>
        <w:t xml:space="preserve"> </w:t>
      </w:r>
      <w:r w:rsidR="00207A96" w:rsidRPr="00344926">
        <w:rPr>
          <w:bCs/>
          <w:szCs w:val="24"/>
        </w:rPr>
        <w:t>délivré par le constructeur ou son représentant. Ce document doit au moins porter les informations suivantes:</w:t>
      </w:r>
    </w:p>
    <w:p w:rsidR="00207A96" w:rsidRPr="00344926" w:rsidRDefault="00344926" w:rsidP="00344926">
      <w:pPr>
        <w:kinsoku/>
        <w:overflowPunct/>
        <w:autoSpaceDE/>
        <w:autoSpaceDN/>
        <w:adjustRightInd/>
        <w:snapToGrid/>
        <w:spacing w:after="120"/>
        <w:ind w:left="2835" w:right="1134" w:hanging="567"/>
        <w:jc w:val="both"/>
        <w:rPr>
          <w:szCs w:val="24"/>
        </w:rPr>
      </w:pPr>
      <w:r>
        <w:rPr>
          <w:szCs w:val="24"/>
        </w:rPr>
        <w:t>a)</w:t>
      </w:r>
      <w:r w:rsidR="00207A96" w:rsidRPr="00344926">
        <w:rPr>
          <w:szCs w:val="24"/>
        </w:rPr>
        <w:tab/>
        <w:t>Numéro d’homologation du type du dispositif silencieux d’échappement de remplacement (la 5</w:t>
      </w:r>
      <w:r w:rsidR="00207A96" w:rsidRPr="00344926">
        <w:rPr>
          <w:szCs w:val="24"/>
          <w:vertAlign w:val="superscript"/>
        </w:rPr>
        <w:t>e</w:t>
      </w:r>
      <w:r>
        <w:t> </w:t>
      </w:r>
      <w:r w:rsidR="00207A96" w:rsidRPr="00344926">
        <w:rPr>
          <w:szCs w:val="24"/>
        </w:rPr>
        <w:t>section indiquant le numéro de l’extension d’homologation peut être omise);</w:t>
      </w:r>
    </w:p>
    <w:p w:rsidR="00207A96" w:rsidRPr="00344926" w:rsidRDefault="00207A96" w:rsidP="00344926">
      <w:pPr>
        <w:kinsoku/>
        <w:overflowPunct/>
        <w:autoSpaceDE/>
        <w:autoSpaceDN/>
        <w:adjustRightInd/>
        <w:snapToGrid/>
        <w:spacing w:after="120"/>
        <w:ind w:left="2835" w:right="1134" w:hanging="567"/>
        <w:jc w:val="both"/>
        <w:rPr>
          <w:szCs w:val="24"/>
        </w:rPr>
      </w:pPr>
      <w:r w:rsidRPr="00344926">
        <w:rPr>
          <w:szCs w:val="24"/>
        </w:rPr>
        <w:t>b)</w:t>
      </w:r>
      <w:r w:rsidRPr="00344926">
        <w:rPr>
          <w:szCs w:val="24"/>
        </w:rPr>
        <w:tab/>
        <w:t>Marque d’homologation de type;</w:t>
      </w:r>
    </w:p>
    <w:p w:rsidR="00207A96" w:rsidRPr="00344926" w:rsidRDefault="00207A96" w:rsidP="00344926">
      <w:pPr>
        <w:kinsoku/>
        <w:overflowPunct/>
        <w:autoSpaceDE/>
        <w:autoSpaceDN/>
        <w:adjustRightInd/>
        <w:snapToGrid/>
        <w:spacing w:after="120"/>
        <w:ind w:left="2835" w:right="1134" w:hanging="567"/>
        <w:jc w:val="both"/>
        <w:rPr>
          <w:szCs w:val="24"/>
        </w:rPr>
      </w:pPr>
      <w:r w:rsidRPr="00344926">
        <w:rPr>
          <w:szCs w:val="24"/>
        </w:rPr>
        <w:t>c)</w:t>
      </w:r>
      <w:r w:rsidRPr="00344926">
        <w:rPr>
          <w:szCs w:val="24"/>
        </w:rPr>
        <w:tab/>
        <w:t>Marque (raison sociale du constructeur):</w:t>
      </w:r>
    </w:p>
    <w:p w:rsidR="00207A96" w:rsidRPr="00344926" w:rsidRDefault="00207A96" w:rsidP="00344926">
      <w:pPr>
        <w:kinsoku/>
        <w:overflowPunct/>
        <w:autoSpaceDE/>
        <w:autoSpaceDN/>
        <w:adjustRightInd/>
        <w:snapToGrid/>
        <w:spacing w:after="120"/>
        <w:ind w:left="2835" w:right="1134" w:hanging="567"/>
        <w:jc w:val="both"/>
        <w:rPr>
          <w:szCs w:val="24"/>
        </w:rPr>
      </w:pPr>
      <w:r w:rsidRPr="00344926">
        <w:rPr>
          <w:szCs w:val="24"/>
        </w:rPr>
        <w:t>d)</w:t>
      </w:r>
      <w:r w:rsidRPr="00344926">
        <w:rPr>
          <w:szCs w:val="24"/>
        </w:rPr>
        <w:tab/>
        <w:t xml:space="preserve">Type et dénomination(s) commerciale(s) et/ou numéro de pièce; </w:t>
      </w:r>
    </w:p>
    <w:p w:rsidR="00207A96" w:rsidRPr="00344926" w:rsidRDefault="00207A96" w:rsidP="00344926">
      <w:pPr>
        <w:kinsoku/>
        <w:overflowPunct/>
        <w:autoSpaceDE/>
        <w:autoSpaceDN/>
        <w:adjustRightInd/>
        <w:snapToGrid/>
        <w:spacing w:after="120"/>
        <w:ind w:left="2835" w:right="1134" w:hanging="567"/>
        <w:jc w:val="both"/>
        <w:rPr>
          <w:szCs w:val="24"/>
        </w:rPr>
      </w:pPr>
      <w:r w:rsidRPr="00344926">
        <w:rPr>
          <w:szCs w:val="24"/>
        </w:rPr>
        <w:t>e)</w:t>
      </w:r>
      <w:r w:rsidRPr="00344926">
        <w:rPr>
          <w:szCs w:val="24"/>
        </w:rPr>
        <w:tab/>
        <w:t>Nom de l’entreprise et adresse du constructeur;</w:t>
      </w:r>
    </w:p>
    <w:p w:rsidR="00207A96" w:rsidRPr="00344926" w:rsidRDefault="00207A96" w:rsidP="00344926">
      <w:pPr>
        <w:kinsoku/>
        <w:overflowPunct/>
        <w:autoSpaceDE/>
        <w:autoSpaceDN/>
        <w:adjustRightInd/>
        <w:snapToGrid/>
        <w:spacing w:after="120"/>
        <w:ind w:left="2835" w:right="1134" w:hanging="567"/>
        <w:jc w:val="both"/>
        <w:rPr>
          <w:szCs w:val="24"/>
        </w:rPr>
      </w:pPr>
      <w:r w:rsidRPr="00344926">
        <w:rPr>
          <w:szCs w:val="24"/>
        </w:rPr>
        <w:t>f)</w:t>
      </w:r>
      <w:r w:rsidRPr="00344926">
        <w:rPr>
          <w:szCs w:val="24"/>
        </w:rPr>
        <w:tab/>
        <w:t>Nom et adresse du mandataire du constructeur (le cas échéant);</w:t>
      </w:r>
    </w:p>
    <w:p w:rsidR="00207A96" w:rsidRPr="00344926" w:rsidRDefault="00207A96" w:rsidP="00344926">
      <w:pPr>
        <w:kinsoku/>
        <w:overflowPunct/>
        <w:autoSpaceDE/>
        <w:autoSpaceDN/>
        <w:adjustRightInd/>
        <w:snapToGrid/>
        <w:spacing w:after="120"/>
        <w:ind w:left="2835" w:right="1134" w:hanging="567"/>
        <w:jc w:val="both"/>
        <w:rPr>
          <w:szCs w:val="24"/>
        </w:rPr>
      </w:pPr>
      <w:r w:rsidRPr="00344926">
        <w:rPr>
          <w:szCs w:val="24"/>
        </w:rPr>
        <w:t>g)</w:t>
      </w:r>
      <w:r w:rsidRPr="00344926">
        <w:rPr>
          <w:szCs w:val="24"/>
        </w:rPr>
        <w:tab/>
        <w:t>Informations sur les véhicules auxquels le dispositif silencieux d’échappement de remplacement est destiné:</w:t>
      </w:r>
    </w:p>
    <w:p w:rsidR="00207A96" w:rsidRPr="00344926" w:rsidRDefault="00207A96" w:rsidP="00207A96">
      <w:pPr>
        <w:kinsoku/>
        <w:overflowPunct/>
        <w:autoSpaceDE/>
        <w:autoSpaceDN/>
        <w:adjustRightInd/>
        <w:snapToGrid/>
        <w:spacing w:after="120"/>
        <w:ind w:left="3402" w:right="1134" w:hanging="567"/>
        <w:jc w:val="both"/>
        <w:rPr>
          <w:szCs w:val="24"/>
        </w:rPr>
      </w:pPr>
      <w:r w:rsidRPr="00344926">
        <w:rPr>
          <w:szCs w:val="24"/>
        </w:rPr>
        <w:t>i)</w:t>
      </w:r>
      <w:r w:rsidRPr="00344926">
        <w:rPr>
          <w:szCs w:val="24"/>
        </w:rPr>
        <w:tab/>
        <w:t>Marque;</w:t>
      </w:r>
    </w:p>
    <w:p w:rsidR="00207A96" w:rsidRPr="00344926" w:rsidRDefault="00207A96" w:rsidP="00207A96">
      <w:pPr>
        <w:kinsoku/>
        <w:overflowPunct/>
        <w:autoSpaceDE/>
        <w:autoSpaceDN/>
        <w:adjustRightInd/>
        <w:snapToGrid/>
        <w:spacing w:after="120"/>
        <w:ind w:left="3402" w:right="1134" w:hanging="567"/>
        <w:jc w:val="both"/>
        <w:rPr>
          <w:szCs w:val="24"/>
        </w:rPr>
      </w:pPr>
      <w:r w:rsidRPr="00344926">
        <w:rPr>
          <w:szCs w:val="24"/>
        </w:rPr>
        <w:t>ii)</w:t>
      </w:r>
      <w:r w:rsidRPr="00344926">
        <w:rPr>
          <w:szCs w:val="24"/>
        </w:rPr>
        <w:tab/>
        <w:t>Type;</w:t>
      </w:r>
    </w:p>
    <w:p w:rsidR="00207A96" w:rsidRPr="00344926" w:rsidRDefault="00207A96" w:rsidP="00207A96">
      <w:pPr>
        <w:kinsoku/>
        <w:overflowPunct/>
        <w:autoSpaceDE/>
        <w:autoSpaceDN/>
        <w:adjustRightInd/>
        <w:snapToGrid/>
        <w:spacing w:after="120"/>
        <w:ind w:left="3402" w:right="1134" w:hanging="567"/>
        <w:jc w:val="both"/>
        <w:rPr>
          <w:szCs w:val="24"/>
        </w:rPr>
      </w:pPr>
      <w:r w:rsidRPr="00344926">
        <w:rPr>
          <w:szCs w:val="24"/>
        </w:rPr>
        <w:t>iii)</w:t>
      </w:r>
      <w:r w:rsidRPr="00344926">
        <w:rPr>
          <w:szCs w:val="24"/>
        </w:rPr>
        <w:tab/>
        <w:t xml:space="preserve">Numéro d’homologation; </w:t>
      </w:r>
    </w:p>
    <w:p w:rsidR="00207A96" w:rsidRPr="00344926" w:rsidRDefault="00207A96" w:rsidP="00207A96">
      <w:pPr>
        <w:kinsoku/>
        <w:overflowPunct/>
        <w:autoSpaceDE/>
        <w:autoSpaceDN/>
        <w:adjustRightInd/>
        <w:snapToGrid/>
        <w:spacing w:after="120"/>
        <w:ind w:left="3402" w:right="1134" w:hanging="567"/>
        <w:jc w:val="both"/>
        <w:rPr>
          <w:szCs w:val="24"/>
        </w:rPr>
      </w:pPr>
      <w:r w:rsidRPr="00344926">
        <w:rPr>
          <w:szCs w:val="24"/>
        </w:rPr>
        <w:t>iv)</w:t>
      </w:r>
      <w:r w:rsidRPr="00344926">
        <w:rPr>
          <w:szCs w:val="24"/>
        </w:rPr>
        <w:tab/>
        <w:t>Code du moteur;</w:t>
      </w:r>
    </w:p>
    <w:p w:rsidR="00207A96" w:rsidRPr="00344926" w:rsidRDefault="00207A96" w:rsidP="00207A96">
      <w:pPr>
        <w:kinsoku/>
        <w:overflowPunct/>
        <w:autoSpaceDE/>
        <w:autoSpaceDN/>
        <w:adjustRightInd/>
        <w:snapToGrid/>
        <w:spacing w:after="120"/>
        <w:ind w:left="3402" w:right="1134" w:hanging="567"/>
        <w:jc w:val="both"/>
        <w:rPr>
          <w:szCs w:val="24"/>
        </w:rPr>
      </w:pPr>
      <w:r w:rsidRPr="00344926">
        <w:rPr>
          <w:szCs w:val="24"/>
        </w:rPr>
        <w:t>v)</w:t>
      </w:r>
      <w:r w:rsidRPr="00344926">
        <w:rPr>
          <w:szCs w:val="24"/>
        </w:rPr>
        <w:tab/>
        <w:t>Puissance maximale nette nominale;</w:t>
      </w:r>
    </w:p>
    <w:p w:rsidR="00207A96" w:rsidRPr="00344926" w:rsidRDefault="00207A96" w:rsidP="00207A96">
      <w:pPr>
        <w:kinsoku/>
        <w:overflowPunct/>
        <w:autoSpaceDE/>
        <w:autoSpaceDN/>
        <w:adjustRightInd/>
        <w:snapToGrid/>
        <w:spacing w:after="120"/>
        <w:ind w:left="3402" w:right="1134" w:hanging="567"/>
        <w:jc w:val="both"/>
        <w:rPr>
          <w:szCs w:val="24"/>
        </w:rPr>
      </w:pPr>
      <w:r w:rsidRPr="00344926">
        <w:rPr>
          <w:szCs w:val="24"/>
        </w:rPr>
        <w:t>vi)</w:t>
      </w:r>
      <w:r w:rsidRPr="00344926">
        <w:rPr>
          <w:szCs w:val="24"/>
        </w:rPr>
        <w:tab/>
        <w:t>Type de transmission;</w:t>
      </w:r>
    </w:p>
    <w:p w:rsidR="00207A96" w:rsidRPr="00344926" w:rsidRDefault="00207A96" w:rsidP="00207A96">
      <w:pPr>
        <w:kinsoku/>
        <w:overflowPunct/>
        <w:autoSpaceDE/>
        <w:autoSpaceDN/>
        <w:adjustRightInd/>
        <w:snapToGrid/>
        <w:spacing w:after="120"/>
        <w:ind w:left="3402" w:right="1134" w:hanging="567"/>
        <w:jc w:val="both"/>
        <w:rPr>
          <w:szCs w:val="24"/>
        </w:rPr>
      </w:pPr>
      <w:r w:rsidRPr="00344926">
        <w:rPr>
          <w:szCs w:val="24"/>
        </w:rPr>
        <w:t>vii)</w:t>
      </w:r>
      <w:r w:rsidRPr="00344926">
        <w:rPr>
          <w:szCs w:val="24"/>
        </w:rPr>
        <w:tab/>
        <w:t>Toute restriction concernant les véhicules sur lesquels le système peut être monté;</w:t>
      </w:r>
    </w:p>
    <w:p w:rsidR="00207A96" w:rsidRPr="00344926" w:rsidRDefault="00207A96" w:rsidP="00207A96">
      <w:pPr>
        <w:kinsoku/>
        <w:overflowPunct/>
        <w:autoSpaceDE/>
        <w:autoSpaceDN/>
        <w:adjustRightInd/>
        <w:snapToGrid/>
        <w:spacing w:after="120"/>
        <w:ind w:left="2835" w:right="1134" w:hanging="567"/>
        <w:jc w:val="both"/>
        <w:rPr>
          <w:bCs/>
          <w:szCs w:val="24"/>
        </w:rPr>
      </w:pPr>
      <w:r w:rsidRPr="00344926">
        <w:rPr>
          <w:szCs w:val="24"/>
        </w:rPr>
        <w:t>h)</w:t>
      </w:r>
      <w:r w:rsidRPr="00344926">
        <w:rPr>
          <w:szCs w:val="24"/>
        </w:rPr>
        <w:tab/>
        <w:t>Instructions de montage.</w:t>
      </w:r>
    </w:p>
    <w:p w:rsidR="00207A96" w:rsidRPr="00344926" w:rsidRDefault="00344926" w:rsidP="00207A96">
      <w:pPr>
        <w:tabs>
          <w:tab w:val="left" w:pos="2268"/>
        </w:tabs>
        <w:kinsoku/>
        <w:overflowPunct/>
        <w:autoSpaceDE/>
        <w:autoSpaceDN/>
        <w:adjustRightInd/>
        <w:snapToGrid/>
        <w:spacing w:after="120"/>
        <w:ind w:left="2259" w:right="1134" w:hanging="1125"/>
        <w:jc w:val="both"/>
        <w:rPr>
          <w:bCs/>
          <w:szCs w:val="24"/>
        </w:rPr>
      </w:pPr>
      <w:r>
        <w:rPr>
          <w:bCs/>
          <w:szCs w:val="24"/>
        </w:rPr>
        <w:t>2.</w:t>
      </w:r>
      <w:r w:rsidR="00207A96" w:rsidRPr="00344926">
        <w:rPr>
          <w:bCs/>
          <w:szCs w:val="24"/>
        </w:rPr>
        <w:tab/>
        <w:t>Si le document visé au paragraphe 1 comporte plus d’une page, toutes les pages doivent porter au moins une référence au numéro d’homologation</w:t>
      </w:r>
      <w:r>
        <w:rPr>
          <w:bCs/>
          <w:szCs w:val="24"/>
        </w:rPr>
        <w:t xml:space="preserve"> de </w:t>
      </w:r>
      <w:r w:rsidR="00207A96" w:rsidRPr="00344926">
        <w:rPr>
          <w:bCs/>
          <w:szCs w:val="24"/>
        </w:rPr>
        <w:t>type.</w:t>
      </w:r>
    </w:p>
    <w:p w:rsidR="00F9573C" w:rsidRPr="00344926" w:rsidRDefault="00344926" w:rsidP="00344926">
      <w:pPr>
        <w:tabs>
          <w:tab w:val="left" w:pos="2268"/>
        </w:tabs>
        <w:kinsoku/>
        <w:overflowPunct/>
        <w:autoSpaceDE/>
        <w:autoSpaceDN/>
        <w:adjustRightInd/>
        <w:snapToGrid/>
        <w:spacing w:after="120"/>
        <w:ind w:left="2259" w:right="1134" w:hanging="1125"/>
        <w:jc w:val="both"/>
        <w:rPr>
          <w:bCs/>
          <w:szCs w:val="24"/>
        </w:rPr>
      </w:pPr>
      <w:r>
        <w:rPr>
          <w:bCs/>
          <w:szCs w:val="24"/>
        </w:rPr>
        <w:t>3.</w:t>
      </w:r>
      <w:r w:rsidR="00207A96" w:rsidRPr="00344926">
        <w:rPr>
          <w:bCs/>
          <w:szCs w:val="24"/>
        </w:rPr>
        <w:tab/>
        <w:t xml:space="preserve">L’information concernant les </w:t>
      </w:r>
      <w:r>
        <w:rPr>
          <w:bCs/>
          <w:szCs w:val="24"/>
        </w:rPr>
        <w:t>alinéas 1 g) et 1 </w:t>
      </w:r>
      <w:r w:rsidR="00207A96" w:rsidRPr="00344926">
        <w:rPr>
          <w:bCs/>
          <w:szCs w:val="24"/>
        </w:rPr>
        <w:t>h) peut être communiquée sur le site Web du constructeur. Dans ce cas, le document accompagnant le dispositif silencieux d’échappement de remplacement doit indiquer le site Web où les informations requises peuvent être trouvées et à partir duquel elles peuvent être imprimées.</w:t>
      </w:r>
      <w:r>
        <w:rPr>
          <w:bCs/>
          <w:szCs w:val="24"/>
        </w:rPr>
        <w:t>»</w:t>
      </w:r>
      <w:r w:rsidR="00207A96" w:rsidRPr="00344926">
        <w:rPr>
          <w:bCs/>
          <w:szCs w:val="24"/>
        </w:rPr>
        <w:t xml:space="preserve">. </w:t>
      </w:r>
    </w:p>
    <w:p w:rsidR="00207A96" w:rsidRPr="00344926" w:rsidRDefault="00207A96" w:rsidP="00207A96">
      <w:pPr>
        <w:pStyle w:val="SingleTxtG"/>
        <w:spacing w:before="240" w:after="0"/>
        <w:jc w:val="center"/>
        <w:rPr>
          <w:u w:val="single"/>
        </w:rPr>
      </w:pPr>
      <w:r w:rsidRPr="00344926">
        <w:rPr>
          <w:u w:val="single"/>
        </w:rPr>
        <w:tab/>
      </w:r>
      <w:r w:rsidRPr="00344926">
        <w:rPr>
          <w:u w:val="single"/>
        </w:rPr>
        <w:tab/>
      </w:r>
      <w:r w:rsidRPr="00344926">
        <w:rPr>
          <w:u w:val="single"/>
        </w:rPr>
        <w:tab/>
      </w:r>
    </w:p>
    <w:sectPr w:rsidR="00207A96" w:rsidRPr="00344926" w:rsidSect="00207A96">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BF8" w:rsidRDefault="00124BF8" w:rsidP="00F95C08">
      <w:pPr>
        <w:spacing w:line="240" w:lineRule="auto"/>
      </w:pPr>
    </w:p>
  </w:endnote>
  <w:endnote w:type="continuationSeparator" w:id="0">
    <w:p w:rsidR="00124BF8" w:rsidRPr="00AC3823" w:rsidRDefault="00124BF8" w:rsidP="00AC3823">
      <w:pPr>
        <w:pStyle w:val="Footer"/>
      </w:pPr>
    </w:p>
  </w:endnote>
  <w:endnote w:type="continuationNotice" w:id="1">
    <w:p w:rsidR="00124BF8" w:rsidRDefault="00124B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96" w:rsidRPr="00207A96" w:rsidRDefault="00207A96" w:rsidP="00207A96">
    <w:pPr>
      <w:pStyle w:val="Footer"/>
      <w:tabs>
        <w:tab w:val="right" w:pos="9638"/>
      </w:tabs>
    </w:pPr>
    <w:r w:rsidRPr="00207A96">
      <w:rPr>
        <w:b/>
        <w:sz w:val="18"/>
      </w:rPr>
      <w:fldChar w:fldCharType="begin"/>
    </w:r>
    <w:r w:rsidRPr="00207A96">
      <w:rPr>
        <w:b/>
        <w:sz w:val="18"/>
      </w:rPr>
      <w:instrText xml:space="preserve"> PAGE  \* MERGEFORMAT </w:instrText>
    </w:r>
    <w:r w:rsidRPr="00207A96">
      <w:rPr>
        <w:b/>
        <w:sz w:val="18"/>
      </w:rPr>
      <w:fldChar w:fldCharType="separate"/>
    </w:r>
    <w:r w:rsidR="0020274E">
      <w:rPr>
        <w:b/>
        <w:noProof/>
        <w:sz w:val="18"/>
      </w:rPr>
      <w:t>2</w:t>
    </w:r>
    <w:r w:rsidRPr="00207A96">
      <w:rPr>
        <w:b/>
        <w:sz w:val="18"/>
      </w:rPr>
      <w:fldChar w:fldCharType="end"/>
    </w:r>
    <w:r>
      <w:rPr>
        <w:b/>
        <w:sz w:val="18"/>
      </w:rPr>
      <w:tab/>
    </w:r>
    <w:r>
      <w:t>GE.15-07455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96" w:rsidRPr="00207A96" w:rsidRDefault="00207A96" w:rsidP="00207A96">
    <w:pPr>
      <w:pStyle w:val="Footer"/>
      <w:tabs>
        <w:tab w:val="right" w:pos="9638"/>
      </w:tabs>
      <w:rPr>
        <w:b/>
        <w:sz w:val="18"/>
      </w:rPr>
    </w:pPr>
    <w:r>
      <w:t>GE.15-07455</w:t>
    </w:r>
    <w:r>
      <w:tab/>
    </w:r>
    <w:r w:rsidRPr="00207A96">
      <w:rPr>
        <w:b/>
        <w:sz w:val="18"/>
      </w:rPr>
      <w:fldChar w:fldCharType="begin"/>
    </w:r>
    <w:r w:rsidRPr="00207A96">
      <w:rPr>
        <w:b/>
        <w:sz w:val="18"/>
      </w:rPr>
      <w:instrText xml:space="preserve"> PAGE  \* MERGEFORMAT </w:instrText>
    </w:r>
    <w:r w:rsidRPr="00207A96">
      <w:rPr>
        <w:b/>
        <w:sz w:val="18"/>
      </w:rPr>
      <w:fldChar w:fldCharType="separate"/>
    </w:r>
    <w:r>
      <w:rPr>
        <w:b/>
        <w:noProof/>
        <w:sz w:val="18"/>
      </w:rPr>
      <w:t>3</w:t>
    </w:r>
    <w:r w:rsidRPr="00207A9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207A96" w:rsidRDefault="00207A96" w:rsidP="00207A96">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2F922F22" wp14:editId="1626EC6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15-07455  (F)</w:t>
    </w:r>
    <w:r w:rsidR="00344926">
      <w:rPr>
        <w:sz w:val="20"/>
      </w:rPr>
      <w:t xml:space="preserve">    150515    150515</w:t>
    </w:r>
    <w:r>
      <w:rPr>
        <w:sz w:val="20"/>
      </w:rPr>
      <w:br/>
    </w:r>
    <w:r w:rsidRPr="00207A96">
      <w:rPr>
        <w:rFonts w:ascii="C39T30Lfz" w:hAnsi="C39T30Lfz"/>
        <w:sz w:val="56"/>
      </w:rPr>
      <w:t></w:t>
    </w:r>
    <w:r w:rsidRPr="00207A96">
      <w:rPr>
        <w:rFonts w:ascii="C39T30Lfz" w:hAnsi="C39T30Lfz"/>
        <w:sz w:val="56"/>
      </w:rPr>
      <w:t></w:t>
    </w:r>
    <w:r w:rsidRPr="00207A96">
      <w:rPr>
        <w:rFonts w:ascii="C39T30Lfz" w:hAnsi="C39T30Lfz"/>
        <w:sz w:val="56"/>
      </w:rPr>
      <w:t></w:t>
    </w:r>
    <w:r w:rsidRPr="00207A96">
      <w:rPr>
        <w:rFonts w:ascii="C39T30Lfz" w:hAnsi="C39T30Lfz"/>
        <w:sz w:val="56"/>
      </w:rPr>
      <w:t></w:t>
    </w:r>
    <w:r w:rsidRPr="00207A96">
      <w:rPr>
        <w:rFonts w:ascii="C39T30Lfz" w:hAnsi="C39T30Lfz"/>
        <w:sz w:val="56"/>
      </w:rPr>
      <w:t></w:t>
    </w:r>
    <w:r w:rsidRPr="00207A96">
      <w:rPr>
        <w:rFonts w:ascii="C39T30Lfz" w:hAnsi="C39T30Lfz"/>
        <w:sz w:val="56"/>
      </w:rPr>
      <w:t></w:t>
    </w:r>
    <w:r w:rsidRPr="00207A96">
      <w:rPr>
        <w:rFonts w:ascii="C39T30Lfz" w:hAnsi="C39T30Lfz"/>
        <w:sz w:val="56"/>
      </w:rPr>
      <w:t></w:t>
    </w:r>
    <w:r w:rsidRPr="00207A96">
      <w:rPr>
        <w:rFonts w:ascii="C39T30Lfz" w:hAnsi="C39T30Lfz"/>
        <w:sz w:val="56"/>
      </w:rPr>
      <w:t></w:t>
    </w:r>
    <w:r w:rsidRPr="00207A96">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5/6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5/6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BF8" w:rsidRPr="00AC3823" w:rsidRDefault="00124BF8" w:rsidP="00AC3823">
      <w:pPr>
        <w:pStyle w:val="Footer"/>
        <w:tabs>
          <w:tab w:val="right" w:pos="2155"/>
        </w:tabs>
        <w:spacing w:after="80" w:line="240" w:lineRule="atLeast"/>
        <w:ind w:left="680"/>
        <w:rPr>
          <w:u w:val="single"/>
        </w:rPr>
      </w:pPr>
      <w:r>
        <w:rPr>
          <w:u w:val="single"/>
        </w:rPr>
        <w:tab/>
      </w:r>
    </w:p>
  </w:footnote>
  <w:footnote w:type="continuationSeparator" w:id="0">
    <w:p w:rsidR="00124BF8" w:rsidRPr="00AC3823" w:rsidRDefault="00124BF8" w:rsidP="00AC3823">
      <w:pPr>
        <w:pStyle w:val="Footer"/>
        <w:tabs>
          <w:tab w:val="right" w:pos="2155"/>
        </w:tabs>
        <w:spacing w:after="80" w:line="240" w:lineRule="atLeast"/>
        <w:ind w:left="680"/>
        <w:rPr>
          <w:u w:val="single"/>
        </w:rPr>
      </w:pPr>
      <w:r>
        <w:rPr>
          <w:u w:val="single"/>
        </w:rPr>
        <w:tab/>
      </w:r>
    </w:p>
  </w:footnote>
  <w:footnote w:type="continuationNotice" w:id="1">
    <w:p w:rsidR="00124BF8" w:rsidRPr="00AC3823" w:rsidRDefault="00124BF8">
      <w:pPr>
        <w:spacing w:line="240" w:lineRule="auto"/>
        <w:rPr>
          <w:sz w:val="2"/>
          <w:szCs w:val="2"/>
        </w:rPr>
      </w:pPr>
    </w:p>
  </w:footnote>
  <w:footnote w:id="2">
    <w:p w:rsidR="00207A96" w:rsidRPr="00037B48" w:rsidRDefault="00207A96" w:rsidP="00344926">
      <w:pPr>
        <w:pStyle w:val="FootnoteText"/>
      </w:pPr>
      <w:r w:rsidRPr="0017676F">
        <w:tab/>
      </w:r>
      <w:r w:rsidRPr="0017676F">
        <w:rPr>
          <w:rStyle w:val="FootnoteReference"/>
          <w:sz w:val="20"/>
          <w:vertAlign w:val="baseline"/>
        </w:rPr>
        <w:t>*</w:t>
      </w:r>
      <w:r w:rsidRPr="0017676F">
        <w:tab/>
      </w:r>
      <w:r w:rsidRPr="00344926">
        <w:rPr>
          <w:spacing w:val="-2"/>
        </w:rPr>
        <w:t>Conformément au programme de travail du Comité des transports intérieurs pour la période 2012-2016 (ECE/TRANS/224, par. 94, et ECE/TRANS/2012/12, activité 02.4), le Forum mondial a pour mission d’élaborer, d’harmoniser et de mettre à jour les Règlements en vue d’améliorer les caractéristiques fonctionnelles des véhicules.</w:t>
      </w:r>
      <w:r w:rsidR="00344926">
        <w:rPr>
          <w:spacing w:val="-2"/>
        </w:rPr>
        <w:t xml:space="preserve"> </w:t>
      </w:r>
      <w:r w:rsidRPr="00344926">
        <w:rPr>
          <w:spacing w:val="-2"/>
        </w:rPr>
        <w:t>Le présent document est soumis en vertu de ce mandat.</w:t>
      </w:r>
      <w:r w:rsidRPr="00037B4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96" w:rsidRPr="00207A96" w:rsidRDefault="00207A96">
    <w:pPr>
      <w:pStyle w:val="Header"/>
    </w:pPr>
    <w:r>
      <w:t>ECE/TRANS/WP.29/2015/63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96" w:rsidRPr="00207A96" w:rsidRDefault="00207A96" w:rsidP="00207A96">
    <w:pPr>
      <w:pStyle w:val="Header"/>
      <w:jc w:val="right"/>
    </w:pPr>
    <w:r>
      <w:t>ECE/TRANS/WP.29/2015/63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F8"/>
    <w:rsid w:val="00017F94"/>
    <w:rsid w:val="00023842"/>
    <w:rsid w:val="000334F9"/>
    <w:rsid w:val="0007796D"/>
    <w:rsid w:val="000B7790"/>
    <w:rsid w:val="00111F2F"/>
    <w:rsid w:val="00124BF8"/>
    <w:rsid w:val="0014365E"/>
    <w:rsid w:val="00143C66"/>
    <w:rsid w:val="00176178"/>
    <w:rsid w:val="001F525A"/>
    <w:rsid w:val="0020274E"/>
    <w:rsid w:val="00207A96"/>
    <w:rsid w:val="00223272"/>
    <w:rsid w:val="0024779E"/>
    <w:rsid w:val="00257168"/>
    <w:rsid w:val="002744B8"/>
    <w:rsid w:val="002832AC"/>
    <w:rsid w:val="002D7C93"/>
    <w:rsid w:val="00305801"/>
    <w:rsid w:val="00344926"/>
    <w:rsid w:val="003916DE"/>
    <w:rsid w:val="00441C3B"/>
    <w:rsid w:val="00446FE5"/>
    <w:rsid w:val="00452396"/>
    <w:rsid w:val="004837D8"/>
    <w:rsid w:val="004E468C"/>
    <w:rsid w:val="005505B7"/>
    <w:rsid w:val="00573BE5"/>
    <w:rsid w:val="00586ED3"/>
    <w:rsid w:val="00596AA9"/>
    <w:rsid w:val="0071601D"/>
    <w:rsid w:val="007A62E6"/>
    <w:rsid w:val="007F20FA"/>
    <w:rsid w:val="0080684C"/>
    <w:rsid w:val="00871C75"/>
    <w:rsid w:val="008776DC"/>
    <w:rsid w:val="009705C8"/>
    <w:rsid w:val="009C1CF4"/>
    <w:rsid w:val="009F6B74"/>
    <w:rsid w:val="00A30353"/>
    <w:rsid w:val="00A87AA3"/>
    <w:rsid w:val="00AC3823"/>
    <w:rsid w:val="00AE323C"/>
    <w:rsid w:val="00AF0CB5"/>
    <w:rsid w:val="00B00181"/>
    <w:rsid w:val="00B00B0D"/>
    <w:rsid w:val="00B765F7"/>
    <w:rsid w:val="00BA0CA9"/>
    <w:rsid w:val="00C02897"/>
    <w:rsid w:val="00D3439C"/>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2366</Characters>
  <Application>Microsoft Office Word</Application>
  <DocSecurity>4</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ECE/TRANS/WP.29/2015/63</vt:lpstr>
      <vt:lpstr/>
    </vt:vector>
  </TitlesOfParts>
  <Company>DCM</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ECE/TRANS/WP.29/2015/63</dc:title>
  <dc:subject>FINAL</dc:subject>
  <dc:creator>MORIN</dc:creator>
  <cp:lastModifiedBy>Benedicte Boudol</cp:lastModifiedBy>
  <cp:revision>2</cp:revision>
  <cp:lastPrinted>2014-05-14T10:59:00Z</cp:lastPrinted>
  <dcterms:created xsi:type="dcterms:W3CDTF">2015-05-18T14:46:00Z</dcterms:created>
  <dcterms:modified xsi:type="dcterms:W3CDTF">2015-05-18T14:46:00Z</dcterms:modified>
</cp:coreProperties>
</file>