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096172">
                <w:t>TRANS/WP.15/AC.2/2015/26</w:t>
              </w:r>
            </w:fldSimple>
            <w:r w:rsidR="00474ED8">
              <w:t xml:space="preserve">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0733D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96172">
              <w:t xml:space="preserve">29 </w:t>
            </w:r>
            <w:proofErr w:type="spellStart"/>
            <w:r w:rsidR="00096172">
              <w:t>May</w:t>
            </w:r>
            <w:proofErr w:type="spellEnd"/>
            <w:r w:rsidR="00096172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0733D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74ED8" w:rsidRPr="00474ED8" w:rsidRDefault="00096172" w:rsidP="00474ED8">
      <w:pPr>
        <w:spacing w:before="120" w:after="120"/>
        <w:rPr>
          <w:sz w:val="28"/>
          <w:szCs w:val="28"/>
        </w:rPr>
      </w:pPr>
      <w:r w:rsidRPr="00474ED8">
        <w:rPr>
          <w:sz w:val="28"/>
          <w:szCs w:val="28"/>
        </w:rPr>
        <w:t>Комитет по внутреннему транспорту</w:t>
      </w:r>
    </w:p>
    <w:p w:rsidR="00474ED8" w:rsidRPr="00474ED8" w:rsidRDefault="00096172" w:rsidP="00474ED8">
      <w:pPr>
        <w:spacing w:before="120" w:after="120"/>
        <w:rPr>
          <w:b/>
          <w:bCs/>
          <w:sz w:val="24"/>
          <w:szCs w:val="24"/>
        </w:rPr>
      </w:pPr>
      <w:r w:rsidRPr="00474ED8">
        <w:rPr>
          <w:b/>
          <w:bCs/>
          <w:sz w:val="24"/>
          <w:szCs w:val="24"/>
        </w:rPr>
        <w:t>Рабочая группа по перевозкам опасных грузов</w:t>
      </w:r>
    </w:p>
    <w:p w:rsidR="00474ED8" w:rsidRDefault="00096172" w:rsidP="00096172">
      <w:pPr>
        <w:rPr>
          <w:b/>
          <w:bCs/>
        </w:rPr>
      </w:pPr>
      <w:r w:rsidRPr="000038B7">
        <w:rPr>
          <w:b/>
          <w:bCs/>
        </w:rPr>
        <w:t xml:space="preserve">Совместное совещание экспертов по Правилам, </w:t>
      </w:r>
      <w:r w:rsidR="00474ED8" w:rsidRPr="00474ED8">
        <w:rPr>
          <w:b/>
          <w:bCs/>
        </w:rPr>
        <w:br/>
      </w:r>
      <w:r w:rsidRPr="000038B7">
        <w:rPr>
          <w:b/>
          <w:bCs/>
        </w:rPr>
        <w:t xml:space="preserve">прилагаемым к Европейскому соглашению </w:t>
      </w:r>
      <w:r w:rsidR="00474ED8">
        <w:rPr>
          <w:b/>
          <w:bCs/>
          <w:lang w:val="en-US"/>
        </w:rPr>
        <w:br/>
      </w:r>
      <w:r w:rsidRPr="000038B7">
        <w:rPr>
          <w:b/>
          <w:bCs/>
        </w:rPr>
        <w:t xml:space="preserve">о международной перевозке опасных грузов </w:t>
      </w:r>
      <w:r w:rsidR="00474ED8" w:rsidRPr="00474ED8">
        <w:rPr>
          <w:b/>
          <w:bCs/>
        </w:rPr>
        <w:br/>
      </w:r>
      <w:r w:rsidRPr="000038B7">
        <w:rPr>
          <w:b/>
          <w:bCs/>
        </w:rPr>
        <w:t xml:space="preserve">по внутренним водным путям (ВОПОГ) </w:t>
      </w:r>
      <w:r w:rsidR="00474ED8" w:rsidRPr="00474ED8">
        <w:rPr>
          <w:b/>
          <w:bCs/>
        </w:rPr>
        <w:br/>
      </w:r>
      <w:r w:rsidRPr="000038B7">
        <w:rPr>
          <w:b/>
          <w:bCs/>
        </w:rPr>
        <w:t>(Комитет по вопросам безопасности ВОПОГ)</w:t>
      </w:r>
    </w:p>
    <w:p w:rsidR="00096172" w:rsidRPr="000038B7" w:rsidRDefault="00096172" w:rsidP="00474ED8">
      <w:pPr>
        <w:spacing w:before="120"/>
        <w:rPr>
          <w:b/>
          <w:bCs/>
        </w:rPr>
      </w:pPr>
      <w:r w:rsidRPr="000038B7">
        <w:rPr>
          <w:b/>
          <w:bCs/>
        </w:rPr>
        <w:t>Двадцать седьмая сессия</w:t>
      </w:r>
    </w:p>
    <w:p w:rsidR="00096172" w:rsidRDefault="00096172" w:rsidP="00096172">
      <w:r>
        <w:t>Женева, 24−28 августа 2015 года</w:t>
      </w:r>
    </w:p>
    <w:p w:rsidR="00096172" w:rsidRDefault="00096172" w:rsidP="00096172">
      <w:r>
        <w:t>Пункт 4 b) предварительной повестки дня</w:t>
      </w:r>
    </w:p>
    <w:p w:rsidR="00096172" w:rsidRPr="009F2283" w:rsidRDefault="00096172" w:rsidP="00096172">
      <w:pPr>
        <w:rPr>
          <w:b/>
          <w:bCs/>
        </w:rPr>
      </w:pPr>
      <w:r w:rsidRPr="009F2283">
        <w:rPr>
          <w:b/>
          <w:bCs/>
        </w:rPr>
        <w:t xml:space="preserve">Предложения о внесении поправок </w:t>
      </w:r>
      <w:r w:rsidR="001831E0">
        <w:rPr>
          <w:b/>
          <w:bCs/>
        </w:rPr>
        <w:br/>
      </w:r>
      <w:r w:rsidRPr="009F2283">
        <w:rPr>
          <w:b/>
          <w:bCs/>
        </w:rPr>
        <w:t>в Правила, прилагаемые к ВОПОГ:</w:t>
      </w:r>
    </w:p>
    <w:p w:rsidR="00474ED8" w:rsidRDefault="00096172" w:rsidP="00096172">
      <w:pPr>
        <w:rPr>
          <w:b/>
          <w:bCs/>
        </w:rPr>
      </w:pPr>
      <w:r w:rsidRPr="009F2283">
        <w:rPr>
          <w:b/>
          <w:bCs/>
        </w:rPr>
        <w:t>Другие предложения</w:t>
      </w:r>
    </w:p>
    <w:p w:rsidR="00474ED8" w:rsidRDefault="00096172" w:rsidP="00474ED8">
      <w:pPr>
        <w:pStyle w:val="HChGR"/>
      </w:pPr>
      <w:r w:rsidRPr="003264B2">
        <w:tab/>
      </w:r>
      <w:r w:rsidR="00474ED8">
        <w:rPr>
          <w:lang w:val="en-US"/>
        </w:rPr>
        <w:tab/>
      </w:r>
      <w:r w:rsidRPr="006A6B1A">
        <w:t>Переходные положения, касающиеся модификации танкера, изложенные в пункте 1.6.7.5.1 c)</w:t>
      </w:r>
    </w:p>
    <w:p w:rsidR="00474ED8" w:rsidRDefault="00096172" w:rsidP="00474ED8">
      <w:pPr>
        <w:pStyle w:val="H1GR"/>
      </w:pPr>
      <w:r w:rsidRPr="003264B2">
        <w:tab/>
      </w:r>
      <w:r w:rsidR="00474ED8">
        <w:rPr>
          <w:lang w:val="en-US"/>
        </w:rPr>
        <w:tab/>
      </w:r>
      <w:r w:rsidRPr="00955D4D">
        <w:t xml:space="preserve">Передано </w:t>
      </w:r>
      <w:r w:rsidRPr="000462A0">
        <w:t>Рекомендованны</w:t>
      </w:r>
      <w:r>
        <w:t xml:space="preserve">ми классификационными </w:t>
      </w:r>
      <w:r w:rsidRPr="000462A0">
        <w:t>общества</w:t>
      </w:r>
      <w:r>
        <w:t>ми</w:t>
      </w:r>
      <w:r w:rsidRPr="000462A0">
        <w:t xml:space="preserve"> ВОПОГ</w:t>
      </w:r>
      <w:r w:rsidR="00DA3CCE" w:rsidRPr="00DA3CCE">
        <w:rPr>
          <w:rStyle w:val="FootnoteReference"/>
          <w:b w:val="0"/>
        </w:rPr>
        <w:footnoteReference w:id="1"/>
      </w:r>
    </w:p>
    <w:p w:rsidR="00474ED8" w:rsidRDefault="00096172" w:rsidP="00474ED8">
      <w:pPr>
        <w:pStyle w:val="HChGR"/>
      </w:pPr>
      <w:r w:rsidRPr="00096172">
        <w:tab/>
      </w:r>
      <w:r w:rsidR="00474ED8" w:rsidRPr="00DA3CCE">
        <w:tab/>
      </w:r>
      <w:r w:rsidRPr="006A6B1A">
        <w:t>Введение</w:t>
      </w:r>
    </w:p>
    <w:p w:rsidR="00474ED8" w:rsidRDefault="00096172" w:rsidP="00474ED8">
      <w:pPr>
        <w:pStyle w:val="SingleTxtGR"/>
      </w:pPr>
      <w:r>
        <w:t>1.</w:t>
      </w:r>
      <w:r>
        <w:tab/>
      </w:r>
      <w:r w:rsidRPr="006A6B1A">
        <w:t>Переходные положения, касающиеся модификации танкера</w:t>
      </w:r>
      <w:r>
        <w:t xml:space="preserve"> с целью его переоборудования в судно типа N с двойным корпусом</w:t>
      </w:r>
      <w:r w:rsidRPr="006A6B1A">
        <w:t xml:space="preserve">, </w:t>
      </w:r>
      <w:r>
        <w:t>изложен</w:t>
      </w:r>
      <w:r w:rsidRPr="006A6B1A">
        <w:t>ы в пун</w:t>
      </w:r>
      <w:r w:rsidRPr="006A6B1A">
        <w:t>к</w:t>
      </w:r>
      <w:r w:rsidRPr="006A6B1A">
        <w:t>те</w:t>
      </w:r>
      <w:r w:rsidR="00C9127F">
        <w:rPr>
          <w:lang w:val="en-US"/>
        </w:rPr>
        <w:t> </w:t>
      </w:r>
      <w:r w:rsidRPr="006A6B1A">
        <w:t>1.6.7.5.1</w:t>
      </w:r>
      <w:r>
        <w:t>:</w:t>
      </w:r>
    </w:p>
    <w:p w:rsidR="00474ED8" w:rsidRDefault="00096172" w:rsidP="00474ED8">
      <w:pPr>
        <w:pStyle w:val="SingleTxtGR"/>
      </w:pPr>
      <w:r>
        <w:t>"1.6.7.5.1 Модификация грузового пространства судна с целью его переобор</w:t>
      </w:r>
      <w:r>
        <w:t>у</w:t>
      </w:r>
      <w:r>
        <w:t>дования в судно</w:t>
      </w:r>
      <w:r w:rsidR="00C9127F" w:rsidRPr="00C9127F">
        <w:t xml:space="preserve"> </w:t>
      </w:r>
      <w:r>
        <w:t>типа N с двойным корпусом разрешается до 31 декабря 2018</w:t>
      </w:r>
      <w:r w:rsidR="00C9127F">
        <w:rPr>
          <w:lang w:val="en-US"/>
        </w:rPr>
        <w:t> </w:t>
      </w:r>
      <w:r>
        <w:t>года с соблюдением</w:t>
      </w:r>
      <w:r w:rsidR="00C9127F" w:rsidRPr="00C9127F">
        <w:t xml:space="preserve"> </w:t>
      </w:r>
      <w:r>
        <w:t>следующих условий:</w:t>
      </w:r>
    </w:p>
    <w:p w:rsidR="00474ED8" w:rsidRPr="00C9127F" w:rsidRDefault="00096172" w:rsidP="00474ED8">
      <w:pPr>
        <w:pStyle w:val="SingleTxtGR"/>
      </w:pPr>
      <w:r>
        <w:lastRenderedPageBreak/>
        <w:tab/>
        <w:t>а)</w:t>
      </w:r>
      <w:r w:rsidR="00C9127F" w:rsidRPr="00C9127F">
        <w:tab/>
      </w:r>
      <w:r w:rsidR="00C9127F">
        <w:t>…</w:t>
      </w:r>
    </w:p>
    <w:p w:rsidR="00474ED8" w:rsidRDefault="00096172" w:rsidP="00474ED8">
      <w:pPr>
        <w:pStyle w:val="SingleTxtGR"/>
      </w:pPr>
      <w:r>
        <w:tab/>
        <w:t>b)</w:t>
      </w:r>
      <w:r w:rsidR="00C9127F">
        <w:tab/>
        <w:t>…</w:t>
      </w:r>
    </w:p>
    <w:p w:rsidR="00474ED8" w:rsidRDefault="00096172" w:rsidP="00474ED8">
      <w:pPr>
        <w:pStyle w:val="SingleTxtGR"/>
      </w:pPr>
      <w:r>
        <w:tab/>
        <w:t xml:space="preserve">с) </w:t>
      </w:r>
      <w:r w:rsidR="00C9127F">
        <w:tab/>
      </w:r>
      <w:r>
        <w:t>если грузы, требующие защиты против взрывов, включены в пер</w:t>
      </w:r>
      <w:r>
        <w:t>е</w:t>
      </w:r>
      <w:r>
        <w:t>чень</w:t>
      </w:r>
      <w:r w:rsidR="00C9127F">
        <w:t xml:space="preserve"> </w:t>
      </w:r>
      <w:r>
        <w:t>в соответствии с пунктом 1.16.1.2.5, жилые помещения и рулевые рубки должны</w:t>
      </w:r>
      <w:r w:rsidR="00C9127F">
        <w:t xml:space="preserve"> </w:t>
      </w:r>
      <w:r>
        <w:t>быть оборудованы системой пожарной сигнализации в соответствии</w:t>
      </w:r>
      <w:r w:rsidR="00C9127F">
        <w:t xml:space="preserve"> </w:t>
      </w:r>
      <w:r>
        <w:t>с пунктом 9.3.3.40.2.3;</w:t>
      </w:r>
    </w:p>
    <w:p w:rsidR="00474ED8" w:rsidRDefault="00096172" w:rsidP="00474ED8">
      <w:pPr>
        <w:pStyle w:val="SingleTxtGR"/>
      </w:pPr>
      <w:r>
        <w:tab/>
        <w:t>d)</w:t>
      </w:r>
      <w:r w:rsidR="00C9127F">
        <w:tab/>
        <w:t>…</w:t>
      </w:r>
      <w:r>
        <w:t>".</w:t>
      </w:r>
    </w:p>
    <w:p w:rsidR="00474ED8" w:rsidRDefault="00096172" w:rsidP="00474ED8">
      <w:pPr>
        <w:pStyle w:val="SingleTxtGR"/>
      </w:pPr>
      <w:r w:rsidRPr="00806A74">
        <w:t>2.</w:t>
      </w:r>
      <w:r w:rsidRPr="00806A74">
        <w:tab/>
      </w:r>
      <w:r>
        <w:t>Предложение о включении нового подраздела</w:t>
      </w:r>
      <w:r w:rsidRPr="00806A74">
        <w:t xml:space="preserve"> 1.6.7.5 </w:t>
      </w:r>
      <w:r>
        <w:t>было представлено Германией в январе</w:t>
      </w:r>
      <w:r w:rsidRPr="00F15E02">
        <w:t xml:space="preserve"> 2010 </w:t>
      </w:r>
      <w:r>
        <w:t>года в неофициальном документе</w:t>
      </w:r>
      <w:r w:rsidRPr="00F15E02">
        <w:t xml:space="preserve"> </w:t>
      </w:r>
      <w:r w:rsidRPr="00806A74">
        <w:rPr>
          <w:lang w:val="en-US"/>
        </w:rPr>
        <w:t>WP</w:t>
      </w:r>
      <w:r w:rsidRPr="00F15E02">
        <w:t>.15/</w:t>
      </w:r>
      <w:r w:rsidRPr="00806A74">
        <w:rPr>
          <w:lang w:val="en-US"/>
        </w:rPr>
        <w:t>AC</w:t>
      </w:r>
      <w:r w:rsidRPr="00F15E02">
        <w:t>.2/16/</w:t>
      </w:r>
      <w:r w:rsidR="00C9127F">
        <w:t xml:space="preserve"> </w:t>
      </w:r>
      <w:r w:rsidRPr="00806A74">
        <w:rPr>
          <w:lang w:val="en-US"/>
        </w:rPr>
        <w:t>INF</w:t>
      </w:r>
      <w:r w:rsidRPr="00F15E02">
        <w:t xml:space="preserve">.23. </w:t>
      </w:r>
      <w:r>
        <w:t xml:space="preserve">Пункт </w:t>
      </w:r>
      <w:r w:rsidRPr="00806A74">
        <w:rPr>
          <w:lang w:val="en-US"/>
        </w:rPr>
        <w:t>c</w:t>
      </w:r>
      <w:r w:rsidRPr="00A6609B">
        <w:t xml:space="preserve">) </w:t>
      </w:r>
      <w:r>
        <w:t>был представлен в неофициальном документе</w:t>
      </w:r>
      <w:r w:rsidRPr="00F15E02">
        <w:t xml:space="preserve"> </w:t>
      </w:r>
      <w:r w:rsidRPr="00806A74">
        <w:rPr>
          <w:lang w:val="en-US"/>
        </w:rPr>
        <w:t>WP</w:t>
      </w:r>
      <w:r w:rsidRPr="00A6609B">
        <w:t>.15/</w:t>
      </w:r>
      <w:r w:rsidRPr="00806A74">
        <w:rPr>
          <w:lang w:val="en-US"/>
        </w:rPr>
        <w:t>AC</w:t>
      </w:r>
      <w:r w:rsidRPr="00A6609B">
        <w:t>.2/16/</w:t>
      </w:r>
      <w:r w:rsidR="00DA3CCE">
        <w:t xml:space="preserve"> </w:t>
      </w:r>
      <w:r w:rsidRPr="00806A74">
        <w:rPr>
          <w:lang w:val="en-US"/>
        </w:rPr>
        <w:t>INF</w:t>
      </w:r>
      <w:r w:rsidRPr="00A6609B">
        <w:t>.23/</w:t>
      </w:r>
      <w:r w:rsidRPr="00806A74">
        <w:rPr>
          <w:lang w:val="en-US"/>
        </w:rPr>
        <w:t>Rev</w:t>
      </w:r>
      <w:r w:rsidRPr="00A6609B">
        <w:t>.1 (</w:t>
      </w:r>
      <w:r>
        <w:t>не имеется на веб-сайте ЕЭК ООН</w:t>
      </w:r>
      <w:r w:rsidRPr="00A6609B">
        <w:t xml:space="preserve">) </w:t>
      </w:r>
      <w:r>
        <w:t xml:space="preserve">и включен в издание ВОПОГ </w:t>
      </w:r>
      <w:r w:rsidRPr="005748D3">
        <w:t>2011</w:t>
      </w:r>
      <w:r>
        <w:t xml:space="preserve"> года</w:t>
      </w:r>
      <w:r w:rsidRPr="005748D3">
        <w:t>.</w:t>
      </w:r>
    </w:p>
    <w:p w:rsidR="00474ED8" w:rsidRDefault="00096172" w:rsidP="00474ED8">
      <w:pPr>
        <w:pStyle w:val="SingleTxtGR"/>
      </w:pPr>
      <w:r w:rsidRPr="001A2F83">
        <w:t>3.</w:t>
      </w:r>
      <w:r w:rsidRPr="001A2F83">
        <w:tab/>
      </w:r>
      <w:r>
        <w:t>Причина включения этого дополнения неясна.</w:t>
      </w:r>
      <w:r w:rsidRPr="001A2F83">
        <w:t xml:space="preserve"> </w:t>
      </w:r>
      <w:r>
        <w:t>Нет</w:t>
      </w:r>
      <w:r w:rsidRPr="00261FE2">
        <w:t xml:space="preserve"> </w:t>
      </w:r>
      <w:r>
        <w:t>никакой</w:t>
      </w:r>
      <w:r w:rsidRPr="00261FE2">
        <w:t xml:space="preserve"> </w:t>
      </w:r>
      <w:r>
        <w:t>связи</w:t>
      </w:r>
      <w:r w:rsidRPr="00261FE2">
        <w:t xml:space="preserve"> </w:t>
      </w:r>
      <w:r>
        <w:t>между</w:t>
      </w:r>
      <w:r w:rsidRPr="00261FE2">
        <w:t xml:space="preserve"> </w:t>
      </w:r>
      <w:r>
        <w:t>необходимостью наличия защиты против взрывов и, как следствие, необход</w:t>
      </w:r>
      <w:r>
        <w:t>и</w:t>
      </w:r>
      <w:r>
        <w:t>мостью оборудования</w:t>
      </w:r>
      <w:r w:rsidRPr="00535346">
        <w:t xml:space="preserve"> </w:t>
      </w:r>
      <w:r>
        <w:t>жилых помещений/рулевых рубок системой пожарной сигнализации.</w:t>
      </w:r>
      <w:r w:rsidRPr="00765D0C">
        <w:t xml:space="preserve"> </w:t>
      </w:r>
      <w:r>
        <w:t>Некоторые</w:t>
      </w:r>
      <w:r w:rsidRPr="00096172">
        <w:t xml:space="preserve"> </w:t>
      </w:r>
      <w:r>
        <w:t>эксперты</w:t>
      </w:r>
      <w:r w:rsidRPr="00096172">
        <w:t xml:space="preserve"> </w:t>
      </w:r>
      <w:r>
        <w:t>полагают</w:t>
      </w:r>
      <w:r w:rsidRPr="00096172">
        <w:t xml:space="preserve">, </w:t>
      </w:r>
      <w:r>
        <w:t>что</w:t>
      </w:r>
      <w:r w:rsidRPr="00096172">
        <w:t xml:space="preserve"> </w:t>
      </w:r>
      <w:r>
        <w:t>данный</w:t>
      </w:r>
      <w:r w:rsidRPr="00096172">
        <w:t xml:space="preserve"> </w:t>
      </w:r>
      <w:r>
        <w:t>пункт</w:t>
      </w:r>
      <w:r w:rsidRPr="00096172">
        <w:t xml:space="preserve"> </w:t>
      </w:r>
      <w:r>
        <w:t>следует</w:t>
      </w:r>
      <w:r w:rsidRPr="00096172">
        <w:t xml:space="preserve"> </w:t>
      </w:r>
      <w:r>
        <w:t>и</w:t>
      </w:r>
      <w:r>
        <w:t>с</w:t>
      </w:r>
      <w:r>
        <w:t>ключить</w:t>
      </w:r>
      <w:r w:rsidRPr="00096172">
        <w:t>.</w:t>
      </w:r>
    </w:p>
    <w:p w:rsidR="00474ED8" w:rsidRDefault="00096172" w:rsidP="00474ED8">
      <w:pPr>
        <w:pStyle w:val="SingleTxtGR"/>
      </w:pPr>
      <w:r w:rsidRPr="009314A1">
        <w:t>4.</w:t>
      </w:r>
      <w:r w:rsidRPr="009314A1">
        <w:tab/>
      </w:r>
      <w:r>
        <w:t>На</w:t>
      </w:r>
      <w:r w:rsidRPr="009314A1">
        <w:t xml:space="preserve"> </w:t>
      </w:r>
      <w:r>
        <w:t>настоящий</w:t>
      </w:r>
      <w:r w:rsidRPr="009314A1">
        <w:t xml:space="preserve"> </w:t>
      </w:r>
      <w:r>
        <w:t>момент</w:t>
      </w:r>
      <w:r w:rsidRPr="009314A1">
        <w:t xml:space="preserve"> </w:t>
      </w:r>
      <w:r>
        <w:t>не</w:t>
      </w:r>
      <w:r w:rsidRPr="009314A1">
        <w:t xml:space="preserve"> </w:t>
      </w:r>
      <w:r>
        <w:t>существует</w:t>
      </w:r>
      <w:r w:rsidRPr="009314A1">
        <w:t xml:space="preserve"> </w:t>
      </w:r>
      <w:r>
        <w:t>каких</w:t>
      </w:r>
      <w:r w:rsidRPr="009314A1">
        <w:t>-</w:t>
      </w:r>
      <w:r>
        <w:t>либо</w:t>
      </w:r>
      <w:r w:rsidRPr="009314A1">
        <w:t xml:space="preserve"> </w:t>
      </w:r>
      <w:r>
        <w:t>различий</w:t>
      </w:r>
      <w:r w:rsidRPr="009314A1">
        <w:t xml:space="preserve"> </w:t>
      </w:r>
      <w:r>
        <w:t>между</w:t>
      </w:r>
      <w:r w:rsidRPr="009314A1">
        <w:t xml:space="preserve"> </w:t>
      </w:r>
      <w:r>
        <w:t>пол</w:t>
      </w:r>
      <w:r>
        <w:t>о</w:t>
      </w:r>
      <w:r>
        <w:t>жениями</w:t>
      </w:r>
      <w:r w:rsidRPr="009314A1">
        <w:t xml:space="preserve">, </w:t>
      </w:r>
      <w:r>
        <w:t>касающимися</w:t>
      </w:r>
      <w:r w:rsidRPr="009314A1">
        <w:t xml:space="preserve"> </w:t>
      </w:r>
      <w:r>
        <w:t>пожарной</w:t>
      </w:r>
      <w:r w:rsidRPr="009314A1">
        <w:t xml:space="preserve"> </w:t>
      </w:r>
      <w:r>
        <w:t>сигнализации</w:t>
      </w:r>
      <w:r w:rsidRPr="009314A1">
        <w:t xml:space="preserve"> </w:t>
      </w:r>
      <w:r>
        <w:t>в</w:t>
      </w:r>
      <w:r w:rsidRPr="009314A1">
        <w:t xml:space="preserve"> </w:t>
      </w:r>
      <w:r>
        <w:t>жилых</w:t>
      </w:r>
      <w:r w:rsidRPr="009314A1">
        <w:t xml:space="preserve"> </w:t>
      </w:r>
      <w:r>
        <w:t>помещениях</w:t>
      </w:r>
      <w:r w:rsidRPr="009314A1">
        <w:t>/</w:t>
      </w:r>
      <w:r>
        <w:t>рулевых</w:t>
      </w:r>
      <w:r w:rsidRPr="009314A1">
        <w:t xml:space="preserve"> </w:t>
      </w:r>
      <w:r>
        <w:t>рубках,</w:t>
      </w:r>
      <w:r w:rsidRPr="009314A1">
        <w:t xml:space="preserve"> </w:t>
      </w:r>
      <w:r>
        <w:t>для</w:t>
      </w:r>
      <w:r w:rsidRPr="00534DEF">
        <w:t xml:space="preserve"> </w:t>
      </w:r>
      <w:r>
        <w:t>судов типа N и судов типа N с двойным корпусом.</w:t>
      </w:r>
    </w:p>
    <w:p w:rsidR="00474ED8" w:rsidRDefault="00096172" w:rsidP="00474ED8">
      <w:pPr>
        <w:pStyle w:val="HChGR"/>
      </w:pPr>
      <w:r>
        <w:tab/>
      </w:r>
      <w:r w:rsidR="00474ED8" w:rsidRPr="00DA3CCE">
        <w:tab/>
      </w:r>
      <w:r w:rsidRPr="006B6AFE">
        <w:t>Предложение</w:t>
      </w:r>
    </w:p>
    <w:p w:rsidR="00474ED8" w:rsidRDefault="00096172" w:rsidP="00474ED8">
      <w:pPr>
        <w:pStyle w:val="SingleTxtGR"/>
        <w:rPr>
          <w:lang w:val="en-US"/>
        </w:rPr>
      </w:pPr>
      <w:r w:rsidRPr="00DD304F">
        <w:rPr>
          <w:lang w:val="en-US"/>
        </w:rPr>
        <w:t>5.</w:t>
      </w:r>
      <w:r>
        <w:tab/>
        <w:t xml:space="preserve">Исключить пункт </w:t>
      </w:r>
      <w:r>
        <w:rPr>
          <w:lang w:val="en-US"/>
        </w:rPr>
        <w:t xml:space="preserve">1.6.7.5.1 </w:t>
      </w:r>
      <w:r w:rsidRPr="00DD304F">
        <w:rPr>
          <w:lang w:val="en-US"/>
        </w:rPr>
        <w:t>c).</w:t>
      </w:r>
    </w:p>
    <w:p w:rsidR="009D6B18" w:rsidRPr="00BF52F1" w:rsidRDefault="00BF52F1" w:rsidP="00BF52F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D6B18" w:rsidRPr="00BF52F1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72" w:rsidRDefault="00096172">
      <w:r>
        <w:rPr>
          <w:lang w:val="en-US"/>
        </w:rPr>
        <w:tab/>
      </w:r>
      <w:r>
        <w:separator/>
      </w:r>
    </w:p>
  </w:endnote>
  <w:endnote w:type="continuationSeparator" w:id="0">
    <w:p w:rsidR="00096172" w:rsidRDefault="000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3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9C6338">
      <w:rPr>
        <w:lang w:val="en-US"/>
      </w:rPr>
      <w:t>08464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9C6338">
            <w:rPr>
              <w:lang w:val="en-US"/>
            </w:rPr>
            <w:t>08464</w:t>
          </w:r>
          <w:r w:rsidR="00A1484B">
            <w:rPr>
              <w:lang w:val="en-US"/>
            </w:rPr>
            <w:t xml:space="preserve">   (R)</w:t>
          </w:r>
          <w:r w:rsidR="009C6338">
            <w:rPr>
              <w:lang w:val="en-US"/>
            </w:rPr>
            <w:t xml:space="preserve">   250615  250615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83DE1F4" wp14:editId="69122707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9C633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2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9C6338" w:rsidRDefault="009C633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C63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72" w:rsidRPr="00F71F63" w:rsidRDefault="0009617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96172" w:rsidRPr="00F71F63" w:rsidRDefault="0009617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96172" w:rsidRPr="00635E86" w:rsidRDefault="00096172" w:rsidP="00635E86">
      <w:pPr>
        <w:pStyle w:val="Footer"/>
      </w:pPr>
    </w:p>
  </w:footnote>
  <w:footnote w:id="1">
    <w:p w:rsidR="00DA3CCE" w:rsidRPr="00DA3CCE" w:rsidRDefault="00DA3CCE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DA3CCE">
        <w:rPr>
          <w:lang w:val="ru-RU"/>
        </w:rPr>
        <w:t xml:space="preserve"> </w:t>
      </w:r>
      <w:r>
        <w:rPr>
          <w:lang w:val="ru-RU"/>
        </w:rPr>
        <w:tab/>
      </w:r>
      <w:r w:rsidRPr="00DA3CCE">
        <w:rPr>
          <w:lang w:val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 w:rsidRPr="00394379">
        <w:rPr>
          <w:lang w:val="fr-FR"/>
        </w:rPr>
        <w:t>CCNR</w:t>
      </w:r>
      <w:r w:rsidRPr="00DA3CCE">
        <w:rPr>
          <w:lang w:val="ru-RU"/>
        </w:rPr>
        <w:t>-</w:t>
      </w:r>
      <w:r w:rsidRPr="00394379">
        <w:rPr>
          <w:lang w:val="fr-FR"/>
        </w:rPr>
        <w:t>ZKR</w:t>
      </w:r>
      <w:r w:rsidRPr="00DA3CCE">
        <w:rPr>
          <w:lang w:val="ru-RU"/>
        </w:rPr>
        <w:t>/</w:t>
      </w:r>
      <w:r w:rsidRPr="00394379">
        <w:rPr>
          <w:lang w:val="fr-FR"/>
        </w:rPr>
        <w:t>ADN</w:t>
      </w:r>
      <w:r w:rsidRPr="00DA3CCE">
        <w:rPr>
          <w:lang w:val="ru-RU"/>
        </w:rPr>
        <w:t>/</w:t>
      </w:r>
      <w:r w:rsidRPr="00394379">
        <w:rPr>
          <w:lang w:val="fr-FR"/>
        </w:rPr>
        <w:t>WP</w:t>
      </w:r>
      <w:r w:rsidRPr="00DA3CCE">
        <w:rPr>
          <w:lang w:val="ru-RU"/>
        </w:rPr>
        <w:t>.15/</w:t>
      </w:r>
      <w:r w:rsidRPr="00394379">
        <w:rPr>
          <w:lang w:val="fr-FR"/>
        </w:rPr>
        <w:t>AC</w:t>
      </w:r>
      <w:r w:rsidRPr="00DA3CCE">
        <w:rPr>
          <w:lang w:val="ru-RU"/>
        </w:rPr>
        <w:t>.2/2015/26.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9C6338">
      <w:rPr>
        <w:lang w:val="en-US"/>
      </w:rPr>
      <w:t>TRANS/WP.15/AC.2/2015/26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617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31E0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ED8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D1983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758C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C6338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BF52F1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9127F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95008"/>
    <w:rsid w:val="00DA2851"/>
    <w:rsid w:val="00DA2B7C"/>
    <w:rsid w:val="00DA3CCE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0733D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Christopher Smith</cp:lastModifiedBy>
  <cp:revision>2</cp:revision>
  <cp:lastPrinted>2015-06-25T11:17:00Z</cp:lastPrinted>
  <dcterms:created xsi:type="dcterms:W3CDTF">2015-07-02T09:11:00Z</dcterms:created>
  <dcterms:modified xsi:type="dcterms:W3CDTF">2015-07-02T09:11:00Z</dcterms:modified>
</cp:coreProperties>
</file>