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1E0CC3">
                <w:t>TRANS/WP.15/AC.2/2015/12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CAE0D74" wp14:editId="3C47233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7E6702" w:rsidP="00F77538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1E0CC3">
              <w:t>29 April 2015</w:t>
            </w:r>
            <w:r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A6830" w:rsidRPr="003A6830" w:rsidRDefault="003A6830" w:rsidP="003A6830">
      <w:pPr>
        <w:spacing w:before="120"/>
        <w:rPr>
          <w:sz w:val="28"/>
          <w:szCs w:val="28"/>
        </w:rPr>
      </w:pPr>
      <w:r w:rsidRPr="003A6830">
        <w:rPr>
          <w:sz w:val="28"/>
          <w:szCs w:val="28"/>
        </w:rPr>
        <w:t>Комитет по внутреннему транспорту</w:t>
      </w:r>
    </w:p>
    <w:p w:rsidR="003A6830" w:rsidRPr="003A6830" w:rsidRDefault="003A6830" w:rsidP="003A6830">
      <w:pPr>
        <w:spacing w:before="120"/>
        <w:rPr>
          <w:b/>
          <w:sz w:val="24"/>
          <w:szCs w:val="24"/>
        </w:rPr>
      </w:pPr>
      <w:r w:rsidRPr="003A6830">
        <w:rPr>
          <w:b/>
          <w:sz w:val="24"/>
          <w:szCs w:val="24"/>
        </w:rPr>
        <w:t>Рабочая группа по перевозкам опасных грузов</w:t>
      </w:r>
    </w:p>
    <w:p w:rsidR="003A6830" w:rsidRPr="003A6830" w:rsidRDefault="003A6830" w:rsidP="003A6830">
      <w:pPr>
        <w:spacing w:before="120"/>
        <w:rPr>
          <w:b/>
        </w:rPr>
      </w:pPr>
      <w:r w:rsidRPr="003A6830">
        <w:rPr>
          <w:b/>
        </w:rPr>
        <w:t>Совместное с</w:t>
      </w:r>
      <w:r>
        <w:rPr>
          <w:b/>
        </w:rPr>
        <w:t>овещание экспертов по Правилам,</w:t>
      </w:r>
      <w:r w:rsidRPr="003A6830">
        <w:rPr>
          <w:b/>
        </w:rPr>
        <w:br/>
        <w:t>прилаг</w:t>
      </w:r>
      <w:r>
        <w:rPr>
          <w:b/>
        </w:rPr>
        <w:t>аемым к Европейскому соглашению</w:t>
      </w:r>
      <w:r w:rsidRPr="003A6830">
        <w:rPr>
          <w:b/>
        </w:rPr>
        <w:br/>
        <w:t>о междуна</w:t>
      </w:r>
      <w:r>
        <w:rPr>
          <w:b/>
        </w:rPr>
        <w:t>родной перевозке опасных грузов</w:t>
      </w:r>
      <w:r w:rsidRPr="003A6830">
        <w:rPr>
          <w:b/>
        </w:rPr>
        <w:br/>
        <w:t>по внутренним водным путям (ВОПОГ)</w:t>
      </w:r>
    </w:p>
    <w:p w:rsidR="003A6830" w:rsidRPr="003A6830" w:rsidRDefault="003A6830" w:rsidP="003A6830">
      <w:pPr>
        <w:rPr>
          <w:b/>
        </w:rPr>
      </w:pPr>
      <w:r w:rsidRPr="003A6830">
        <w:rPr>
          <w:b/>
        </w:rPr>
        <w:t>(Комитет по вопросам безопасности ВОПОГ)</w:t>
      </w:r>
    </w:p>
    <w:p w:rsidR="003A6830" w:rsidRPr="003A6830" w:rsidRDefault="003A6830" w:rsidP="003A6830">
      <w:pPr>
        <w:spacing w:before="120"/>
      </w:pPr>
      <w:r w:rsidRPr="003A6830">
        <w:rPr>
          <w:b/>
        </w:rPr>
        <w:t>Двадцать седьмая сессия</w:t>
      </w:r>
    </w:p>
    <w:p w:rsidR="003A6830" w:rsidRPr="003A6830" w:rsidRDefault="003A6830" w:rsidP="003A6830">
      <w:r>
        <w:t>Женева, 24</w:t>
      </w:r>
      <w:r>
        <w:rPr>
          <w:lang w:val="en-US"/>
        </w:rPr>
        <w:t>−</w:t>
      </w:r>
      <w:r w:rsidRPr="003A6830">
        <w:t>28 августа 2015 года</w:t>
      </w:r>
    </w:p>
    <w:p w:rsidR="003A6830" w:rsidRPr="003A6830" w:rsidRDefault="003A6830" w:rsidP="003A6830">
      <w:r w:rsidRPr="003A6830">
        <w:t>Пункт 4 b) предварительной повестки дня</w:t>
      </w:r>
    </w:p>
    <w:p w:rsidR="003A6830" w:rsidRPr="00165C63" w:rsidRDefault="003A6830" w:rsidP="003A6830">
      <w:pPr>
        <w:rPr>
          <w:b/>
        </w:rPr>
      </w:pPr>
      <w:r w:rsidRPr="00165C63">
        <w:rPr>
          <w:b/>
        </w:rPr>
        <w:t>Предложения</w:t>
      </w:r>
      <w:r w:rsidR="00165C63">
        <w:rPr>
          <w:b/>
        </w:rPr>
        <w:t xml:space="preserve"> о внесении поправок в Правила,</w:t>
      </w:r>
      <w:r w:rsidR="00165C63" w:rsidRPr="00165C63">
        <w:rPr>
          <w:b/>
        </w:rPr>
        <w:br/>
      </w:r>
      <w:r w:rsidRPr="00165C63">
        <w:rPr>
          <w:b/>
        </w:rPr>
        <w:t>прилагаемые к ВОПОГ:</w:t>
      </w:r>
    </w:p>
    <w:p w:rsidR="003A6830" w:rsidRPr="00165C63" w:rsidRDefault="003A6830" w:rsidP="003A6830">
      <w:pPr>
        <w:rPr>
          <w:b/>
        </w:rPr>
      </w:pPr>
      <w:r w:rsidRPr="00165C63">
        <w:rPr>
          <w:b/>
        </w:rPr>
        <w:t>Другие предложения</w:t>
      </w:r>
    </w:p>
    <w:p w:rsidR="003A6830" w:rsidRPr="003A6830" w:rsidRDefault="003A6830" w:rsidP="00165C63">
      <w:pPr>
        <w:pStyle w:val="HChGR"/>
      </w:pPr>
      <w:r w:rsidRPr="003A6830">
        <w:tab/>
      </w:r>
      <w:r w:rsidRPr="003A6830">
        <w:tab/>
        <w:t>Переходное положение для пунктов 9.3.X.51.3 (температурный класс и группа взрывоопасности)</w:t>
      </w:r>
    </w:p>
    <w:p w:rsidR="003A6830" w:rsidRPr="00165C63" w:rsidRDefault="003A6830" w:rsidP="00165C63">
      <w:pPr>
        <w:pStyle w:val="H1GR"/>
        <w:rPr>
          <w:rStyle w:val="FootnoteReference"/>
          <w:b w:val="0"/>
          <w:spacing w:val="5"/>
          <w:w w:val="104"/>
          <w:lang w:val="en-GB"/>
        </w:rPr>
      </w:pPr>
      <w:r w:rsidRPr="003A6830">
        <w:tab/>
      </w:r>
      <w:r w:rsidRPr="003A6830">
        <w:tab/>
        <w:t>Представлено правительством Германии</w:t>
      </w:r>
      <w:r w:rsidRPr="00165C63">
        <w:rPr>
          <w:rStyle w:val="FootnoteReference"/>
          <w:b w:val="0"/>
          <w:spacing w:val="5"/>
          <w:w w:val="104"/>
          <w:lang w:val="en-GB"/>
        </w:rPr>
        <w:footnoteReference w:id="1"/>
      </w:r>
    </w:p>
    <w:p w:rsidR="009D6B18" w:rsidRDefault="003A6830" w:rsidP="00165C63">
      <w:pPr>
        <w:pStyle w:val="HChGR"/>
        <w:rPr>
          <w:lang w:val="en-US"/>
        </w:rPr>
      </w:pPr>
      <w:r w:rsidRPr="003A6830">
        <w:tab/>
      </w:r>
      <w:r w:rsidRPr="003A6830">
        <w:tab/>
        <w:t>Введение</w:t>
      </w:r>
    </w:p>
    <w:p w:rsidR="00165C63" w:rsidRPr="00165C63" w:rsidRDefault="00165C63" w:rsidP="00165C63">
      <w:pPr>
        <w:pStyle w:val="SingleTxtGR"/>
      </w:pPr>
      <w:r w:rsidRPr="00165C63">
        <w:t>1.</w:t>
      </w:r>
      <w:r w:rsidRPr="00165C63">
        <w:tab/>
        <w:t>Согласно пунктам 9.3.Х.51.3 при отборе электрооборудования, использ</w:t>
      </w:r>
      <w:r w:rsidRPr="00165C63">
        <w:t>у</w:t>
      </w:r>
      <w:r w:rsidRPr="00165C63">
        <w:t>емого во взрывоопасных зонах, "необходимо учитывать группы взрывоопасн</w:t>
      </w:r>
      <w:r w:rsidRPr="00165C63">
        <w:t>о</w:t>
      </w:r>
      <w:r w:rsidRPr="00165C63">
        <w:t>сти и температурные классы, назначенные перевозимым веществам". Цель эт</w:t>
      </w:r>
      <w:r w:rsidRPr="00165C63">
        <w:t>о</w:t>
      </w:r>
      <w:r w:rsidRPr="00165C63">
        <w:t>го положения – снизить риск возникновения пожара и взрыва путем правильн</w:t>
      </w:r>
      <w:r w:rsidRPr="00165C63">
        <w:t>о</w:t>
      </w:r>
      <w:r w:rsidRPr="00165C63">
        <w:t>го выбора электрооборудования.</w:t>
      </w:r>
    </w:p>
    <w:p w:rsidR="00165C63" w:rsidRPr="00165C63" w:rsidRDefault="00165C63" w:rsidP="00165C63">
      <w:pPr>
        <w:pStyle w:val="SingleTxtGR"/>
      </w:pPr>
      <w:r w:rsidRPr="00165C63">
        <w:t>2.</w:t>
      </w:r>
      <w:r w:rsidRPr="00165C63">
        <w:tab/>
        <w:t xml:space="preserve">Группу взрывоопасности и температурный класс электрооборудования на борту, а также состояние этого оборудования следует определить в ходе первой проверки танкера и во время периодических проверок, при этом они должны </w:t>
      </w:r>
      <w:r w:rsidRPr="00165C63">
        <w:lastRenderedPageBreak/>
        <w:t>быть указаны компетентным органом в свидетельстве о допущении. Группа взрывоопасности и температурный класс электрооборудования на борту явл</w:t>
      </w:r>
      <w:r w:rsidRPr="00165C63">
        <w:t>я</w:t>
      </w:r>
      <w:r w:rsidRPr="00165C63">
        <w:t>ются одним из основных факторов при составлении перечня веществ на борту судна в соответствии с пунктом 1.16.1.2.5. Без этой информации в перечень в</w:t>
      </w:r>
      <w:r w:rsidRPr="00165C63">
        <w:t>е</w:t>
      </w:r>
      <w:r w:rsidRPr="00165C63">
        <w:t>ществ могут быть занесены ошибочные сведения.</w:t>
      </w:r>
    </w:p>
    <w:p w:rsidR="00165C63" w:rsidRPr="00A21A48" w:rsidRDefault="00165C63" w:rsidP="00A21A48">
      <w:pPr>
        <w:pStyle w:val="SingleTxtGR"/>
      </w:pPr>
      <w:r w:rsidRPr="00A21A48">
        <w:t>3.</w:t>
      </w:r>
      <w:r w:rsidRPr="00A21A48">
        <w:tab/>
        <w:t>В силу объективных трудностей, возникающих при определении характ</w:t>
      </w:r>
      <w:r w:rsidRPr="00A21A48">
        <w:t>е</w:t>
      </w:r>
      <w:r w:rsidRPr="00A21A48">
        <w:t>ристик электрооборудования на судах, которые находятся в эксплуатации в т</w:t>
      </w:r>
      <w:r w:rsidRPr="00A21A48">
        <w:t>е</w:t>
      </w:r>
      <w:r w:rsidRPr="00A21A48">
        <w:t>чение длительного времени, в 1996 году в Правила перевозки опасных грузов по Рейну (ППОГР) было включено переходное положение, касающееся пун</w:t>
      </w:r>
      <w:r w:rsidRPr="00A21A48">
        <w:t>к</w:t>
      </w:r>
      <w:r w:rsidRPr="00A21A48">
        <w:t>тов</w:t>
      </w:r>
      <w:r w:rsidR="00A21A48" w:rsidRPr="00A21A48">
        <w:t> </w:t>
      </w:r>
      <w:r w:rsidRPr="00A21A48">
        <w:t>9.3.X.51.3. Предполагалось, что это переходно</w:t>
      </w:r>
      <w:r w:rsidR="007513D6" w:rsidRPr="00A21A48">
        <w:t>е положение будет прим</w:t>
      </w:r>
      <w:r w:rsidR="007513D6" w:rsidRPr="00A21A48">
        <w:t>е</w:t>
      </w:r>
      <w:r w:rsidR="007513D6" w:rsidRPr="00A21A48">
        <w:t>няться в </w:t>
      </w:r>
      <w:r w:rsidRPr="00A21A48">
        <w:t>среднесрочной перспективе и утратит силу, когда будут разработаны новые положения, касающиеся защиты против взрывов.</w:t>
      </w:r>
    </w:p>
    <w:p w:rsidR="00165C63" w:rsidRPr="00165C63" w:rsidRDefault="00165C63" w:rsidP="00165C63">
      <w:pPr>
        <w:pStyle w:val="SingleTxtGR"/>
      </w:pPr>
      <w:r w:rsidRPr="00165C63">
        <w:t>4.</w:t>
      </w:r>
      <w:r w:rsidRPr="00165C63">
        <w:tab/>
        <w:t>При установлении сроков действия переходных положе</w:t>
      </w:r>
      <w:r w:rsidR="00A21A48">
        <w:t>ний</w:t>
      </w:r>
      <w:r w:rsidRPr="00165C63">
        <w:t xml:space="preserve"> в отношении судов, уже находившихся в эксплуатации, был предусмотрен переходный пер</w:t>
      </w:r>
      <w:r w:rsidRPr="00165C63">
        <w:t>и</w:t>
      </w:r>
      <w:r w:rsidRPr="00165C63">
        <w:t>од для применения этого положения до возобновления свидетельства о доп</w:t>
      </w:r>
      <w:r w:rsidRPr="00165C63">
        <w:t>у</w:t>
      </w:r>
      <w:r w:rsidRPr="00165C63">
        <w:t>щении после 31 декабря 2034 года.</w:t>
      </w:r>
    </w:p>
    <w:p w:rsidR="00165C63" w:rsidRPr="00165C63" w:rsidRDefault="00165C63" w:rsidP="00165C63">
      <w:pPr>
        <w:pStyle w:val="HChGR"/>
      </w:pPr>
      <w:r w:rsidRPr="00165C63">
        <w:tab/>
      </w:r>
      <w:r w:rsidRPr="00165C63">
        <w:tab/>
        <w:t>Предложение по поправке</w:t>
      </w:r>
    </w:p>
    <w:p w:rsidR="003A6830" w:rsidRPr="00A21A48" w:rsidRDefault="00165C63" w:rsidP="00A21A48">
      <w:pPr>
        <w:pStyle w:val="SingleTxtGR"/>
      </w:pPr>
      <w:r w:rsidRPr="00A21A48">
        <w:t>5.</w:t>
      </w:r>
      <w:r w:rsidRPr="00A21A48">
        <w:tab/>
        <w:t>С учетом изменения структуры флота танкеров по сроку эксплуатации, возможного повышения степени безопасности, для которого требуются всего лишь небольшие затраты, и истечения 31 декабря 2018 года переходных пери</w:t>
      </w:r>
      <w:r w:rsidRPr="00A21A48">
        <w:t>о</w:t>
      </w:r>
      <w:r w:rsidRPr="00A21A48">
        <w:t>дов, применимых к веществам согласно пункту 1.6.7.4.2, было бы целесообра</w:t>
      </w:r>
      <w:r w:rsidRPr="00A21A48">
        <w:t>з</w:t>
      </w:r>
      <w:r w:rsidRPr="00A21A48">
        <w:t>но изменить период применимости переходного положения, касающегося пун</w:t>
      </w:r>
      <w:r w:rsidRPr="00A21A48">
        <w:t>к</w:t>
      </w:r>
      <w:r w:rsidRPr="00A21A48">
        <w:t>тов 9.3.X.51.3, следующим образом: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299"/>
        <w:gridCol w:w="2557"/>
        <w:gridCol w:w="3514"/>
      </w:tblGrid>
      <w:tr w:rsidR="00157AFE" w:rsidRPr="00157AFE" w:rsidTr="00FA11BD"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C8" w:rsidRPr="00157AFE" w:rsidRDefault="00E73DC8" w:rsidP="00157AF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157AFE">
              <w:rPr>
                <w:i/>
                <w:sz w:val="16"/>
              </w:rPr>
              <w:t>Пункт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C8" w:rsidRPr="00157AFE" w:rsidRDefault="00E73DC8" w:rsidP="00157AF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157AFE">
              <w:rPr>
                <w:i/>
                <w:sz w:val="16"/>
              </w:rPr>
              <w:t>Вопрос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C8" w:rsidRPr="00157AFE" w:rsidRDefault="00E73DC8" w:rsidP="00157AF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157AFE">
              <w:rPr>
                <w:i/>
                <w:sz w:val="16"/>
              </w:rPr>
              <w:t>Сроки и замечания</w:t>
            </w:r>
          </w:p>
        </w:tc>
      </w:tr>
      <w:tr w:rsidR="00AD7FD2" w:rsidRPr="00157AFE" w:rsidTr="00FA11BD">
        <w:tc>
          <w:tcPr>
            <w:tcW w:w="12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3DC8" w:rsidRPr="00157AFE" w:rsidRDefault="00E73DC8" w:rsidP="00FA11BD">
            <w:pPr>
              <w:jc w:val="center"/>
            </w:pPr>
            <w:r w:rsidRPr="00157AFE">
              <w:t>9.3.1.51.3</w:t>
            </w:r>
            <w:r w:rsidRPr="00157AFE">
              <w:br/>
              <w:t>9.3.2.51.3</w:t>
            </w:r>
            <w:r w:rsidRPr="00157AFE">
              <w:br/>
              <w:t>9.3.3.51.3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3DC8" w:rsidRPr="00157AFE" w:rsidRDefault="00E73DC8" w:rsidP="00157AFE">
            <w:pPr>
              <w:ind w:left="57"/>
            </w:pPr>
            <w:r w:rsidRPr="00157AFE">
              <w:t>Температурный класс и группа взрывоопасности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73DC8" w:rsidRPr="00157AFE" w:rsidRDefault="00E73DC8" w:rsidP="00157AFE">
            <w:pPr>
              <w:jc w:val="center"/>
            </w:pPr>
            <w:r w:rsidRPr="00157AFE">
              <w:t>Н.З.М.</w:t>
            </w:r>
          </w:p>
          <w:p w:rsidR="00E73DC8" w:rsidRPr="00157AFE" w:rsidRDefault="00E73DC8" w:rsidP="00157AFE">
            <w:pPr>
              <w:jc w:val="center"/>
            </w:pPr>
            <w:r w:rsidRPr="00157AFE">
              <w:t>Возобновление свидетельства о д</w:t>
            </w:r>
            <w:r w:rsidRPr="00157AFE">
              <w:t>о</w:t>
            </w:r>
            <w:r w:rsidRPr="00157AFE">
              <w:t xml:space="preserve">пущении после </w:t>
            </w:r>
            <w:r w:rsidRPr="00157AFE">
              <w:rPr>
                <w:strike/>
              </w:rPr>
              <w:t>31 декабря 2034 года</w:t>
            </w:r>
            <w:r w:rsidRPr="00157AFE">
              <w:t xml:space="preserve"> 31 декабря 2018 года</w:t>
            </w:r>
          </w:p>
        </w:tc>
      </w:tr>
    </w:tbl>
    <w:p w:rsidR="00E73DC8" w:rsidRPr="00E73DC8" w:rsidRDefault="00E73DC8" w:rsidP="00E73DC8">
      <w:pPr>
        <w:pStyle w:val="HChGR"/>
      </w:pPr>
      <w:r w:rsidRPr="00E73DC8">
        <w:tab/>
      </w:r>
      <w:r w:rsidRPr="00E73DC8">
        <w:tab/>
        <w:t>Обоснование</w:t>
      </w:r>
    </w:p>
    <w:p w:rsidR="00E73DC8" w:rsidRPr="00E73DC8" w:rsidRDefault="00E73DC8" w:rsidP="00E73DC8">
      <w:pPr>
        <w:pStyle w:val="SingleTxtGR"/>
      </w:pPr>
      <w:r w:rsidRPr="00E73DC8">
        <w:t>6.</w:t>
      </w:r>
      <w:r w:rsidRPr="00E73DC8">
        <w:tab/>
        <w:t>Такая поправка обеспечит наличие информации о температурном классе и защите против взрывов электрооборудования на борту и хорошее состояние этого оборудования. Таким образом, перечень веществ на судне можно было бы составлять на основе достоверной информации, касающейся электрооборуд</w:t>
      </w:r>
      <w:r w:rsidRPr="00E73DC8">
        <w:t>о</w:t>
      </w:r>
      <w:r w:rsidRPr="00E73DC8">
        <w:t>вания на борту.</w:t>
      </w:r>
    </w:p>
    <w:p w:rsidR="00E73DC8" w:rsidRPr="00E73DC8" w:rsidRDefault="00E73DC8" w:rsidP="00E73DC8">
      <w:pPr>
        <w:pStyle w:val="HChGR"/>
      </w:pPr>
      <w:r w:rsidRPr="00E73DC8">
        <w:tab/>
      </w:r>
      <w:r w:rsidRPr="00E73DC8">
        <w:tab/>
        <w:t>Безопасность</w:t>
      </w:r>
    </w:p>
    <w:p w:rsidR="00E73DC8" w:rsidRPr="00E73DC8" w:rsidRDefault="00E73DC8" w:rsidP="00E73DC8">
      <w:pPr>
        <w:pStyle w:val="SingleTxtGR"/>
      </w:pPr>
      <w:r w:rsidRPr="00E73DC8">
        <w:t>7.</w:t>
      </w:r>
      <w:r w:rsidRPr="00E73DC8">
        <w:tab/>
        <w:t>Повышение степени безопасности достигается за счет четкой классиф</w:t>
      </w:r>
      <w:r w:rsidRPr="00E73DC8">
        <w:t>и</w:t>
      </w:r>
      <w:r w:rsidRPr="00E73DC8">
        <w:t xml:space="preserve">кации веществ, которые могут перевозиться, </w:t>
      </w:r>
      <w:r>
        <w:t>приведения самых старых судов в</w:t>
      </w:r>
      <w:r>
        <w:rPr>
          <w:lang w:val="en-US"/>
        </w:rPr>
        <w:t> </w:t>
      </w:r>
      <w:r w:rsidRPr="00E73DC8">
        <w:t>соответствие с техническими нормами безопасности и сокращения разрыва между нормой, применимой к уже эксплуатируемым танкерам, и нормой, пр</w:t>
      </w:r>
      <w:r w:rsidRPr="00E73DC8">
        <w:t>и</w:t>
      </w:r>
      <w:r w:rsidRPr="00E73DC8">
        <w:t>менимой к новым танкерам.</w:t>
      </w:r>
    </w:p>
    <w:p w:rsidR="00E73DC8" w:rsidRPr="00E73DC8" w:rsidRDefault="00E73DC8" w:rsidP="00E73DC8">
      <w:pPr>
        <w:pStyle w:val="HChGR"/>
      </w:pPr>
      <w:r w:rsidRPr="00E73DC8">
        <w:lastRenderedPageBreak/>
        <w:tab/>
      </w:r>
      <w:r w:rsidRPr="00E73DC8">
        <w:tab/>
        <w:t>Осуществимость</w:t>
      </w:r>
    </w:p>
    <w:p w:rsidR="00165C63" w:rsidRDefault="00E73DC8" w:rsidP="00E73DC8">
      <w:pPr>
        <w:pStyle w:val="SingleTxtGR"/>
        <w:rPr>
          <w:lang w:val="en-US"/>
        </w:rPr>
      </w:pPr>
      <w:r w:rsidRPr="00E73DC8">
        <w:t>8.</w:t>
      </w:r>
      <w:r w:rsidRPr="00E73DC8">
        <w:tab/>
        <w:t>Возможно, что потребуются инвестиции в размере в среднем около 22 000 евро. Процедура проверки и выдачи свидетельства о допущении остае</w:t>
      </w:r>
      <w:r w:rsidRPr="00E73DC8">
        <w:t>т</w:t>
      </w:r>
      <w:r w:rsidRPr="00E73DC8">
        <w:t>ся без изменения.</w:t>
      </w:r>
    </w:p>
    <w:p w:rsidR="00E73DC8" w:rsidRPr="00E73DC8" w:rsidRDefault="00E73DC8" w:rsidP="00E73DC8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73DC8" w:rsidRPr="00E73DC8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C3" w:rsidRDefault="001E0CC3">
      <w:r>
        <w:rPr>
          <w:lang w:val="en-US"/>
        </w:rPr>
        <w:tab/>
      </w:r>
      <w:r>
        <w:separator/>
      </w:r>
    </w:p>
  </w:endnote>
  <w:endnote w:type="continuationSeparator" w:id="0">
    <w:p w:rsidR="001E0CC3" w:rsidRDefault="001E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670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r w:rsidR="009226F9">
      <w:rPr>
        <w:lang w:val="en-US"/>
      </w:rPr>
      <w:t>GE.15-06697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9226F9">
    <w:pPr>
      <w:pStyle w:val="Footer"/>
      <w:rPr>
        <w:lang w:val="en-US"/>
      </w:rPr>
    </w:pPr>
    <w:r>
      <w:rPr>
        <w:lang w:val="en-US"/>
      </w:rPr>
      <w:t>GE.15-06697</w:t>
    </w:r>
    <w:r w:rsidR="00A1484B">
      <w:rPr>
        <w:lang w:val="en-US"/>
      </w:rPr>
      <w:tab/>
    </w:r>
    <w:r w:rsidR="00A1484B">
      <w:rPr>
        <w:rStyle w:val="PageNumber"/>
      </w:rPr>
      <w:fldChar w:fldCharType="begin"/>
    </w:r>
    <w:r w:rsidR="00A1484B">
      <w:rPr>
        <w:rStyle w:val="PageNumber"/>
      </w:rPr>
      <w:instrText xml:space="preserve"> PAGE </w:instrText>
    </w:r>
    <w:r w:rsidR="00A1484B">
      <w:rPr>
        <w:rStyle w:val="PageNumber"/>
      </w:rPr>
      <w:fldChar w:fldCharType="separate"/>
    </w:r>
    <w:r w:rsidR="007E6702">
      <w:rPr>
        <w:rStyle w:val="PageNumber"/>
        <w:noProof/>
      </w:rPr>
      <w:t>3</w:t>
    </w:r>
    <w:r w:rsidR="00A1484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7513D6">
            <w:rPr>
              <w:lang w:val="en-US"/>
            </w:rPr>
            <w:t>-06697</w:t>
          </w:r>
          <w:r w:rsidR="00A1484B">
            <w:rPr>
              <w:lang w:val="en-US"/>
            </w:rPr>
            <w:t xml:space="preserve">  (R)</w:t>
          </w:r>
          <w:r w:rsidR="007513D6">
            <w:rPr>
              <w:lang w:val="en-US"/>
            </w:rPr>
            <w:t xml:space="preserve">  170615  170615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DCA11F6" wp14:editId="1C1FC0B1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7513D6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15/AC.2/2015/12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12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7513D6" w:rsidRDefault="007513D6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513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513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513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513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513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513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513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7513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513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C3" w:rsidRPr="00F71F63" w:rsidRDefault="001E0CC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E0CC3" w:rsidRPr="00F71F63" w:rsidRDefault="001E0CC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E0CC3" w:rsidRPr="00635E86" w:rsidRDefault="001E0CC3" w:rsidP="00635E86">
      <w:pPr>
        <w:pStyle w:val="Footer"/>
      </w:pPr>
    </w:p>
  </w:footnote>
  <w:footnote w:id="1">
    <w:p w:rsidR="003A6830" w:rsidRPr="003A6830" w:rsidRDefault="003A6830" w:rsidP="003A6830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A6830">
        <w:rPr>
          <w:lang w:val="ru-RU"/>
        </w:rPr>
        <w:tab/>
        <w:t xml:space="preserve">Распространено на немецком языке Центральной комиссией судоходства по Рейну под условным обозначением </w:t>
      </w:r>
      <w:r>
        <w:t>CCNR</w:t>
      </w:r>
      <w:r w:rsidRPr="003A6830">
        <w:rPr>
          <w:lang w:val="ru-RU"/>
        </w:rPr>
        <w:t>-</w:t>
      </w:r>
      <w:r>
        <w:t>ZKR</w:t>
      </w:r>
      <w:r w:rsidRPr="003A6830">
        <w:rPr>
          <w:lang w:val="ru-RU"/>
        </w:rPr>
        <w:t>/</w:t>
      </w:r>
      <w:r>
        <w:t>ADN</w:t>
      </w:r>
      <w:r w:rsidRPr="003A6830">
        <w:rPr>
          <w:lang w:val="ru-RU"/>
        </w:rPr>
        <w:t>/</w:t>
      </w:r>
      <w:r>
        <w:t>WP</w:t>
      </w:r>
      <w:r w:rsidRPr="003A6830">
        <w:rPr>
          <w:lang w:val="ru-RU"/>
        </w:rPr>
        <w:t>.15/</w:t>
      </w:r>
      <w:r>
        <w:t>AC</w:t>
      </w:r>
      <w:r w:rsidRPr="003A6830">
        <w:rPr>
          <w:lang w:val="ru-RU"/>
        </w:rPr>
        <w:t>.2/2015/12.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7513D6" w:rsidRDefault="007513D6" w:rsidP="007513D6">
    <w:pPr>
      <w:pStyle w:val="Header"/>
    </w:pPr>
    <w:r w:rsidRPr="007513D6">
      <w:rPr>
        <w:lang w:val="en-US"/>
      </w:rPr>
      <w:t>ECE/TRANS/WP.15/AC.2/2015/12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</w:r>
    <w:r w:rsidR="007513D6" w:rsidRPr="007513D6">
      <w:rPr>
        <w:lang w:val="en-US"/>
      </w:rPr>
      <w:t>ECE/TRANS/WP.15/AC.2/2015/12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11"/>
  </w:num>
  <w:num w:numId="20">
    <w:abstractNumId w:val="15"/>
  </w:num>
  <w:num w:numId="21">
    <w:abstractNumId w:val="11"/>
  </w:num>
  <w:num w:numId="22">
    <w:abstractNumId w:val="13"/>
  </w:num>
  <w:num w:numId="23">
    <w:abstractNumId w:val="13"/>
  </w:num>
  <w:num w:numId="2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C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57AFE"/>
    <w:rsid w:val="00165C63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0CC3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6830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3D6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6702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26F9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1A48"/>
    <w:rsid w:val="00A2446A"/>
    <w:rsid w:val="00A4025D"/>
    <w:rsid w:val="00A800D1"/>
    <w:rsid w:val="00A92699"/>
    <w:rsid w:val="00AB5BF0"/>
    <w:rsid w:val="00AC1C95"/>
    <w:rsid w:val="00AC2CCB"/>
    <w:rsid w:val="00AC443A"/>
    <w:rsid w:val="00AD7FD2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B01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3DC8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0E02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11BD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1506697</vt:lpstr>
      <vt:lpstr>1506697</vt:lpstr>
    </vt:vector>
  </TitlesOfParts>
  <Manager>Бойчук</Manager>
  <Company>CSD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1506697</dc:title>
  <dc:subject>ECE/TRANS/WP.15/AC.2/2015/12</dc:subject>
  <dc:creator>Antipova Uliana</dc:creator>
  <dc:description>Final</dc:description>
  <cp:lastModifiedBy>Luciolle</cp:lastModifiedBy>
  <cp:revision>2</cp:revision>
  <cp:lastPrinted>2015-06-17T15:32:00Z</cp:lastPrinted>
  <dcterms:created xsi:type="dcterms:W3CDTF">2015-06-18T12:34:00Z</dcterms:created>
  <dcterms:modified xsi:type="dcterms:W3CDTF">2015-06-18T12:34:00Z</dcterms:modified>
</cp:coreProperties>
</file>